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79FA9" w14:textId="7529AFC4" w:rsidR="00565A7D" w:rsidRPr="00DC68DD" w:rsidRDefault="00D25BBD" w:rsidP="00B0492D">
      <w:pPr>
        <w:pStyle w:val="BodyText"/>
        <w:contextualSpacing/>
        <w:rPr>
          <w:sz w:val="48"/>
          <w:szCs w:val="40"/>
          <w:lang w:val="en-US"/>
        </w:rPr>
      </w:pPr>
      <w:r>
        <w:rPr>
          <w:sz w:val="48"/>
          <w:szCs w:val="40"/>
          <w:lang w:val="en-US"/>
        </w:rPr>
        <w:t>B</w:t>
      </w:r>
      <w:r w:rsidR="00AC051F" w:rsidRPr="00DC68DD">
        <w:rPr>
          <w:sz w:val="48"/>
          <w:szCs w:val="40"/>
          <w:lang w:val="en-US"/>
        </w:rPr>
        <w:t xml:space="preserve">ookrunner </w:t>
      </w:r>
      <w:r>
        <w:rPr>
          <w:sz w:val="48"/>
          <w:szCs w:val="40"/>
          <w:lang w:val="en-US"/>
        </w:rPr>
        <w:t xml:space="preserve">syndicate </w:t>
      </w:r>
      <w:r w:rsidR="00AC051F" w:rsidRPr="00DC68DD">
        <w:rPr>
          <w:sz w:val="48"/>
          <w:szCs w:val="40"/>
          <w:lang w:val="en-US"/>
        </w:rPr>
        <w:t>geography</w:t>
      </w:r>
      <w:r w:rsidR="00BE153F" w:rsidRPr="00DC68DD">
        <w:rPr>
          <w:sz w:val="48"/>
          <w:szCs w:val="40"/>
          <w:lang w:val="en-US"/>
        </w:rPr>
        <w:t xml:space="preserve"> </w:t>
      </w:r>
      <w:r>
        <w:rPr>
          <w:sz w:val="48"/>
          <w:szCs w:val="40"/>
          <w:lang w:val="en-US"/>
        </w:rPr>
        <w:t>and</w:t>
      </w:r>
      <w:r w:rsidRPr="00DC68DD">
        <w:rPr>
          <w:sz w:val="48"/>
          <w:szCs w:val="40"/>
          <w:lang w:val="en-US"/>
        </w:rPr>
        <w:t xml:space="preserve"> </w:t>
      </w:r>
      <w:r w:rsidR="00CD0B08">
        <w:rPr>
          <w:sz w:val="48"/>
          <w:szCs w:val="40"/>
          <w:lang w:val="en-US"/>
        </w:rPr>
        <w:t>the quality of service</w:t>
      </w:r>
      <w:r>
        <w:rPr>
          <w:sz w:val="48"/>
          <w:szCs w:val="40"/>
          <w:lang w:val="en-US"/>
        </w:rPr>
        <w:t xml:space="preserve">: </w:t>
      </w:r>
      <w:r w:rsidR="003420C2">
        <w:rPr>
          <w:sz w:val="48"/>
          <w:szCs w:val="40"/>
          <w:lang w:val="en-US"/>
        </w:rPr>
        <w:t xml:space="preserve">The benefits of </w:t>
      </w:r>
      <w:r w:rsidR="00ED5C06">
        <w:rPr>
          <w:sz w:val="48"/>
          <w:szCs w:val="40"/>
          <w:lang w:val="en-US"/>
        </w:rPr>
        <w:t>a local team</w:t>
      </w:r>
    </w:p>
    <w:p w14:paraId="0614FDA6" w14:textId="77777777" w:rsidR="00144896" w:rsidRPr="00DC68DD" w:rsidRDefault="00144896" w:rsidP="00AB4B84">
      <w:pPr>
        <w:rPr>
          <w:lang w:val="en-US"/>
        </w:rPr>
      </w:pPr>
    </w:p>
    <w:p w14:paraId="15A1826A" w14:textId="77777777" w:rsidR="00313EB3" w:rsidRPr="00DC68DD" w:rsidRDefault="00313EB3" w:rsidP="00313EB3">
      <w:pPr>
        <w:rPr>
          <w:sz w:val="32"/>
          <w:lang w:val="en-US"/>
        </w:rPr>
      </w:pPr>
    </w:p>
    <w:p w14:paraId="7014E111" w14:textId="77777777" w:rsidR="00B0492D" w:rsidRPr="00DC68DD" w:rsidRDefault="00B0492D" w:rsidP="00AB4B84">
      <w:pPr>
        <w:rPr>
          <w:lang w:val="en-US"/>
        </w:rPr>
      </w:pPr>
    </w:p>
    <w:p w14:paraId="6C0B2ABB" w14:textId="77777777" w:rsidR="00565A7D" w:rsidRPr="00DC68DD" w:rsidRDefault="00565A7D" w:rsidP="00AB4B84">
      <w:pPr>
        <w:pStyle w:val="Heading7"/>
        <w:pBdr>
          <w:top w:val="single" w:sz="4" w:space="1" w:color="auto"/>
        </w:pBdr>
        <w:contextualSpacing/>
        <w:rPr>
          <w:b w:val="0"/>
          <w:sz w:val="24"/>
          <w:szCs w:val="24"/>
          <w:lang w:val="en-US"/>
        </w:rPr>
      </w:pPr>
      <w:r w:rsidRPr="00DC68DD">
        <w:rPr>
          <w:b w:val="0"/>
          <w:sz w:val="24"/>
          <w:szCs w:val="24"/>
          <w:lang w:val="en-US"/>
        </w:rPr>
        <w:t>Abstract</w:t>
      </w:r>
    </w:p>
    <w:p w14:paraId="037334F5" w14:textId="77777777" w:rsidR="00B0492D" w:rsidRPr="00DC68DD" w:rsidRDefault="00B0492D" w:rsidP="00B0492D">
      <w:pPr>
        <w:rPr>
          <w:lang w:val="en-US"/>
        </w:rPr>
      </w:pPr>
    </w:p>
    <w:p w14:paraId="67E5C9BE" w14:textId="1258A67C" w:rsidR="00310DC3" w:rsidRPr="008F51A8" w:rsidRDefault="00453ACC" w:rsidP="00A6595C">
      <w:pPr>
        <w:jc w:val="both"/>
        <w:rPr>
          <w:lang w:val="en-US"/>
        </w:rPr>
      </w:pPr>
      <w:bookmarkStart w:id="0" w:name="_Hlk75790239"/>
      <w:r w:rsidRPr="00DC68DD">
        <w:rPr>
          <w:lang w:val="en-US"/>
        </w:rPr>
        <w:t xml:space="preserve">We </w:t>
      </w:r>
      <w:r w:rsidR="00313EB3" w:rsidRPr="00DC68DD">
        <w:rPr>
          <w:lang w:val="en-US"/>
        </w:rPr>
        <w:t>analyze</w:t>
      </w:r>
      <w:r w:rsidRPr="00DC68DD">
        <w:rPr>
          <w:lang w:val="en-US"/>
        </w:rPr>
        <w:t xml:space="preserve"> </w:t>
      </w:r>
      <w:r w:rsidR="005A76A7" w:rsidRPr="00DC68DD">
        <w:rPr>
          <w:lang w:val="en-US"/>
        </w:rPr>
        <w:t xml:space="preserve">how the </w:t>
      </w:r>
      <w:r w:rsidR="00F03D03" w:rsidRPr="00DC68DD">
        <w:rPr>
          <w:lang w:val="en-US"/>
        </w:rPr>
        <w:t>geography</w:t>
      </w:r>
      <w:r w:rsidR="005A76A7" w:rsidRPr="00DC68DD">
        <w:rPr>
          <w:lang w:val="en-US"/>
        </w:rPr>
        <w:t xml:space="preserve"> of</w:t>
      </w:r>
      <w:r w:rsidRPr="00DC68DD">
        <w:rPr>
          <w:lang w:val="en-US"/>
        </w:rPr>
        <w:t xml:space="preserve"> bookrunner syndica</w:t>
      </w:r>
      <w:r w:rsidR="005A76A7" w:rsidRPr="00DC68DD">
        <w:rPr>
          <w:lang w:val="en-US"/>
        </w:rPr>
        <w:t>tes</w:t>
      </w:r>
      <w:r w:rsidRPr="00DC68DD">
        <w:rPr>
          <w:lang w:val="en-US"/>
        </w:rPr>
        <w:t xml:space="preserve"> </w:t>
      </w:r>
      <w:r w:rsidR="005A76A7" w:rsidRPr="00DC68DD">
        <w:rPr>
          <w:lang w:val="en-US"/>
        </w:rPr>
        <w:t>affects</w:t>
      </w:r>
      <w:r w:rsidRPr="00DC68DD">
        <w:rPr>
          <w:lang w:val="en-US"/>
        </w:rPr>
        <w:t xml:space="preserve"> the</w:t>
      </w:r>
      <w:r w:rsidR="00235F6C" w:rsidRPr="00DC68DD">
        <w:rPr>
          <w:lang w:val="en-US"/>
        </w:rPr>
        <w:t xml:space="preserve"> quality of service </w:t>
      </w:r>
      <w:r w:rsidR="00682F93">
        <w:rPr>
          <w:lang w:val="en-US"/>
        </w:rPr>
        <w:t xml:space="preserve">provided </w:t>
      </w:r>
      <w:r w:rsidR="00235F6C" w:rsidRPr="00DC68DD">
        <w:rPr>
          <w:lang w:val="en-US"/>
        </w:rPr>
        <w:t xml:space="preserve">to </w:t>
      </w:r>
      <w:r w:rsidR="0008478B">
        <w:rPr>
          <w:lang w:val="en-US"/>
        </w:rPr>
        <w:t xml:space="preserve">bond </w:t>
      </w:r>
      <w:r w:rsidR="00235F6C" w:rsidRPr="00DC68DD">
        <w:rPr>
          <w:lang w:val="en-US"/>
        </w:rPr>
        <w:t>issu</w:t>
      </w:r>
      <w:r w:rsidR="00F3209B">
        <w:rPr>
          <w:lang w:val="en-US"/>
        </w:rPr>
        <w:t>ing firms</w:t>
      </w:r>
      <w:r w:rsidR="00DE50FE">
        <w:rPr>
          <w:lang w:val="en-US"/>
        </w:rPr>
        <w:t>,</w:t>
      </w:r>
      <w:r w:rsidR="00235F6C" w:rsidRPr="00DC68DD">
        <w:rPr>
          <w:lang w:val="en-US"/>
        </w:rPr>
        <w:t xml:space="preserve"> as reflected in the</w:t>
      </w:r>
      <w:r w:rsidRPr="00DC68DD">
        <w:rPr>
          <w:lang w:val="en-US"/>
        </w:rPr>
        <w:t xml:space="preserve"> </w:t>
      </w:r>
      <w:r w:rsidR="007E66AC" w:rsidRPr="00DC68DD">
        <w:rPr>
          <w:lang w:val="en-US"/>
        </w:rPr>
        <w:t>pricing</w:t>
      </w:r>
      <w:r w:rsidR="005A76A7" w:rsidRPr="00DC68DD">
        <w:rPr>
          <w:lang w:val="en-US"/>
        </w:rPr>
        <w:t xml:space="preserve"> </w:t>
      </w:r>
      <w:r w:rsidR="007E66AC" w:rsidRPr="00DC68DD">
        <w:rPr>
          <w:lang w:val="en-US"/>
        </w:rPr>
        <w:t>of</w:t>
      </w:r>
      <w:r w:rsidRPr="00DC68DD">
        <w:rPr>
          <w:lang w:val="en-US"/>
        </w:rPr>
        <w:t xml:space="preserve"> </w:t>
      </w:r>
      <w:r w:rsidR="0040447E" w:rsidRPr="00DC68DD">
        <w:rPr>
          <w:lang w:val="en-US"/>
        </w:rPr>
        <w:t>euro</w:t>
      </w:r>
      <w:r w:rsidR="00313EB3" w:rsidRPr="00DC68DD">
        <w:rPr>
          <w:lang w:val="en-US"/>
        </w:rPr>
        <w:t>-</w:t>
      </w:r>
      <w:r w:rsidRPr="00DC68DD">
        <w:rPr>
          <w:lang w:val="en-US"/>
        </w:rPr>
        <w:t>d</w:t>
      </w:r>
      <w:r w:rsidR="005A76A7" w:rsidRPr="00DC68DD">
        <w:rPr>
          <w:lang w:val="en-US"/>
        </w:rPr>
        <w:t xml:space="preserve">enominated </w:t>
      </w:r>
      <w:r w:rsidR="00F3209B">
        <w:rPr>
          <w:lang w:val="en-US"/>
        </w:rPr>
        <w:t xml:space="preserve">corporate </w:t>
      </w:r>
      <w:r w:rsidR="005A76A7" w:rsidRPr="00DC68DD">
        <w:rPr>
          <w:lang w:val="en-US"/>
        </w:rPr>
        <w:t>bond tranches.</w:t>
      </w:r>
      <w:r w:rsidR="00DE788E" w:rsidRPr="00DC68DD">
        <w:rPr>
          <w:lang w:val="en-US"/>
        </w:rPr>
        <w:t xml:space="preserve"> We find that </w:t>
      </w:r>
      <w:r w:rsidR="00A62A23">
        <w:rPr>
          <w:lang w:val="en-US"/>
        </w:rPr>
        <w:t xml:space="preserve">syndicates with a higher share of </w:t>
      </w:r>
      <w:r w:rsidR="00DE788E" w:rsidRPr="00DC68DD">
        <w:rPr>
          <w:lang w:val="en-US"/>
        </w:rPr>
        <w:t xml:space="preserve">domestic </w:t>
      </w:r>
      <w:r w:rsidR="00DE50FE">
        <w:rPr>
          <w:lang w:val="en-US"/>
        </w:rPr>
        <w:t>bookrunners</w:t>
      </w:r>
      <w:r w:rsidR="00DE50FE" w:rsidRPr="00DC68DD">
        <w:rPr>
          <w:lang w:val="en-US"/>
        </w:rPr>
        <w:t xml:space="preserve"> </w:t>
      </w:r>
      <w:r w:rsidR="00DE788E" w:rsidRPr="00DC68DD">
        <w:rPr>
          <w:lang w:val="en-US"/>
        </w:rPr>
        <w:t xml:space="preserve">obtain lower </w:t>
      </w:r>
      <w:r w:rsidR="009C175F" w:rsidRPr="00DC68DD">
        <w:rPr>
          <w:lang w:val="en-US"/>
        </w:rPr>
        <w:t xml:space="preserve">at-issue </w:t>
      </w:r>
      <w:r w:rsidR="00DE788E" w:rsidRPr="00DC68DD">
        <w:rPr>
          <w:lang w:val="en-US"/>
        </w:rPr>
        <w:t>credit spreads for issuing firms</w:t>
      </w:r>
      <w:r w:rsidR="00DA1A07" w:rsidRPr="00DC68DD">
        <w:rPr>
          <w:lang w:val="en-US"/>
        </w:rPr>
        <w:t xml:space="preserve">. </w:t>
      </w:r>
      <w:r w:rsidR="009469DE">
        <w:rPr>
          <w:lang w:val="en-US"/>
        </w:rPr>
        <w:t xml:space="preserve">Domestic bookrunners </w:t>
      </w:r>
      <w:r w:rsidR="004A426E">
        <w:rPr>
          <w:lang w:val="en-US"/>
        </w:rPr>
        <w:t xml:space="preserve">can </w:t>
      </w:r>
      <w:r w:rsidR="009469DE">
        <w:rPr>
          <w:lang w:val="en-US"/>
        </w:rPr>
        <w:t xml:space="preserve">have locational advantage which not only gives them better access to the investors base, it also gives them “soft” informational advantage as they are more familiar with the </w:t>
      </w:r>
      <w:r w:rsidR="009808C4">
        <w:rPr>
          <w:lang w:val="en-US"/>
        </w:rPr>
        <w:t xml:space="preserve">bond </w:t>
      </w:r>
      <w:r w:rsidR="009469DE">
        <w:rPr>
          <w:lang w:val="en-US"/>
        </w:rPr>
        <w:t xml:space="preserve">issuer. </w:t>
      </w:r>
      <w:r w:rsidR="009800FB">
        <w:rPr>
          <w:lang w:val="en-US"/>
        </w:rPr>
        <w:t>W</w:t>
      </w:r>
      <w:r w:rsidR="00AD5578">
        <w:rPr>
          <w:lang w:val="en-US"/>
        </w:rPr>
        <w:t>e find that the t</w:t>
      </w:r>
      <w:r w:rsidR="00A24981" w:rsidRPr="008F5322">
        <w:rPr>
          <w:lang w:val="en-US"/>
        </w:rPr>
        <w:t>ranches issued during the financial crisis</w:t>
      </w:r>
      <w:r w:rsidR="00B44F5E" w:rsidRPr="008F5322">
        <w:rPr>
          <w:lang w:val="en-US"/>
        </w:rPr>
        <w:t xml:space="preserve"> and the eurozone crisis</w:t>
      </w:r>
      <w:r w:rsidR="00A24981" w:rsidRPr="008F5322">
        <w:rPr>
          <w:lang w:val="en-US"/>
        </w:rPr>
        <w:t xml:space="preserve"> </w:t>
      </w:r>
      <w:r w:rsidR="00A24981" w:rsidRPr="008F51A8">
        <w:rPr>
          <w:lang w:val="en-US"/>
        </w:rPr>
        <w:t>period</w:t>
      </w:r>
      <w:r w:rsidR="00B44F5E" w:rsidRPr="008F51A8">
        <w:rPr>
          <w:lang w:val="en-US"/>
        </w:rPr>
        <w:t>s</w:t>
      </w:r>
      <w:r w:rsidR="00A24981" w:rsidRPr="008F51A8">
        <w:rPr>
          <w:color w:val="FF0000"/>
          <w:lang w:val="en-US"/>
        </w:rPr>
        <w:t xml:space="preserve"> </w:t>
      </w:r>
      <w:r w:rsidR="00A24981" w:rsidRPr="008F51A8">
        <w:rPr>
          <w:lang w:val="en-US"/>
        </w:rPr>
        <w:t>drive o</w:t>
      </w:r>
      <w:r w:rsidR="00DA1A07" w:rsidRPr="008F51A8">
        <w:rPr>
          <w:lang w:val="en-US"/>
        </w:rPr>
        <w:t xml:space="preserve">ur </w:t>
      </w:r>
      <w:r w:rsidR="00313EB3" w:rsidRPr="008F51A8">
        <w:rPr>
          <w:lang w:val="en-US"/>
        </w:rPr>
        <w:t>findings</w:t>
      </w:r>
      <w:r w:rsidR="00707941">
        <w:rPr>
          <w:lang w:val="en-US"/>
        </w:rPr>
        <w:t>,</w:t>
      </w:r>
      <w:r w:rsidR="0005511A">
        <w:rPr>
          <w:lang w:val="en-US"/>
        </w:rPr>
        <w:t xml:space="preserve"> and both </w:t>
      </w:r>
      <w:r w:rsidR="0005511A">
        <w:rPr>
          <w:color w:val="000000" w:themeColor="text1"/>
          <w:lang w:eastAsia="en-GB"/>
        </w:rPr>
        <w:t>certification and placement roles become important to bond issuers</w:t>
      </w:r>
      <w:r w:rsidR="004A426E">
        <w:rPr>
          <w:color w:val="000000" w:themeColor="text1"/>
          <w:lang w:eastAsia="en-GB"/>
        </w:rPr>
        <w:t xml:space="preserve"> in these crisis periods characterised by high information asymmetry</w:t>
      </w:r>
      <w:r w:rsidR="0005511A">
        <w:rPr>
          <w:color w:val="000000" w:themeColor="text1"/>
          <w:lang w:eastAsia="en-GB"/>
        </w:rPr>
        <w:t xml:space="preserve">. </w:t>
      </w:r>
      <w:r w:rsidR="00310DC3" w:rsidRPr="008F51A8">
        <w:rPr>
          <w:lang w:val="en-US"/>
        </w:rPr>
        <w:t>Our results are robust to other definitions of bookrunner geography</w:t>
      </w:r>
      <w:r w:rsidR="00AD06F8" w:rsidRPr="008F51A8">
        <w:rPr>
          <w:color w:val="000000"/>
        </w:rPr>
        <w:t>.</w:t>
      </w:r>
    </w:p>
    <w:p w14:paraId="3BFC56E9" w14:textId="17FE74B4" w:rsidR="00AD5578" w:rsidRDefault="00AD5578">
      <w:pPr>
        <w:contextualSpacing/>
        <w:jc w:val="both"/>
        <w:rPr>
          <w:lang w:val="en-US"/>
        </w:rPr>
      </w:pPr>
    </w:p>
    <w:p w14:paraId="1E2143E6" w14:textId="77777777" w:rsidR="00AD5578" w:rsidRDefault="00AD5578">
      <w:pPr>
        <w:contextualSpacing/>
        <w:jc w:val="both"/>
        <w:rPr>
          <w:lang w:val="en-US"/>
        </w:rPr>
      </w:pPr>
    </w:p>
    <w:p w14:paraId="62500337" w14:textId="77777777" w:rsidR="00B0492D" w:rsidRPr="00DC68DD" w:rsidRDefault="00B0492D" w:rsidP="00B0492D">
      <w:pPr>
        <w:contextualSpacing/>
        <w:jc w:val="both"/>
        <w:rPr>
          <w:lang w:val="en-US"/>
        </w:rPr>
      </w:pPr>
    </w:p>
    <w:p w14:paraId="3298326B" w14:textId="0D441794" w:rsidR="00B0492D" w:rsidRPr="00DC68DD" w:rsidRDefault="00B0492D" w:rsidP="00B0492D">
      <w:pPr>
        <w:contextualSpacing/>
        <w:jc w:val="both"/>
        <w:rPr>
          <w:lang w:val="en-US"/>
        </w:rPr>
      </w:pPr>
      <w:r w:rsidRPr="00DC68DD">
        <w:rPr>
          <w:i/>
          <w:iCs/>
          <w:lang w:val="en-US"/>
        </w:rPr>
        <w:t xml:space="preserve">JEL Classification: </w:t>
      </w:r>
      <w:r w:rsidRPr="00DC68DD">
        <w:rPr>
          <w:lang w:val="en-US"/>
        </w:rPr>
        <w:t>G11</w:t>
      </w:r>
      <w:r w:rsidR="00690721">
        <w:rPr>
          <w:lang w:val="en-US"/>
        </w:rPr>
        <w:t>;</w:t>
      </w:r>
      <w:r w:rsidRPr="00DC68DD">
        <w:rPr>
          <w:lang w:val="en-US"/>
        </w:rPr>
        <w:t xml:space="preserve"> G12</w:t>
      </w:r>
      <w:r w:rsidR="00690721">
        <w:rPr>
          <w:lang w:val="en-US"/>
        </w:rPr>
        <w:t>;</w:t>
      </w:r>
      <w:r w:rsidRPr="00DC68DD">
        <w:rPr>
          <w:lang w:val="en-US"/>
        </w:rPr>
        <w:t xml:space="preserve"> G24</w:t>
      </w:r>
    </w:p>
    <w:p w14:paraId="13D2F9C2" w14:textId="77777777" w:rsidR="00B0492D" w:rsidRPr="00DC68DD" w:rsidRDefault="00B0492D" w:rsidP="00B0492D">
      <w:pPr>
        <w:contextualSpacing/>
        <w:jc w:val="both"/>
        <w:rPr>
          <w:lang w:val="en-US"/>
        </w:rPr>
      </w:pPr>
    </w:p>
    <w:p w14:paraId="1FC43483" w14:textId="2FBE9648" w:rsidR="00B0492D" w:rsidRPr="00553B3E" w:rsidRDefault="00B0492D" w:rsidP="00B0492D">
      <w:pPr>
        <w:contextualSpacing/>
        <w:jc w:val="both"/>
        <w:rPr>
          <w:iCs/>
          <w:u w:val="single"/>
          <w:lang w:val="en-US"/>
        </w:rPr>
      </w:pPr>
      <w:r w:rsidRPr="00DC68DD">
        <w:rPr>
          <w:i/>
          <w:iCs/>
          <w:lang w:val="en-US"/>
        </w:rPr>
        <w:t>Keywords:</w:t>
      </w:r>
      <w:r w:rsidR="00F3209B">
        <w:rPr>
          <w:i/>
          <w:iCs/>
          <w:lang w:val="en-US"/>
        </w:rPr>
        <w:t xml:space="preserve"> </w:t>
      </w:r>
      <w:r w:rsidR="00690721">
        <w:rPr>
          <w:iCs/>
          <w:lang w:val="en-US"/>
        </w:rPr>
        <w:t>Bookrunner geography;</w:t>
      </w:r>
      <w:r w:rsidR="00F03D03" w:rsidRPr="00DC68DD">
        <w:rPr>
          <w:iCs/>
          <w:lang w:val="en-US"/>
        </w:rPr>
        <w:t xml:space="preserve"> </w:t>
      </w:r>
      <w:r w:rsidR="00F3209B">
        <w:rPr>
          <w:iCs/>
          <w:lang w:val="en-US"/>
        </w:rPr>
        <w:t>a</w:t>
      </w:r>
      <w:r w:rsidR="00F3209B" w:rsidRPr="00DC68DD">
        <w:rPr>
          <w:iCs/>
          <w:lang w:val="en-US"/>
        </w:rPr>
        <w:t>t-issue cred</w:t>
      </w:r>
      <w:r w:rsidR="00690721">
        <w:rPr>
          <w:iCs/>
          <w:lang w:val="en-US"/>
        </w:rPr>
        <w:t>it spread;</w:t>
      </w:r>
      <w:r w:rsidR="00F3209B" w:rsidRPr="00DC68DD">
        <w:rPr>
          <w:iCs/>
          <w:lang w:val="en-US"/>
        </w:rPr>
        <w:t xml:space="preserve"> </w:t>
      </w:r>
      <w:r w:rsidR="00690721">
        <w:rPr>
          <w:iCs/>
          <w:lang w:val="en-US"/>
        </w:rPr>
        <w:t>quality of service;</w:t>
      </w:r>
      <w:r w:rsidR="00F3209B" w:rsidRPr="00DC68DD">
        <w:rPr>
          <w:iCs/>
          <w:lang w:val="en-US"/>
        </w:rPr>
        <w:t xml:space="preserve"> </w:t>
      </w:r>
      <w:r w:rsidR="00F3209B">
        <w:rPr>
          <w:iCs/>
          <w:lang w:val="en-US"/>
        </w:rPr>
        <w:t>f</w:t>
      </w:r>
      <w:r w:rsidR="00F03D03" w:rsidRPr="00DC68DD">
        <w:rPr>
          <w:iCs/>
          <w:lang w:val="en-US"/>
        </w:rPr>
        <w:t>inancial crisis</w:t>
      </w:r>
      <w:r w:rsidR="00AD5578">
        <w:rPr>
          <w:iCs/>
          <w:lang w:val="en-US"/>
        </w:rPr>
        <w:t>; eurozone crisis; placement function; geographical proximity</w:t>
      </w:r>
    </w:p>
    <w:bookmarkEnd w:id="0"/>
    <w:p w14:paraId="451F3F6F" w14:textId="77777777" w:rsidR="00B0492D" w:rsidRPr="00DC68DD" w:rsidRDefault="00B0492D" w:rsidP="00B0492D">
      <w:pPr>
        <w:pBdr>
          <w:bottom w:val="single" w:sz="4" w:space="1" w:color="auto"/>
        </w:pBdr>
        <w:contextualSpacing/>
        <w:jc w:val="both"/>
        <w:rPr>
          <w:lang w:val="en-US"/>
        </w:rPr>
      </w:pPr>
    </w:p>
    <w:p w14:paraId="1B0E37BD" w14:textId="77777777" w:rsidR="0030353C" w:rsidRDefault="0030353C" w:rsidP="0030353C">
      <w:pPr>
        <w:rPr>
          <w:b/>
          <w:lang w:val="en-US"/>
        </w:rPr>
      </w:pPr>
    </w:p>
    <w:p w14:paraId="6EE34EF9" w14:textId="77777777" w:rsidR="00E300E4" w:rsidRDefault="00E300E4">
      <w:pPr>
        <w:rPr>
          <w:b/>
          <w:lang w:val="en-US"/>
        </w:rPr>
      </w:pPr>
      <w:r>
        <w:rPr>
          <w:b/>
          <w:lang w:val="en-US"/>
        </w:rPr>
        <w:br w:type="page"/>
      </w:r>
    </w:p>
    <w:p w14:paraId="5CEFF9E4" w14:textId="46CAD893" w:rsidR="00E00588" w:rsidRPr="00DC68DD" w:rsidRDefault="00B75E82" w:rsidP="001D2FC9">
      <w:pPr>
        <w:pStyle w:val="Heading1"/>
        <w:rPr>
          <w:lang w:val="en-US"/>
        </w:rPr>
      </w:pPr>
      <w:r w:rsidRPr="00DC68DD">
        <w:rPr>
          <w:lang w:val="en-US"/>
        </w:rPr>
        <w:lastRenderedPageBreak/>
        <w:t xml:space="preserve">1. </w:t>
      </w:r>
      <w:r w:rsidR="00E00588" w:rsidRPr="00DC68DD">
        <w:rPr>
          <w:lang w:val="en-US"/>
        </w:rPr>
        <w:t>Introduction</w:t>
      </w:r>
    </w:p>
    <w:p w14:paraId="38FC069B" w14:textId="01B9ED35" w:rsidR="00A336BA" w:rsidRDefault="00ED5C06" w:rsidP="00F3622A">
      <w:pPr>
        <w:spacing w:line="480" w:lineRule="auto"/>
        <w:jc w:val="both"/>
        <w:rPr>
          <w:lang w:val="en-US"/>
        </w:rPr>
      </w:pPr>
      <w:r>
        <w:rPr>
          <w:lang w:val="en-US"/>
        </w:rPr>
        <w:t>Compiling a</w:t>
      </w:r>
      <w:r w:rsidR="008E20E0">
        <w:rPr>
          <w:lang w:val="en-US"/>
        </w:rPr>
        <w:t>n effective</w:t>
      </w:r>
      <w:r>
        <w:rPr>
          <w:lang w:val="en-US"/>
        </w:rPr>
        <w:t xml:space="preserve"> bookrunner syndicate </w:t>
      </w:r>
      <w:r w:rsidR="008E20E0">
        <w:rPr>
          <w:lang w:val="en-US"/>
        </w:rPr>
        <w:t>has become increasingly challenging</w:t>
      </w:r>
      <w:r>
        <w:rPr>
          <w:lang w:val="en-US"/>
        </w:rPr>
        <w:t xml:space="preserve"> </w:t>
      </w:r>
      <w:r w:rsidR="008E20E0">
        <w:rPr>
          <w:lang w:val="en-US"/>
        </w:rPr>
        <w:t>for</w:t>
      </w:r>
      <w:r>
        <w:rPr>
          <w:lang w:val="en-US"/>
        </w:rPr>
        <w:t xml:space="preserve"> </w:t>
      </w:r>
      <w:r w:rsidR="006C7147">
        <w:rPr>
          <w:lang w:val="en-US"/>
        </w:rPr>
        <w:t>bond issuers</w:t>
      </w:r>
      <w:r>
        <w:rPr>
          <w:lang w:val="en-US"/>
        </w:rPr>
        <w:t xml:space="preserve">. </w:t>
      </w:r>
      <w:r w:rsidR="006C7147">
        <w:rPr>
          <w:lang w:val="en-US"/>
        </w:rPr>
        <w:t xml:space="preserve">Following the 2008 financial crisis, more banks have established debt intermediation services </w:t>
      </w:r>
      <w:r w:rsidR="00950E66" w:rsidRPr="00DC68DD">
        <w:rPr>
          <w:lang w:val="en-US"/>
        </w:rPr>
        <w:t>(</w:t>
      </w:r>
      <w:r w:rsidR="00950E66" w:rsidRPr="00DC68DD">
        <w:rPr>
          <w:lang w:val="en-US" w:eastAsia="en-GB"/>
        </w:rPr>
        <w:t>Kaya and Meyer, 2013</w:t>
      </w:r>
      <w:r w:rsidR="00950E66">
        <w:rPr>
          <w:lang w:val="en-US" w:eastAsia="en-GB"/>
        </w:rPr>
        <w:t xml:space="preserve">; </w:t>
      </w:r>
      <w:r w:rsidR="00950E66" w:rsidRPr="00DC68DD">
        <w:rPr>
          <w:lang w:val="en-US"/>
        </w:rPr>
        <w:t>Stothard, 2013)</w:t>
      </w:r>
      <w:r w:rsidR="00950E66">
        <w:rPr>
          <w:lang w:val="en-US"/>
        </w:rPr>
        <w:t xml:space="preserve"> </w:t>
      </w:r>
      <w:r w:rsidR="006C7147">
        <w:rPr>
          <w:lang w:val="en-US"/>
        </w:rPr>
        <w:t>and the average bookrunner group size has increased</w:t>
      </w:r>
      <w:r w:rsidR="0021195E">
        <w:rPr>
          <w:lang w:val="en-US"/>
        </w:rPr>
        <w:t xml:space="preserve"> (</w:t>
      </w:r>
      <w:r w:rsidR="0021195E" w:rsidRPr="00C62742">
        <w:rPr>
          <w:lang w:val="en-US"/>
        </w:rPr>
        <w:t>Carbo-Valverde</w:t>
      </w:r>
      <w:r w:rsidR="0021195E" w:rsidRPr="00DC68DD">
        <w:rPr>
          <w:lang w:val="en-US"/>
        </w:rPr>
        <w:t xml:space="preserve"> </w:t>
      </w:r>
      <w:r w:rsidR="0021195E">
        <w:rPr>
          <w:lang w:val="en-US"/>
        </w:rPr>
        <w:t xml:space="preserve">et al., 2017; </w:t>
      </w:r>
      <w:r w:rsidR="0021195E" w:rsidRPr="00DC68DD">
        <w:rPr>
          <w:lang w:val="en-US"/>
        </w:rPr>
        <w:t>Chivukula et al., 2014</w:t>
      </w:r>
      <w:r w:rsidR="0021195E">
        <w:rPr>
          <w:lang w:val="en-US"/>
        </w:rPr>
        <w:t>)</w:t>
      </w:r>
      <w:r w:rsidR="006C7147">
        <w:rPr>
          <w:lang w:val="en-US"/>
        </w:rPr>
        <w:t xml:space="preserve">. </w:t>
      </w:r>
      <w:r w:rsidR="00455C96">
        <w:rPr>
          <w:lang w:val="en-US"/>
        </w:rPr>
        <w:t>Therefore, c</w:t>
      </w:r>
      <w:r w:rsidR="00AD19E1">
        <w:rPr>
          <w:lang w:val="en-US"/>
        </w:rPr>
        <w:t>orporate t</w:t>
      </w:r>
      <w:r w:rsidR="006C7147">
        <w:rPr>
          <w:lang w:val="en-US"/>
        </w:rPr>
        <w:t xml:space="preserve">reasurers have more banks to choose from and more </w:t>
      </w:r>
      <w:r w:rsidR="00AD19E1">
        <w:rPr>
          <w:lang w:val="en-US"/>
        </w:rPr>
        <w:t xml:space="preserve">possible bookrunner syndicate structures </w:t>
      </w:r>
      <w:r w:rsidR="006C7147">
        <w:rPr>
          <w:lang w:val="en-US"/>
        </w:rPr>
        <w:t xml:space="preserve">to consider. </w:t>
      </w:r>
      <w:r>
        <w:rPr>
          <w:lang w:val="en-US"/>
        </w:rPr>
        <w:t xml:space="preserve"> </w:t>
      </w:r>
      <w:r w:rsidR="00455C96">
        <w:rPr>
          <w:lang w:val="en-US"/>
        </w:rPr>
        <w:t>It is generally recognized that t</w:t>
      </w:r>
      <w:r w:rsidR="00A41F2B">
        <w:rPr>
          <w:lang w:val="en-US"/>
        </w:rPr>
        <w:t xml:space="preserve">he optimal </w:t>
      </w:r>
      <w:r w:rsidR="00AD19E1">
        <w:rPr>
          <w:lang w:val="en-US"/>
        </w:rPr>
        <w:t xml:space="preserve">bookrunner </w:t>
      </w:r>
      <w:r w:rsidR="00A41F2B">
        <w:rPr>
          <w:lang w:val="en-US"/>
        </w:rPr>
        <w:t>configuration</w:t>
      </w:r>
      <w:r w:rsidR="006C7147">
        <w:rPr>
          <w:lang w:val="en-US"/>
        </w:rPr>
        <w:t xml:space="preserve"> i</w:t>
      </w:r>
      <w:r w:rsidR="00AD19E1">
        <w:rPr>
          <w:lang w:val="en-US"/>
        </w:rPr>
        <w:t>s important to the success of corporate bond issues</w:t>
      </w:r>
      <w:r w:rsidR="006C7147">
        <w:rPr>
          <w:lang w:val="en-US"/>
        </w:rPr>
        <w:t xml:space="preserve">. </w:t>
      </w:r>
      <w:r w:rsidR="00682F93">
        <w:rPr>
          <w:lang w:val="en-US"/>
        </w:rPr>
        <w:t xml:space="preserve">Research shows that </w:t>
      </w:r>
      <w:r w:rsidR="00682F93">
        <w:t xml:space="preserve">appointing </w:t>
      </w:r>
      <w:r w:rsidR="00842C19">
        <w:t>intermediaries</w:t>
      </w:r>
      <w:r w:rsidR="00682F93">
        <w:t xml:space="preserve"> that </w:t>
      </w:r>
      <w:r w:rsidR="00842C19">
        <w:t xml:space="preserve">are </w:t>
      </w:r>
      <w:r w:rsidR="00A41F2B">
        <w:t xml:space="preserve">suitable </w:t>
      </w:r>
      <w:r w:rsidR="00682F93">
        <w:t xml:space="preserve">for the issuing firm and security type affects </w:t>
      </w:r>
      <w:r w:rsidR="00BB35EB">
        <w:t xml:space="preserve">a range of </w:t>
      </w:r>
      <w:r w:rsidR="006C7147">
        <w:t>bond issuance parameters</w:t>
      </w:r>
      <w:r w:rsidR="00BB35EB">
        <w:t xml:space="preserve">, including </w:t>
      </w:r>
      <w:r w:rsidR="00682F93">
        <w:t>pricing, fees</w:t>
      </w:r>
      <w:r w:rsidR="00BB35EB">
        <w:t xml:space="preserve"> charged</w:t>
      </w:r>
      <w:r w:rsidR="00682F93">
        <w:t>, default rates, and financial misrepresentation (</w:t>
      </w:r>
      <w:r w:rsidR="004A5E4D">
        <w:t xml:space="preserve">Andres et al., 2014; </w:t>
      </w:r>
      <w:r w:rsidR="00682F93">
        <w:t xml:space="preserve">Butler, 2008; </w:t>
      </w:r>
      <w:r w:rsidR="00682F93" w:rsidRPr="00DC68DD">
        <w:rPr>
          <w:lang w:val="en-US"/>
        </w:rPr>
        <w:t>Fang, 2005</w:t>
      </w:r>
      <w:r w:rsidR="00682F93">
        <w:rPr>
          <w:lang w:val="en-US"/>
        </w:rPr>
        <w:t xml:space="preserve">; </w:t>
      </w:r>
      <w:r w:rsidR="00682F93" w:rsidRPr="00DC68DD">
        <w:rPr>
          <w:lang w:val="en-US"/>
        </w:rPr>
        <w:t>Shivdasani and Song, 2011</w:t>
      </w:r>
      <w:r w:rsidR="00682F93">
        <w:t>).</w:t>
      </w:r>
      <w:r w:rsidR="00682F93">
        <w:rPr>
          <w:lang w:val="en-US"/>
        </w:rPr>
        <w:t xml:space="preserve"> </w:t>
      </w:r>
      <w:r w:rsidR="00136F74">
        <w:rPr>
          <w:lang w:val="en-US"/>
        </w:rPr>
        <w:t>A</w:t>
      </w:r>
      <w:r w:rsidR="0021195E">
        <w:rPr>
          <w:lang w:val="en-US"/>
        </w:rPr>
        <w:t xml:space="preserve">s corporates </w:t>
      </w:r>
      <w:r w:rsidR="00950E66">
        <w:rPr>
          <w:lang w:val="en-US"/>
        </w:rPr>
        <w:t xml:space="preserve">continue to </w:t>
      </w:r>
      <w:r w:rsidR="0021195E">
        <w:rPr>
          <w:lang w:val="en-US"/>
        </w:rPr>
        <w:t>move towards a more capital markets</w:t>
      </w:r>
      <w:r w:rsidR="00AE713E">
        <w:rPr>
          <w:lang w:val="en-US"/>
        </w:rPr>
        <w:t>-</w:t>
      </w:r>
      <w:r w:rsidR="0021195E">
        <w:rPr>
          <w:lang w:val="en-US"/>
        </w:rPr>
        <w:t>focused</w:t>
      </w:r>
      <w:r w:rsidR="00950E66">
        <w:rPr>
          <w:lang w:val="en-US"/>
        </w:rPr>
        <w:t xml:space="preserve"> funding model</w:t>
      </w:r>
      <w:r w:rsidR="00455C96">
        <w:rPr>
          <w:lang w:val="en-US"/>
        </w:rPr>
        <w:t>,</w:t>
      </w:r>
      <w:r w:rsidR="0021195E">
        <w:rPr>
          <w:lang w:val="en-US"/>
        </w:rPr>
        <w:t xml:space="preserve"> </w:t>
      </w:r>
      <w:r w:rsidR="00455C96">
        <w:rPr>
          <w:lang w:val="en-US"/>
        </w:rPr>
        <w:t>including greater use of the corporate bond market, the bookrunner structure decision becomes increasingly important and a more</w:t>
      </w:r>
      <w:r w:rsidR="0021195E">
        <w:rPr>
          <w:lang w:val="en-US"/>
        </w:rPr>
        <w:t xml:space="preserve"> </w:t>
      </w:r>
      <w:r w:rsidR="00455C96">
        <w:rPr>
          <w:lang w:val="en-US"/>
        </w:rPr>
        <w:t>frequent</w:t>
      </w:r>
      <w:r w:rsidR="00A41F2B">
        <w:rPr>
          <w:lang w:val="en-US"/>
        </w:rPr>
        <w:t xml:space="preserve"> </w:t>
      </w:r>
      <w:r w:rsidR="00455C96">
        <w:rPr>
          <w:lang w:val="en-US"/>
        </w:rPr>
        <w:t xml:space="preserve">consideration </w:t>
      </w:r>
      <w:r w:rsidR="00950E66" w:rsidRPr="00DC68DD">
        <w:rPr>
          <w:lang w:val="en-US"/>
        </w:rPr>
        <w:t>(Eurofi, 2014)</w:t>
      </w:r>
      <w:r w:rsidR="00950E66">
        <w:rPr>
          <w:lang w:val="en-US"/>
        </w:rPr>
        <w:t>.</w:t>
      </w:r>
    </w:p>
    <w:p w14:paraId="2C3C3EFD" w14:textId="48188810" w:rsidR="00EA1946" w:rsidRDefault="00CB50E3" w:rsidP="00DE6E9B">
      <w:pPr>
        <w:spacing w:line="480" w:lineRule="auto"/>
        <w:ind w:firstLine="709"/>
        <w:jc w:val="both"/>
        <w:rPr>
          <w:lang w:val="en-US"/>
        </w:rPr>
      </w:pPr>
      <w:r w:rsidRPr="00DC68DD">
        <w:rPr>
          <w:lang w:val="en-US"/>
        </w:rPr>
        <w:t>In this paper</w:t>
      </w:r>
      <w:r w:rsidR="00780752">
        <w:rPr>
          <w:lang w:val="en-US"/>
        </w:rPr>
        <w:t>,</w:t>
      </w:r>
      <w:r w:rsidRPr="00DC68DD">
        <w:rPr>
          <w:lang w:val="en-US"/>
        </w:rPr>
        <w:t xml:space="preserve"> we </w:t>
      </w:r>
      <w:r w:rsidR="003757BE">
        <w:rPr>
          <w:lang w:val="en-US"/>
        </w:rPr>
        <w:t xml:space="preserve">focus </w:t>
      </w:r>
      <w:r w:rsidR="00455C96">
        <w:rPr>
          <w:lang w:val="en-US"/>
        </w:rPr>
        <w:t xml:space="preserve">specifically </w:t>
      </w:r>
      <w:r w:rsidR="003757BE">
        <w:rPr>
          <w:lang w:val="en-US"/>
        </w:rPr>
        <w:t xml:space="preserve">on </w:t>
      </w:r>
      <w:r w:rsidR="00455C96">
        <w:rPr>
          <w:lang w:val="en-US"/>
        </w:rPr>
        <w:t>one important aspect of the bookrunner syndicate, the</w:t>
      </w:r>
      <w:r w:rsidR="003757BE">
        <w:rPr>
          <w:lang w:val="en-US"/>
        </w:rPr>
        <w:t xml:space="preserve"> geographic</w:t>
      </w:r>
      <w:r w:rsidR="00455C96">
        <w:rPr>
          <w:lang w:val="en-US"/>
        </w:rPr>
        <w:t xml:space="preserve"> split of the bookrunners,</w:t>
      </w:r>
      <w:r w:rsidR="00AD19E1">
        <w:rPr>
          <w:lang w:val="en-US"/>
        </w:rPr>
        <w:t xml:space="preserve"> as this characteristic has been</w:t>
      </w:r>
      <w:r w:rsidR="003757BE">
        <w:rPr>
          <w:lang w:val="en-US"/>
        </w:rPr>
        <w:t xml:space="preserve"> </w:t>
      </w:r>
      <w:r w:rsidR="00950E66">
        <w:rPr>
          <w:lang w:val="en-US"/>
        </w:rPr>
        <w:t>linked</w:t>
      </w:r>
      <w:r w:rsidR="003757BE">
        <w:rPr>
          <w:lang w:val="en-US"/>
        </w:rPr>
        <w:t xml:space="preserve"> to the quality of </w:t>
      </w:r>
      <w:r w:rsidR="00A41F2B">
        <w:rPr>
          <w:lang w:val="en-US"/>
        </w:rPr>
        <w:t xml:space="preserve">bond </w:t>
      </w:r>
      <w:r w:rsidR="003757BE">
        <w:rPr>
          <w:lang w:val="en-US"/>
        </w:rPr>
        <w:t>bookrunner services (</w:t>
      </w:r>
      <w:r w:rsidR="00136F74">
        <w:rPr>
          <w:lang w:val="en-US" w:eastAsia="en-GB"/>
        </w:rPr>
        <w:t>Arena and Dewally, 2012;</w:t>
      </w:r>
      <w:r w:rsidR="00136F74">
        <w:rPr>
          <w:lang w:val="en-US"/>
        </w:rPr>
        <w:t xml:space="preserve"> </w:t>
      </w:r>
      <w:r w:rsidR="003757BE">
        <w:rPr>
          <w:lang w:val="en-US"/>
        </w:rPr>
        <w:t>Butler, 2008; Lau and Yu, 2010).</w:t>
      </w:r>
      <w:r w:rsidR="00CF2A0D">
        <w:rPr>
          <w:lang w:val="en-US"/>
        </w:rPr>
        <w:t xml:space="preserve"> Specifically, we investigate the impact of the proportion of the non-domestic bookrunners in the syndicate on the quality of services</w:t>
      </w:r>
      <w:r w:rsidR="00065D29">
        <w:rPr>
          <w:lang w:val="en-US"/>
        </w:rPr>
        <w:t>, proxied by the at-issue credit spread</w:t>
      </w:r>
      <w:r w:rsidR="00CF2A0D">
        <w:rPr>
          <w:lang w:val="en-US"/>
        </w:rPr>
        <w:t>.</w:t>
      </w:r>
      <w:r w:rsidR="00AD19E1" w:rsidRPr="004879EA">
        <w:rPr>
          <w:color w:val="FF0000"/>
          <w:lang w:val="en-US"/>
        </w:rPr>
        <w:t xml:space="preserve"> </w:t>
      </w:r>
      <w:r w:rsidR="003757BE" w:rsidRPr="004879EA">
        <w:rPr>
          <w:lang w:val="en-US"/>
        </w:rPr>
        <w:t>To</w:t>
      </w:r>
      <w:r w:rsidR="003757BE" w:rsidRPr="004879EA">
        <w:rPr>
          <w:color w:val="FF0000"/>
          <w:lang w:val="en-US"/>
        </w:rPr>
        <w:t xml:space="preserve"> </w:t>
      </w:r>
      <w:r w:rsidR="003757BE">
        <w:rPr>
          <w:lang w:val="en-US"/>
        </w:rPr>
        <w:t>our knowledge</w:t>
      </w:r>
      <w:r w:rsidR="00AE713E">
        <w:rPr>
          <w:lang w:val="en-US"/>
        </w:rPr>
        <w:t>,</w:t>
      </w:r>
      <w:r w:rsidR="003757BE">
        <w:rPr>
          <w:lang w:val="en-US"/>
        </w:rPr>
        <w:t xml:space="preserve"> </w:t>
      </w:r>
      <w:r w:rsidR="006E506D">
        <w:rPr>
          <w:lang w:val="en-US"/>
        </w:rPr>
        <w:t>this is</w:t>
      </w:r>
      <w:r w:rsidR="003757BE">
        <w:rPr>
          <w:lang w:val="en-US"/>
        </w:rPr>
        <w:t xml:space="preserve"> the first paper to consider the </w:t>
      </w:r>
      <w:r w:rsidR="00BB1D18">
        <w:rPr>
          <w:lang w:val="en-US"/>
        </w:rPr>
        <w:t xml:space="preserve">effect of the </w:t>
      </w:r>
      <w:r w:rsidR="00BB33FB">
        <w:rPr>
          <w:lang w:val="en-US"/>
        </w:rPr>
        <w:t xml:space="preserve">overall </w:t>
      </w:r>
      <w:r w:rsidR="00DE6E9B">
        <w:rPr>
          <w:lang w:val="en-US"/>
        </w:rPr>
        <w:t xml:space="preserve">structure of the </w:t>
      </w:r>
      <w:r w:rsidR="003757BE">
        <w:rPr>
          <w:lang w:val="en-US"/>
        </w:rPr>
        <w:t xml:space="preserve">full </w:t>
      </w:r>
      <w:r w:rsidR="00EA1946">
        <w:rPr>
          <w:lang w:val="en-US"/>
        </w:rPr>
        <w:t xml:space="preserve">bond </w:t>
      </w:r>
      <w:r w:rsidR="003757BE">
        <w:rPr>
          <w:lang w:val="en-US"/>
        </w:rPr>
        <w:t>bookrunner syndicate, not simply a sole or lead underwriter (Butler, 2008; Lau and Yu, 2010).</w:t>
      </w:r>
      <w:r w:rsidR="00136F74">
        <w:rPr>
          <w:rStyle w:val="FootnoteReference"/>
          <w:lang w:val="en-US"/>
        </w:rPr>
        <w:footnoteReference w:id="1"/>
      </w:r>
      <w:r w:rsidR="003757BE">
        <w:rPr>
          <w:lang w:val="en-US"/>
        </w:rPr>
        <w:t xml:space="preserve"> </w:t>
      </w:r>
      <w:r w:rsidR="00EA1946">
        <w:rPr>
          <w:lang w:val="en-US"/>
        </w:rPr>
        <w:lastRenderedPageBreak/>
        <w:t xml:space="preserve">This allows us to more accurately study the nature of </w:t>
      </w:r>
      <w:r w:rsidR="00BB1D18">
        <w:rPr>
          <w:lang w:val="en-US"/>
        </w:rPr>
        <w:t>the international debt capital markets</w:t>
      </w:r>
      <w:r w:rsidR="00EA1946">
        <w:rPr>
          <w:lang w:val="en-US"/>
        </w:rPr>
        <w:t xml:space="preserve">, where multiple bookrunners co-operate closely in a relatively egalitarian structure throughout the </w:t>
      </w:r>
      <w:r w:rsidR="00DE6E9B">
        <w:rPr>
          <w:lang w:val="en-US"/>
        </w:rPr>
        <w:t xml:space="preserve">bond </w:t>
      </w:r>
      <w:r w:rsidR="00EA1946">
        <w:rPr>
          <w:lang w:val="en-US"/>
        </w:rPr>
        <w:t>issuance process.</w:t>
      </w:r>
      <w:r w:rsidR="00DE6E9B">
        <w:rPr>
          <w:lang w:val="en-US"/>
        </w:rPr>
        <w:t xml:space="preserve"> </w:t>
      </w:r>
      <w:r w:rsidR="00EA1946">
        <w:rPr>
          <w:lang w:val="en-US"/>
        </w:rPr>
        <w:t xml:space="preserve">We also incorporate </w:t>
      </w:r>
      <w:r w:rsidR="009F7639">
        <w:rPr>
          <w:lang w:val="en-US"/>
        </w:rPr>
        <w:t xml:space="preserve">all key </w:t>
      </w:r>
      <w:r w:rsidR="00EA1946">
        <w:rPr>
          <w:lang w:val="en-US"/>
        </w:rPr>
        <w:t>decision parameters an issuer appl</w:t>
      </w:r>
      <w:r w:rsidR="009F7639">
        <w:rPr>
          <w:lang w:val="en-US"/>
        </w:rPr>
        <w:t>ies</w:t>
      </w:r>
      <w:r w:rsidR="00EA1946">
        <w:rPr>
          <w:lang w:val="en-US"/>
        </w:rPr>
        <w:t xml:space="preserve"> w</w:t>
      </w:r>
      <w:r w:rsidR="00DE6E9B">
        <w:rPr>
          <w:lang w:val="en-US"/>
        </w:rPr>
        <w:t>hen selecting bookrunners, including</w:t>
      </w:r>
      <w:r w:rsidR="00EA1946">
        <w:rPr>
          <w:lang w:val="en-US"/>
        </w:rPr>
        <w:t xml:space="preserve"> their league table position, </w:t>
      </w:r>
      <w:r w:rsidR="009F7639">
        <w:rPr>
          <w:lang w:val="en-US"/>
        </w:rPr>
        <w:t xml:space="preserve">geography, </w:t>
      </w:r>
      <w:r w:rsidR="00EA1946">
        <w:rPr>
          <w:lang w:val="en-US"/>
        </w:rPr>
        <w:t>prior lending relationship</w:t>
      </w:r>
      <w:r w:rsidR="00AE713E">
        <w:rPr>
          <w:lang w:val="en-US"/>
        </w:rPr>
        <w:t>,</w:t>
      </w:r>
      <w:r w:rsidR="00EA1946">
        <w:rPr>
          <w:lang w:val="en-US"/>
        </w:rPr>
        <w:t xml:space="preserve"> and </w:t>
      </w:r>
      <w:r w:rsidR="009F7639">
        <w:rPr>
          <w:lang w:val="en-US"/>
        </w:rPr>
        <w:t>distribution network</w:t>
      </w:r>
      <w:r w:rsidR="00EA1946">
        <w:rPr>
          <w:lang w:val="en-US"/>
        </w:rPr>
        <w:t>. In addition</w:t>
      </w:r>
      <w:r w:rsidR="00AE713E">
        <w:rPr>
          <w:lang w:val="en-US"/>
        </w:rPr>
        <w:t>,</w:t>
      </w:r>
      <w:r w:rsidR="00EA1946">
        <w:rPr>
          <w:lang w:val="en-US"/>
        </w:rPr>
        <w:t xml:space="preserve"> we take into account the </w:t>
      </w:r>
      <w:r w:rsidR="009F7639">
        <w:rPr>
          <w:lang w:val="en-US"/>
        </w:rPr>
        <w:t xml:space="preserve">increasingly </w:t>
      </w:r>
      <w:r w:rsidR="00EA1946">
        <w:rPr>
          <w:lang w:val="en-US"/>
        </w:rPr>
        <w:t>common method of appointing both active and passive bookrunners</w:t>
      </w:r>
      <w:r w:rsidR="00BB33FB">
        <w:rPr>
          <w:lang w:val="en-US"/>
        </w:rPr>
        <w:t xml:space="preserve"> in the overall bookrunner structure</w:t>
      </w:r>
      <w:r w:rsidR="00EA1946">
        <w:rPr>
          <w:lang w:val="en-US"/>
        </w:rPr>
        <w:t>.</w:t>
      </w:r>
    </w:p>
    <w:p w14:paraId="6683AEE1" w14:textId="47A111AD" w:rsidR="0059546D" w:rsidRPr="00555663" w:rsidRDefault="0059546D" w:rsidP="0059546D">
      <w:pPr>
        <w:spacing w:line="480" w:lineRule="auto"/>
        <w:ind w:firstLine="709"/>
        <w:jc w:val="both"/>
        <w:rPr>
          <w:strike/>
          <w:lang w:val="en-US"/>
        </w:rPr>
      </w:pPr>
      <w:r w:rsidRPr="00E4655B">
        <w:rPr>
          <w:lang w:val="en-US"/>
        </w:rPr>
        <w:t xml:space="preserve">Debt intermediation theories posit two main functions for a bond bookrunner syndicate. They have a certification role, evaluating the issuer on behalf of investors (Chemmanur and Fulghieri, 1994), and a placement role, which involves marketing and distributing the securities to be issued (Kessel, 1971). </w:t>
      </w:r>
      <w:r w:rsidR="007279F2">
        <w:rPr>
          <w:lang w:val="en-US"/>
        </w:rPr>
        <w:t xml:space="preserve">Although </w:t>
      </w:r>
      <w:r w:rsidR="009B79CC">
        <w:rPr>
          <w:lang w:val="en-US"/>
        </w:rPr>
        <w:t xml:space="preserve">there is evidence </w:t>
      </w:r>
      <w:r w:rsidR="007279F2">
        <w:rPr>
          <w:lang w:val="en-US"/>
        </w:rPr>
        <w:t>point</w:t>
      </w:r>
      <w:r w:rsidR="009B79CC">
        <w:rPr>
          <w:lang w:val="en-US"/>
        </w:rPr>
        <w:t>ing</w:t>
      </w:r>
      <w:r w:rsidR="007279F2">
        <w:rPr>
          <w:lang w:val="en-US"/>
        </w:rPr>
        <w:t xml:space="preserve"> out the benefit</w:t>
      </w:r>
      <w:r w:rsidR="009B79CC">
        <w:rPr>
          <w:lang w:val="en-US"/>
        </w:rPr>
        <w:t>s</w:t>
      </w:r>
      <w:r w:rsidR="007279F2">
        <w:rPr>
          <w:lang w:val="en-US"/>
        </w:rPr>
        <w:t xml:space="preserve"> of </w:t>
      </w:r>
      <w:r w:rsidR="009B79CC">
        <w:rPr>
          <w:lang w:val="en-US"/>
        </w:rPr>
        <w:t xml:space="preserve">the </w:t>
      </w:r>
      <w:r w:rsidR="007279F2">
        <w:rPr>
          <w:lang w:val="en-US"/>
        </w:rPr>
        <w:t>certification role of bookrunners in syndicated market (Fang, 2005), other</w:t>
      </w:r>
      <w:r w:rsidR="009B79CC">
        <w:rPr>
          <w:lang w:val="en-US"/>
        </w:rPr>
        <w:t>s</w:t>
      </w:r>
      <w:r w:rsidR="007279F2">
        <w:rPr>
          <w:lang w:val="en-US"/>
        </w:rPr>
        <w:t xml:space="preserve"> </w:t>
      </w:r>
      <w:r w:rsidR="009B79CC">
        <w:rPr>
          <w:lang w:val="en-US"/>
        </w:rPr>
        <w:t>suggest that</w:t>
      </w:r>
      <w:r w:rsidR="007279F2">
        <w:rPr>
          <w:lang w:val="en-US"/>
        </w:rPr>
        <w:t xml:space="preserve"> bookrunners </w:t>
      </w:r>
      <w:r w:rsidR="009B79CC">
        <w:rPr>
          <w:lang w:val="en-US"/>
        </w:rPr>
        <w:t xml:space="preserve">have been </w:t>
      </w:r>
      <w:r w:rsidR="007279F2">
        <w:rPr>
          <w:lang w:val="en-US"/>
        </w:rPr>
        <w:t xml:space="preserve">shifting their focus from certifying quality to maximizing issuers’ valuation (Andres et al., 2014). </w:t>
      </w:r>
      <w:r w:rsidR="00065D29">
        <w:rPr>
          <w:lang w:val="en-US"/>
        </w:rPr>
        <w:t>O</w:t>
      </w:r>
      <w:r w:rsidRPr="00E4655B">
        <w:rPr>
          <w:lang w:val="en-US"/>
        </w:rPr>
        <w:t>n</w:t>
      </w:r>
      <w:r w:rsidR="00E4655B">
        <w:rPr>
          <w:lang w:val="en-US"/>
        </w:rPr>
        <w:t xml:space="preserve"> the</w:t>
      </w:r>
      <w:r w:rsidRPr="00E4655B">
        <w:rPr>
          <w:lang w:val="en-US"/>
        </w:rPr>
        <w:t xml:space="preserve"> placement function, </w:t>
      </w:r>
      <w:r w:rsidR="00331160">
        <w:rPr>
          <w:lang w:val="en-US"/>
        </w:rPr>
        <w:t>the literature provide</w:t>
      </w:r>
      <w:r w:rsidR="00361412">
        <w:rPr>
          <w:lang w:val="en-US"/>
        </w:rPr>
        <w:t>s</w:t>
      </w:r>
      <w:r w:rsidR="00331160">
        <w:rPr>
          <w:lang w:val="en-US"/>
        </w:rPr>
        <w:t xml:space="preserve"> </w:t>
      </w:r>
      <w:r w:rsidR="00361412">
        <w:rPr>
          <w:lang w:val="en-US"/>
        </w:rPr>
        <w:t xml:space="preserve">a </w:t>
      </w:r>
      <w:r w:rsidR="00331160">
        <w:rPr>
          <w:lang w:val="en-US"/>
        </w:rPr>
        <w:t>consistent view</w:t>
      </w:r>
      <w:r w:rsidRPr="00E4655B">
        <w:rPr>
          <w:lang w:val="en-US"/>
        </w:rPr>
        <w:t xml:space="preserve"> on the benefits of bookrunner locality. Domestic bookrunners potentially have more experience of the local investor base</w:t>
      </w:r>
      <w:r w:rsidR="00E4655B">
        <w:rPr>
          <w:lang w:val="en-US"/>
        </w:rPr>
        <w:t xml:space="preserve"> during their location advantage derived from their geographical proximity to issuers</w:t>
      </w:r>
      <w:r w:rsidRPr="00E4655B">
        <w:rPr>
          <w:lang w:val="en-US"/>
        </w:rPr>
        <w:t xml:space="preserve">, allowing them to better assess the expected demand for the issued securities (Butler, 2008). </w:t>
      </w:r>
    </w:p>
    <w:p w14:paraId="34FE19F4" w14:textId="5F6C6242" w:rsidR="0059546D" w:rsidRDefault="00333721" w:rsidP="00C24556">
      <w:pPr>
        <w:spacing w:line="480" w:lineRule="auto"/>
        <w:ind w:firstLine="709"/>
        <w:jc w:val="both"/>
        <w:rPr>
          <w:lang w:val="en-US" w:eastAsia="en-GB"/>
        </w:rPr>
      </w:pPr>
      <w:r w:rsidRPr="00EA6B35">
        <w:rPr>
          <w:lang w:val="en-US"/>
        </w:rPr>
        <w:t xml:space="preserve">We examine the arguments </w:t>
      </w:r>
      <w:r w:rsidR="004A426E">
        <w:rPr>
          <w:lang w:val="en-US"/>
        </w:rPr>
        <w:t xml:space="preserve">based on </w:t>
      </w:r>
      <w:r w:rsidRPr="00EA6B35">
        <w:rPr>
          <w:lang w:val="en-US"/>
        </w:rPr>
        <w:t>these</w:t>
      </w:r>
      <w:r w:rsidR="0059546D" w:rsidRPr="00EA6B35">
        <w:rPr>
          <w:lang w:val="en-US"/>
        </w:rPr>
        <w:t xml:space="preserve"> theories using a sample of </w:t>
      </w:r>
      <w:r w:rsidR="003A7AC1" w:rsidRPr="00EA6B35">
        <w:rPr>
          <w:lang w:val="en-US"/>
        </w:rPr>
        <w:t>2,409</w:t>
      </w:r>
      <w:r w:rsidR="0059546D" w:rsidRPr="00EA6B35">
        <w:rPr>
          <w:lang w:val="en-US"/>
        </w:rPr>
        <w:t xml:space="preserve"> investment</w:t>
      </w:r>
      <w:r w:rsidR="00AE713E" w:rsidRPr="00EA6B35">
        <w:rPr>
          <w:lang w:val="en-US"/>
        </w:rPr>
        <w:t>-</w:t>
      </w:r>
      <w:r w:rsidR="0059546D" w:rsidRPr="00EA6B35">
        <w:rPr>
          <w:lang w:val="en-US"/>
        </w:rPr>
        <w:t xml:space="preserve">grade euro-denominated corporate bond tranches issued between 2001 and </w:t>
      </w:r>
      <w:r w:rsidR="003A7AC1" w:rsidRPr="00EA6B35">
        <w:rPr>
          <w:lang w:val="en-US"/>
        </w:rPr>
        <w:t>2020</w:t>
      </w:r>
      <w:r w:rsidR="0059546D" w:rsidRPr="00EA6B35">
        <w:rPr>
          <w:lang w:val="en-US"/>
        </w:rPr>
        <w:t xml:space="preserve">. </w:t>
      </w:r>
      <w:r w:rsidR="0059546D">
        <w:rPr>
          <w:lang w:val="en-US"/>
        </w:rPr>
        <w:t>Th</w:t>
      </w:r>
      <w:r w:rsidR="00AE713E">
        <w:rPr>
          <w:lang w:val="en-US"/>
        </w:rPr>
        <w:t>e</w:t>
      </w:r>
      <w:r w:rsidR="0059546D">
        <w:rPr>
          <w:lang w:val="en-US"/>
        </w:rPr>
        <w:t xml:space="preserve"> sample period and </w:t>
      </w:r>
      <w:r>
        <w:rPr>
          <w:lang w:val="en-US"/>
        </w:rPr>
        <w:t xml:space="preserve">the </w:t>
      </w:r>
      <w:r w:rsidR="0059546D">
        <w:rPr>
          <w:lang w:val="en-US"/>
        </w:rPr>
        <w:t xml:space="preserve">security market </w:t>
      </w:r>
      <w:r>
        <w:rPr>
          <w:lang w:val="en-US"/>
        </w:rPr>
        <w:t xml:space="preserve">examined </w:t>
      </w:r>
      <w:r w:rsidR="0059546D">
        <w:rPr>
          <w:lang w:val="en-US"/>
        </w:rPr>
        <w:t>provide a distinct setting to evaluate the</w:t>
      </w:r>
      <w:r w:rsidR="00065D29">
        <w:rPr>
          <w:lang w:val="en-US"/>
        </w:rPr>
        <w:t xml:space="preserve"> </w:t>
      </w:r>
      <w:r w:rsidR="0059546D">
        <w:rPr>
          <w:lang w:val="en-US"/>
        </w:rPr>
        <w:t>role of bookrunners</w:t>
      </w:r>
      <w:r w:rsidR="00065D29">
        <w:rPr>
          <w:lang w:val="en-US"/>
        </w:rPr>
        <w:t xml:space="preserve"> and the quality of their service</w:t>
      </w:r>
      <w:r w:rsidR="0059546D">
        <w:rPr>
          <w:lang w:val="en-US"/>
        </w:rPr>
        <w:t>.</w:t>
      </w:r>
      <w:r w:rsidR="004A426E">
        <w:rPr>
          <w:lang w:val="en-US"/>
        </w:rPr>
        <w:t xml:space="preserve"> This period also allows us to consider the impact of the global </w:t>
      </w:r>
      <w:r w:rsidR="004A426E" w:rsidRPr="00F9603D">
        <w:rPr>
          <w:lang w:val="en-US"/>
        </w:rPr>
        <w:t>financial crisis and the eurozone crisis</w:t>
      </w:r>
      <w:r w:rsidR="004A426E">
        <w:rPr>
          <w:lang w:val="en-US"/>
        </w:rPr>
        <w:t xml:space="preserve"> on the </w:t>
      </w:r>
      <w:r w:rsidR="004A426E" w:rsidRPr="00F9603D">
        <w:rPr>
          <w:lang w:val="en-US"/>
        </w:rPr>
        <w:t>relation between bookrunner syndicate geograph</w:t>
      </w:r>
      <w:r w:rsidR="004A426E">
        <w:rPr>
          <w:lang w:val="en-US"/>
        </w:rPr>
        <w:t xml:space="preserve">y </w:t>
      </w:r>
      <w:r w:rsidR="004A426E" w:rsidRPr="00F9603D">
        <w:rPr>
          <w:lang w:val="en-US"/>
        </w:rPr>
        <w:t>and quality of service</w:t>
      </w:r>
      <w:r w:rsidR="004A426E">
        <w:rPr>
          <w:lang w:val="en-US"/>
        </w:rPr>
        <w:t xml:space="preserve"> and the importance of the placement and certification roles</w:t>
      </w:r>
      <w:r w:rsidR="004A426E" w:rsidRPr="00F9603D">
        <w:rPr>
          <w:lang w:val="en-US"/>
        </w:rPr>
        <w:t>.</w:t>
      </w:r>
      <w:r w:rsidR="0059546D">
        <w:rPr>
          <w:lang w:val="en-US"/>
        </w:rPr>
        <w:t xml:space="preserve"> We have the benefit of </w:t>
      </w:r>
      <w:r>
        <w:rPr>
          <w:lang w:val="en-US"/>
        </w:rPr>
        <w:t xml:space="preserve">examining </w:t>
      </w:r>
      <w:r w:rsidR="0059546D">
        <w:rPr>
          <w:lang w:val="en-US"/>
        </w:rPr>
        <w:t xml:space="preserve">a reasonably homogeneous product </w:t>
      </w:r>
      <w:r w:rsidR="0059546D">
        <w:rPr>
          <w:lang w:val="en-US"/>
        </w:rPr>
        <w:lastRenderedPageBreak/>
        <w:t>market, unlike other international studies (Lau and Yu, 2010), and we have a wider range of issuer and bookrunner heterogeneity than US-focused studies (Arena and Dewally, 2010; Butler, 2008).</w:t>
      </w:r>
      <w:r w:rsidR="00C24556">
        <w:rPr>
          <w:lang w:val="en-US"/>
        </w:rPr>
        <w:t xml:space="preserve"> </w:t>
      </w:r>
      <w:r w:rsidR="00C24556" w:rsidRPr="00D9587A">
        <w:rPr>
          <w:lang w:val="en-US"/>
        </w:rPr>
        <w:t>T</w:t>
      </w:r>
      <w:r w:rsidR="0059546D" w:rsidRPr="00D9587A">
        <w:rPr>
          <w:lang w:val="en-US"/>
        </w:rPr>
        <w:t>he euro-denominated corporate bond market has both</w:t>
      </w:r>
      <w:r w:rsidR="0059546D" w:rsidRPr="00D9587A">
        <w:rPr>
          <w:lang w:val="en-US" w:eastAsia="en-GB"/>
        </w:rPr>
        <w:t xml:space="preserve"> a shared currency and common legislation set out in the European Union Prospectus Directive governing bond market issuance.</w:t>
      </w:r>
      <w:r w:rsidR="0059546D">
        <w:rPr>
          <w:lang w:val="en-US" w:eastAsia="en-GB"/>
        </w:rPr>
        <w:t xml:space="preserve"> </w:t>
      </w:r>
      <w:r w:rsidR="0059546D">
        <w:rPr>
          <w:lang w:val="en-US"/>
        </w:rPr>
        <w:t>Euro-denominated corporate bonds are also priced against a common benchmark mid-swap rate</w:t>
      </w:r>
      <w:r w:rsidR="0059546D" w:rsidRPr="00DC68DD">
        <w:rPr>
          <w:lang w:val="en-US" w:eastAsia="en-GB"/>
        </w:rPr>
        <w:t xml:space="preserve">. </w:t>
      </w:r>
      <w:r w:rsidR="0059546D">
        <w:rPr>
          <w:lang w:val="en-US" w:eastAsia="en-GB"/>
        </w:rPr>
        <w:t xml:space="preserve">There is consistency in </w:t>
      </w:r>
      <w:r w:rsidR="0059546D">
        <w:t xml:space="preserve">prospectus </w:t>
      </w:r>
      <w:r w:rsidR="0059546D" w:rsidRPr="002D71BF">
        <w:t>drafting</w:t>
      </w:r>
      <w:r w:rsidR="0059546D">
        <w:t>, which</w:t>
      </w:r>
      <w:r w:rsidR="0059546D" w:rsidRPr="002D71BF">
        <w:t xml:space="preserve"> is typically </w:t>
      </w:r>
      <w:r w:rsidR="0059546D">
        <w:t>undertaken</w:t>
      </w:r>
      <w:r w:rsidR="0059546D" w:rsidRPr="002D71BF">
        <w:t xml:space="preserve"> in accordance with templates produced by the International Capital Market Association</w:t>
      </w:r>
      <w:r w:rsidR="0059546D">
        <w:t xml:space="preserve"> (ICMA</w:t>
      </w:r>
      <w:r w:rsidR="007824E4">
        <w:t>, 2014</w:t>
      </w:r>
      <w:r w:rsidR="0059546D">
        <w:t>)</w:t>
      </w:r>
      <w:r w:rsidR="0059546D" w:rsidRPr="002D71BF">
        <w:t xml:space="preserve">. </w:t>
      </w:r>
      <w:r w:rsidR="0059546D">
        <w:t xml:space="preserve">In addition, our sample of bonds </w:t>
      </w:r>
      <w:r w:rsidR="00AE713E">
        <w:t>is</w:t>
      </w:r>
      <w:r w:rsidR="0059546D">
        <w:t xml:space="preserve"> relatively free of the sort of covenants found in high yield securities. Therefore, </w:t>
      </w:r>
      <w:r w:rsidR="0059546D">
        <w:rPr>
          <w:lang w:val="en-US" w:eastAsia="en-GB"/>
        </w:rPr>
        <w:t>w</w:t>
      </w:r>
      <w:r w:rsidR="0059546D" w:rsidRPr="00DC68DD">
        <w:rPr>
          <w:lang w:val="en-US" w:eastAsia="en-GB"/>
        </w:rPr>
        <w:t xml:space="preserve">e can largely ignore foreign exchange and legal </w:t>
      </w:r>
      <w:r w:rsidR="0059546D">
        <w:rPr>
          <w:lang w:val="en-US" w:eastAsia="en-GB"/>
        </w:rPr>
        <w:t>factors</w:t>
      </w:r>
      <w:r w:rsidR="0059546D" w:rsidRPr="00DC68DD">
        <w:rPr>
          <w:lang w:val="en-US" w:eastAsia="en-GB"/>
        </w:rPr>
        <w:t xml:space="preserve"> and focus on </w:t>
      </w:r>
      <w:r w:rsidR="0059546D">
        <w:rPr>
          <w:lang w:val="en-US" w:eastAsia="en-GB"/>
        </w:rPr>
        <w:t xml:space="preserve">the importance of </w:t>
      </w:r>
      <w:r w:rsidR="0059546D" w:rsidRPr="00DC68DD">
        <w:rPr>
          <w:lang w:val="en-US" w:eastAsia="en-GB"/>
        </w:rPr>
        <w:t>cross-</w:t>
      </w:r>
      <w:r w:rsidR="0059546D">
        <w:rPr>
          <w:lang w:val="en-US" w:eastAsia="en-GB"/>
        </w:rPr>
        <w:t>country</w:t>
      </w:r>
      <w:r w:rsidR="0059546D" w:rsidRPr="00DC68DD">
        <w:rPr>
          <w:lang w:val="en-US" w:eastAsia="en-GB"/>
        </w:rPr>
        <w:t xml:space="preserve"> differences</w:t>
      </w:r>
      <w:r w:rsidR="0059546D">
        <w:rPr>
          <w:lang w:val="en-US" w:eastAsia="en-GB"/>
        </w:rPr>
        <w:t xml:space="preserve"> to explain the impact of bookrunners on the pricing of corporate bond tranches.</w:t>
      </w:r>
      <w:r w:rsidR="0059546D" w:rsidRPr="00526954">
        <w:rPr>
          <w:lang w:val="en-US" w:eastAsia="en-GB"/>
        </w:rPr>
        <w:t xml:space="preserve"> </w:t>
      </w:r>
    </w:p>
    <w:p w14:paraId="1B4926F8" w14:textId="5D306C31" w:rsidR="0059546D" w:rsidRDefault="00255978" w:rsidP="00E73FCA">
      <w:pPr>
        <w:spacing w:line="480" w:lineRule="auto"/>
        <w:ind w:firstLine="709"/>
        <w:jc w:val="both"/>
        <w:rPr>
          <w:lang w:val="en-US"/>
        </w:rPr>
      </w:pPr>
      <w:r>
        <w:rPr>
          <w:lang w:val="en-US"/>
        </w:rPr>
        <w:t>We find that the appointment of a higher share of domestic bookrunners leads to a reduction in the at-issue spread</w:t>
      </w:r>
      <w:r w:rsidR="00333721">
        <w:rPr>
          <w:lang w:val="en-US"/>
        </w:rPr>
        <w:t xml:space="preserve"> suggesting an improvement in the quality of service</w:t>
      </w:r>
      <w:r>
        <w:rPr>
          <w:lang w:val="en-US"/>
        </w:rPr>
        <w:t xml:space="preserve">. </w:t>
      </w:r>
      <w:r w:rsidR="00513F31">
        <w:rPr>
          <w:lang w:val="en-US"/>
        </w:rPr>
        <w:t xml:space="preserve">We propose that </w:t>
      </w:r>
      <w:r w:rsidR="0005511A">
        <w:rPr>
          <w:lang w:val="en-US"/>
        </w:rPr>
        <w:t>d</w:t>
      </w:r>
      <w:r w:rsidR="00F663FA">
        <w:rPr>
          <w:lang w:val="en-US"/>
        </w:rPr>
        <w:t>omestic bookrunners have locational advantage which not only gives them better access to the investors base</w:t>
      </w:r>
      <w:r w:rsidR="00B23C8F">
        <w:rPr>
          <w:lang w:val="en-US"/>
        </w:rPr>
        <w:t>,</w:t>
      </w:r>
      <w:r w:rsidR="00F663FA">
        <w:rPr>
          <w:lang w:val="en-US"/>
        </w:rPr>
        <w:t xml:space="preserve"> it also gives them “soft” informational advantage as they are more familiar with the issuer and its operations. </w:t>
      </w:r>
      <w:r w:rsidR="00E73FCA">
        <w:rPr>
          <w:lang w:val="en-US"/>
        </w:rPr>
        <w:t xml:space="preserve">Our results are robust to other definitions of </w:t>
      </w:r>
      <w:r w:rsidR="00E73FCA" w:rsidRPr="00DC68DD">
        <w:rPr>
          <w:lang w:val="en-US"/>
        </w:rPr>
        <w:t>bookrunner geography</w:t>
      </w:r>
      <w:r w:rsidR="00E73FCA">
        <w:rPr>
          <w:lang w:val="en-US"/>
        </w:rPr>
        <w:t xml:space="preserve"> and </w:t>
      </w:r>
      <w:r w:rsidR="00F93E74">
        <w:rPr>
          <w:lang w:val="en-US"/>
        </w:rPr>
        <w:t xml:space="preserve">when </w:t>
      </w:r>
      <w:r w:rsidR="00E73FCA">
        <w:rPr>
          <w:lang w:val="en-US"/>
        </w:rPr>
        <w:t>we control for endogeneity in</w:t>
      </w:r>
      <w:r w:rsidR="00E73FCA" w:rsidRPr="00DC68DD">
        <w:rPr>
          <w:lang w:val="en-US"/>
        </w:rPr>
        <w:t xml:space="preserve"> </w:t>
      </w:r>
      <w:r w:rsidR="00E73FCA">
        <w:rPr>
          <w:lang w:val="en-US"/>
        </w:rPr>
        <w:t>the assignment of bookrunner roles</w:t>
      </w:r>
      <w:r w:rsidR="00E73FCA" w:rsidRPr="00DC68DD">
        <w:rPr>
          <w:lang w:val="en-US"/>
        </w:rPr>
        <w:t>.</w:t>
      </w:r>
      <w:r w:rsidR="00E73FCA">
        <w:rPr>
          <w:lang w:val="en-US"/>
        </w:rPr>
        <w:t xml:space="preserve"> </w:t>
      </w:r>
    </w:p>
    <w:p w14:paraId="29FF2E34" w14:textId="214B3A53" w:rsidR="00EB1AED" w:rsidRDefault="00AD3721" w:rsidP="00EB1AED">
      <w:pPr>
        <w:shd w:val="clear" w:color="auto" w:fill="FFFFFF"/>
        <w:spacing w:line="480" w:lineRule="auto"/>
        <w:ind w:firstLine="709"/>
        <w:jc w:val="both"/>
        <w:rPr>
          <w:lang w:val="en-US"/>
        </w:rPr>
      </w:pPr>
      <w:r>
        <w:rPr>
          <w:lang w:val="en-US"/>
        </w:rPr>
        <w:t>Importantly, we find that o</w:t>
      </w:r>
      <w:r w:rsidR="00EB1AED" w:rsidRPr="00F9603D">
        <w:rPr>
          <w:lang w:val="en-US"/>
        </w:rPr>
        <w:t xml:space="preserve">ur </w:t>
      </w:r>
      <w:r w:rsidR="006E7E2B" w:rsidRPr="00F9603D">
        <w:rPr>
          <w:lang w:val="en-US"/>
        </w:rPr>
        <w:t xml:space="preserve">main </w:t>
      </w:r>
      <w:r w:rsidR="00EB1AED" w:rsidRPr="00F9603D">
        <w:rPr>
          <w:lang w:val="en-US"/>
        </w:rPr>
        <w:t xml:space="preserve">results </w:t>
      </w:r>
      <w:r w:rsidR="006E7E2B" w:rsidRPr="00F9603D">
        <w:rPr>
          <w:lang w:val="en-US"/>
        </w:rPr>
        <w:t>are</w:t>
      </w:r>
      <w:r w:rsidR="00EB1AED" w:rsidRPr="00F9603D">
        <w:rPr>
          <w:lang w:val="en-US"/>
        </w:rPr>
        <w:t xml:space="preserve"> driven by tranches issued </w:t>
      </w:r>
      <w:r w:rsidR="00AE713E" w:rsidRPr="00F9603D">
        <w:rPr>
          <w:lang w:val="en-US"/>
        </w:rPr>
        <w:t xml:space="preserve">during </w:t>
      </w:r>
      <w:r w:rsidR="00594046">
        <w:rPr>
          <w:lang w:val="en-US"/>
        </w:rPr>
        <w:t xml:space="preserve">both </w:t>
      </w:r>
      <w:r w:rsidR="00AE713E" w:rsidRPr="00F9603D">
        <w:rPr>
          <w:lang w:val="en-US"/>
        </w:rPr>
        <w:t>the</w:t>
      </w:r>
      <w:r w:rsidR="00EB1AED" w:rsidRPr="00F9603D">
        <w:rPr>
          <w:lang w:val="en-US"/>
        </w:rPr>
        <w:t xml:space="preserve"> global financial crisis</w:t>
      </w:r>
      <w:r w:rsidR="003A7AC1" w:rsidRPr="00F9603D">
        <w:rPr>
          <w:lang w:val="en-US"/>
        </w:rPr>
        <w:t xml:space="preserve"> and the eurozone crisis</w:t>
      </w:r>
      <w:r w:rsidR="00EB1AED" w:rsidRPr="00F9603D">
        <w:rPr>
          <w:lang w:val="en-US"/>
        </w:rPr>
        <w:t xml:space="preserve">. </w:t>
      </w:r>
      <w:r w:rsidR="008644A9" w:rsidRPr="00F9603D">
        <w:rPr>
          <w:lang w:val="en-US"/>
        </w:rPr>
        <w:t>Before</w:t>
      </w:r>
      <w:r w:rsidR="00EB1AED" w:rsidRPr="00F9603D">
        <w:rPr>
          <w:lang w:val="en-US"/>
        </w:rPr>
        <w:t xml:space="preserve"> the </w:t>
      </w:r>
      <w:r w:rsidR="00594046">
        <w:rPr>
          <w:lang w:val="en-US"/>
        </w:rPr>
        <w:t xml:space="preserve">global </w:t>
      </w:r>
      <w:r w:rsidR="008644A9" w:rsidRPr="00F9603D">
        <w:rPr>
          <w:lang w:val="en-US"/>
        </w:rPr>
        <w:t xml:space="preserve">financial </w:t>
      </w:r>
      <w:r w:rsidR="00EB1AED" w:rsidRPr="00F9603D">
        <w:rPr>
          <w:lang w:val="en-US"/>
        </w:rPr>
        <w:t>crisis</w:t>
      </w:r>
      <w:r w:rsidR="003A7AC1" w:rsidRPr="00F9603D">
        <w:rPr>
          <w:lang w:val="en-US"/>
        </w:rPr>
        <w:t xml:space="preserve"> and after the eurozone crisis</w:t>
      </w:r>
      <w:r w:rsidR="00EB1AED" w:rsidRPr="00F9603D">
        <w:rPr>
          <w:lang w:val="en-US"/>
        </w:rPr>
        <w:t xml:space="preserve">, we find no relation between bookrunner </w:t>
      </w:r>
      <w:r w:rsidR="00054B13" w:rsidRPr="00F9603D">
        <w:rPr>
          <w:lang w:val="en-US"/>
        </w:rPr>
        <w:t xml:space="preserve">syndicate </w:t>
      </w:r>
      <w:r w:rsidR="00EB1AED" w:rsidRPr="00F9603D">
        <w:rPr>
          <w:lang w:val="en-US"/>
        </w:rPr>
        <w:t>geograph</w:t>
      </w:r>
      <w:r w:rsidR="00054B13" w:rsidRPr="00F9603D">
        <w:rPr>
          <w:lang w:val="en-US"/>
        </w:rPr>
        <w:t>ic make-up</w:t>
      </w:r>
      <w:r w:rsidR="00EB1AED" w:rsidRPr="00F9603D">
        <w:rPr>
          <w:lang w:val="en-US"/>
        </w:rPr>
        <w:t xml:space="preserve"> and quality of service. These results suggest that the relative importance of the intermediar</w:t>
      </w:r>
      <w:r w:rsidR="00054B13" w:rsidRPr="00F9603D">
        <w:rPr>
          <w:lang w:val="en-US"/>
        </w:rPr>
        <w:t>y services</w:t>
      </w:r>
      <w:r w:rsidR="00EB1AED" w:rsidRPr="00F9603D">
        <w:rPr>
          <w:lang w:val="en-US"/>
        </w:rPr>
        <w:t xml:space="preserve"> in the bond market varies with financial market conditions. </w:t>
      </w:r>
      <w:bookmarkStart w:id="1" w:name="_Hlk75868133"/>
      <w:r w:rsidR="00EB1AED" w:rsidRPr="00F9603D">
        <w:rPr>
          <w:lang w:val="en-US"/>
        </w:rPr>
        <w:t xml:space="preserve">Heterogeneity in at-issue spreads increased in the years </w:t>
      </w:r>
      <w:r w:rsidR="003A7AC1" w:rsidRPr="00F9603D">
        <w:rPr>
          <w:lang w:val="en-US"/>
        </w:rPr>
        <w:t>during</w:t>
      </w:r>
      <w:r w:rsidR="00EB1AED" w:rsidRPr="00F9603D">
        <w:rPr>
          <w:lang w:val="en-US"/>
        </w:rPr>
        <w:t xml:space="preserve"> the crisis</w:t>
      </w:r>
      <w:r w:rsidR="009808C4">
        <w:rPr>
          <w:lang w:val="en-US"/>
        </w:rPr>
        <w:t xml:space="preserve"> </w:t>
      </w:r>
      <w:r w:rsidR="00D0600B">
        <w:rPr>
          <w:lang w:val="en-US"/>
        </w:rPr>
        <w:t>periods</w:t>
      </w:r>
      <w:r w:rsidR="00EB1AED" w:rsidRPr="00F9603D">
        <w:rPr>
          <w:lang w:val="en-US"/>
        </w:rPr>
        <w:t xml:space="preserve">, and this has strengthened the importance of bookrunner certification to investors. </w:t>
      </w:r>
      <w:bookmarkEnd w:id="1"/>
      <w:r w:rsidR="00EB1AED" w:rsidRPr="00F9603D">
        <w:rPr>
          <w:lang w:val="en-US"/>
        </w:rPr>
        <w:t xml:space="preserve">Post-crisis, </w:t>
      </w:r>
      <w:r w:rsidR="00EB1AED" w:rsidRPr="00F9603D">
        <w:rPr>
          <w:lang w:val="en-US" w:eastAsia="en-GB"/>
        </w:rPr>
        <w:t xml:space="preserve">borrowers have responded to </w:t>
      </w:r>
      <w:r w:rsidR="008644A9" w:rsidRPr="00F9603D">
        <w:rPr>
          <w:lang w:val="en-US" w:eastAsia="en-GB"/>
        </w:rPr>
        <w:lastRenderedPageBreak/>
        <w:t xml:space="preserve">the </w:t>
      </w:r>
      <w:r w:rsidR="00EB1AED" w:rsidRPr="00F9603D">
        <w:rPr>
          <w:lang w:val="en-US" w:eastAsia="en-GB"/>
        </w:rPr>
        <w:t xml:space="preserve">restricted availability of bank credit by diversifying financing sources and accessing the bond market more regularly (Adrian et al., 2012). </w:t>
      </w:r>
      <w:r w:rsidR="00EB1AED" w:rsidRPr="00F9603D">
        <w:rPr>
          <w:lang w:val="en-US"/>
        </w:rPr>
        <w:t xml:space="preserve">Our results suggest that investors place greater importance on the </w:t>
      </w:r>
      <w:r w:rsidR="00054B13" w:rsidRPr="00F9603D">
        <w:rPr>
          <w:lang w:val="en-US"/>
        </w:rPr>
        <w:t xml:space="preserve">improved quality of </w:t>
      </w:r>
      <w:r>
        <w:rPr>
          <w:lang w:val="en-US"/>
        </w:rPr>
        <w:t>certification and placement services</w:t>
      </w:r>
      <w:r w:rsidR="00054B13" w:rsidRPr="00F9603D">
        <w:rPr>
          <w:lang w:val="en-US"/>
        </w:rPr>
        <w:t xml:space="preserve"> </w:t>
      </w:r>
      <w:r w:rsidR="00EB1AED" w:rsidRPr="00F9603D">
        <w:rPr>
          <w:lang w:val="en-US"/>
        </w:rPr>
        <w:t>carried out by domestic bookrunners during this period of higher information asymmetry.</w:t>
      </w:r>
    </w:p>
    <w:p w14:paraId="1E4EAD5B" w14:textId="68BCFC35" w:rsidR="00AD3721" w:rsidRDefault="00AD3721" w:rsidP="00AD3721">
      <w:pPr>
        <w:spacing w:line="480" w:lineRule="auto"/>
        <w:ind w:firstLine="709"/>
        <w:jc w:val="both"/>
        <w:rPr>
          <w:lang w:val="en-US"/>
        </w:rPr>
      </w:pPr>
      <w:r>
        <w:rPr>
          <w:lang w:val="en-US"/>
        </w:rPr>
        <w:t xml:space="preserve">We find </w:t>
      </w:r>
      <w:r w:rsidR="00E872EB">
        <w:rPr>
          <w:lang w:val="en-US"/>
        </w:rPr>
        <w:t xml:space="preserve">also </w:t>
      </w:r>
      <w:r>
        <w:rPr>
          <w:lang w:val="en-US"/>
        </w:rPr>
        <w:t xml:space="preserve">that </w:t>
      </w:r>
      <w:r w:rsidR="00E872EB">
        <w:rPr>
          <w:lang w:val="en-US"/>
        </w:rPr>
        <w:t>the</w:t>
      </w:r>
      <w:r>
        <w:rPr>
          <w:lang w:val="en-US"/>
        </w:rPr>
        <w:t xml:space="preserve"> </w:t>
      </w:r>
      <w:r w:rsidR="00E872EB">
        <w:rPr>
          <w:lang w:val="en-US"/>
        </w:rPr>
        <w:t>relation between bookrunner geography and at-issue credit spread</w:t>
      </w:r>
      <w:r>
        <w:rPr>
          <w:lang w:val="en-US"/>
        </w:rPr>
        <w:t xml:space="preserve"> is not linked to any of the conventional drivers of pricing power in the corporate bond markets. For example, it does not reflect better certification capabilities, as the results are not affected by taking into account existing lending relationships or by excluding passive bookrunners.</w:t>
      </w:r>
      <w:r>
        <w:rPr>
          <w:rStyle w:val="FootnoteReference"/>
          <w:lang w:val="en-US"/>
        </w:rPr>
        <w:footnoteReference w:id="2"/>
      </w:r>
      <w:r w:rsidR="00310DC3">
        <w:rPr>
          <w:lang w:val="en-US"/>
        </w:rPr>
        <w:t xml:space="preserve"> Also, i</w:t>
      </w:r>
      <w:r>
        <w:rPr>
          <w:lang w:val="en-US"/>
        </w:rPr>
        <w:t xml:space="preserve">t is not the result of major European banks enjoying market power in the placement of bonds and use this for issuance from their home market (Chemmanur and Krishnan, 2012). </w:t>
      </w:r>
      <w:r w:rsidR="00310DC3">
        <w:rPr>
          <w:lang w:val="en-US"/>
        </w:rPr>
        <w:t xml:space="preserve">Additionally, it cannot be attributed to </w:t>
      </w:r>
      <w:r>
        <w:rPr>
          <w:lang w:val="en-US"/>
        </w:rPr>
        <w:t>larger investor network</w:t>
      </w:r>
      <w:r w:rsidR="00310DC3">
        <w:rPr>
          <w:lang w:val="en-US"/>
        </w:rPr>
        <w:t>s</w:t>
      </w:r>
      <w:r>
        <w:rPr>
          <w:lang w:val="en-US"/>
        </w:rPr>
        <w:t xml:space="preserve"> (Massa and Zaldokas, 2014), as we show that the non-domestic bookrunner skewed syndicates is unrelated to the investors’</w:t>
      </w:r>
      <w:r w:rsidRPr="00915BBF">
        <w:rPr>
          <w:lang w:val="en-US"/>
        </w:rPr>
        <w:t xml:space="preserve"> demand</w:t>
      </w:r>
      <w:r>
        <w:rPr>
          <w:lang w:val="en-US"/>
        </w:rPr>
        <w:t xml:space="preserve"> for the bond.</w:t>
      </w:r>
      <w:r>
        <w:rPr>
          <w:rStyle w:val="FootnoteReference"/>
          <w:lang w:val="en-US"/>
        </w:rPr>
        <w:footnoteReference w:id="3"/>
      </w:r>
      <w:r>
        <w:rPr>
          <w:lang w:val="en-US"/>
        </w:rPr>
        <w:t xml:space="preserve"> </w:t>
      </w:r>
      <w:r w:rsidR="00310DC3">
        <w:rPr>
          <w:lang w:val="en-US"/>
        </w:rPr>
        <w:t>Finally o</w:t>
      </w:r>
      <w:r>
        <w:rPr>
          <w:lang w:val="en-US"/>
        </w:rPr>
        <w:t xml:space="preserve">ur results also hold when taking into account the bookrunner league table position. </w:t>
      </w:r>
    </w:p>
    <w:p w14:paraId="39D67011" w14:textId="0F37D077" w:rsidR="00330499" w:rsidRDefault="00B94E00" w:rsidP="00E300E4">
      <w:pPr>
        <w:shd w:val="clear" w:color="auto" w:fill="FFFFFF"/>
        <w:spacing w:line="480" w:lineRule="auto"/>
        <w:ind w:firstLine="709"/>
        <w:jc w:val="both"/>
      </w:pPr>
      <w:r>
        <w:t xml:space="preserve">The remainder of the paper is organised as follows. In </w:t>
      </w:r>
      <w:r w:rsidR="000936A1">
        <w:t>s</w:t>
      </w:r>
      <w:r>
        <w:t>ection 2</w:t>
      </w:r>
      <w:r w:rsidR="002D23DF">
        <w:t>,</w:t>
      </w:r>
      <w:r>
        <w:t xml:space="preserve"> we </w:t>
      </w:r>
      <w:r w:rsidR="00C62EDB">
        <w:t xml:space="preserve">set out the theoretical framework for bookrunner appointments and </w:t>
      </w:r>
      <w:r w:rsidR="00330499">
        <w:t xml:space="preserve">their </w:t>
      </w:r>
      <w:r w:rsidR="00C62EDB">
        <w:t>roles. Section 3 describes the sample selection process</w:t>
      </w:r>
      <w:r w:rsidR="0010492D">
        <w:t>,</w:t>
      </w:r>
      <w:r w:rsidR="00C62EDB">
        <w:t xml:space="preserve"> and </w:t>
      </w:r>
      <w:r w:rsidR="000936A1">
        <w:t>s</w:t>
      </w:r>
      <w:r w:rsidR="00C62EDB">
        <w:t xml:space="preserve">ection 4 </w:t>
      </w:r>
      <w:r w:rsidR="002D23DF">
        <w:t xml:space="preserve">discusses </w:t>
      </w:r>
      <w:r w:rsidR="00C62EDB">
        <w:t>the empirical findings and robustness tests. Section 5 concludes.</w:t>
      </w:r>
    </w:p>
    <w:p w14:paraId="7A9F8258" w14:textId="77777777" w:rsidR="003420C2" w:rsidRDefault="006D71C3" w:rsidP="001D2FC9">
      <w:pPr>
        <w:pStyle w:val="Heading1"/>
        <w:rPr>
          <w:lang w:val="en-US"/>
        </w:rPr>
      </w:pPr>
      <w:r w:rsidRPr="00DC68DD">
        <w:rPr>
          <w:lang w:val="en-US"/>
        </w:rPr>
        <w:t xml:space="preserve">2. </w:t>
      </w:r>
      <w:r w:rsidRPr="00130617">
        <w:rPr>
          <w:lang w:val="en-US"/>
        </w:rPr>
        <w:t>Bookrun</w:t>
      </w:r>
      <w:r w:rsidR="001D1543" w:rsidRPr="00130617">
        <w:rPr>
          <w:lang w:val="en-US"/>
        </w:rPr>
        <w:t>ner</w:t>
      </w:r>
      <w:r w:rsidR="001D1543">
        <w:rPr>
          <w:lang w:val="en-US"/>
        </w:rPr>
        <w:t xml:space="preserve"> syndicate determinants </w:t>
      </w:r>
    </w:p>
    <w:p w14:paraId="54586BF8" w14:textId="40C97A72" w:rsidR="00705806" w:rsidRDefault="00705806" w:rsidP="001D2FC9">
      <w:pPr>
        <w:pStyle w:val="Heading2"/>
        <w:rPr>
          <w:lang w:val="en-US"/>
        </w:rPr>
      </w:pPr>
      <w:r>
        <w:rPr>
          <w:lang w:val="en-US"/>
        </w:rPr>
        <w:t>2.</w:t>
      </w:r>
      <w:r w:rsidR="002E62FB">
        <w:rPr>
          <w:lang w:val="en-US"/>
        </w:rPr>
        <w:t>1</w:t>
      </w:r>
      <w:r>
        <w:rPr>
          <w:lang w:val="en-US"/>
        </w:rPr>
        <w:t>. Bookrunner syndicate formation</w:t>
      </w:r>
      <w:r w:rsidR="00597D9F">
        <w:rPr>
          <w:lang w:val="en-US"/>
        </w:rPr>
        <w:t xml:space="preserve"> and </w:t>
      </w:r>
      <w:r w:rsidR="00F2361F">
        <w:rPr>
          <w:lang w:val="en-US"/>
        </w:rPr>
        <w:t xml:space="preserve">their </w:t>
      </w:r>
      <w:r w:rsidR="00597D9F">
        <w:rPr>
          <w:lang w:val="en-US"/>
        </w:rPr>
        <w:t>role</w:t>
      </w:r>
      <w:r w:rsidR="0060630F">
        <w:rPr>
          <w:lang w:val="en-US"/>
        </w:rPr>
        <w:t>s</w:t>
      </w:r>
    </w:p>
    <w:p w14:paraId="340D2BAC" w14:textId="5579AA76" w:rsidR="000B6C7B" w:rsidRDefault="000936A1" w:rsidP="00272201">
      <w:pPr>
        <w:shd w:val="clear" w:color="auto" w:fill="FFFFFF"/>
        <w:spacing w:line="480" w:lineRule="auto"/>
        <w:jc w:val="both"/>
      </w:pPr>
      <w:r>
        <w:rPr>
          <w:lang w:val="en-US"/>
        </w:rPr>
        <w:t>One of the first tasks of</w:t>
      </w:r>
      <w:r w:rsidR="0060630F">
        <w:rPr>
          <w:lang w:val="en-US"/>
        </w:rPr>
        <w:t xml:space="preserve"> </w:t>
      </w:r>
      <w:r>
        <w:rPr>
          <w:lang w:val="en-US"/>
        </w:rPr>
        <w:t xml:space="preserve">a </w:t>
      </w:r>
      <w:r w:rsidR="0060630F">
        <w:rPr>
          <w:lang w:val="en-US"/>
        </w:rPr>
        <w:t xml:space="preserve">prospective </w:t>
      </w:r>
      <w:r w:rsidR="00330499">
        <w:rPr>
          <w:lang w:val="en-US"/>
        </w:rPr>
        <w:t xml:space="preserve">corporate </w:t>
      </w:r>
      <w:r w:rsidR="0060630F">
        <w:rPr>
          <w:lang w:val="en-US"/>
        </w:rPr>
        <w:t>bond issuer is to appoint a bookrunner syndicate. This decision process is driven by a range of</w:t>
      </w:r>
      <w:r w:rsidR="000B6C7B" w:rsidRPr="00FE10C4">
        <w:t xml:space="preserve"> factors</w:t>
      </w:r>
      <w:r w:rsidR="0060630F">
        <w:t xml:space="preserve">, including existing banking and lending relationships, </w:t>
      </w:r>
      <w:r w:rsidR="00272201">
        <w:t xml:space="preserve">bookrunner reputation, market conditions, target investor base, </w:t>
      </w:r>
      <w:r w:rsidR="008644A9">
        <w:t xml:space="preserve">the </w:t>
      </w:r>
      <w:r w:rsidR="00272201">
        <w:lastRenderedPageBreak/>
        <w:t>riskiness of the securities</w:t>
      </w:r>
      <w:r w:rsidR="008644A9">
        <w:t>,</w:t>
      </w:r>
      <w:r w:rsidR="00272201">
        <w:t xml:space="preserve"> and spread of investment banking ancillary business </w:t>
      </w:r>
      <w:r w:rsidR="000B6C7B" w:rsidRPr="00FE10C4">
        <w:t>(</w:t>
      </w:r>
      <w:r w:rsidR="000B6C7B" w:rsidRPr="00105963">
        <w:rPr>
          <w:rFonts w:eastAsiaTheme="minorHAnsi"/>
          <w:bCs/>
        </w:rPr>
        <w:t>Carbó-Valverde et al., 2017</w:t>
      </w:r>
      <w:r w:rsidR="000B6C7B">
        <w:rPr>
          <w:rFonts w:eastAsiaTheme="minorHAnsi"/>
          <w:bCs/>
        </w:rPr>
        <w:t xml:space="preserve">; </w:t>
      </w:r>
      <w:r w:rsidR="000B6C7B" w:rsidRPr="00FE10C4">
        <w:t xml:space="preserve">Corwin and Schultz, 2005; </w:t>
      </w:r>
      <w:r w:rsidR="004A5E4D">
        <w:t xml:space="preserve">Lau and Yu, 2010; </w:t>
      </w:r>
      <w:r w:rsidR="00272201" w:rsidRPr="00FE10C4">
        <w:t>Wyman, 2016</w:t>
      </w:r>
      <w:r w:rsidR="00272201">
        <w:t xml:space="preserve">; </w:t>
      </w:r>
      <w:r w:rsidR="000B6C7B" w:rsidRPr="00FE10C4">
        <w:t xml:space="preserve">Yasuda, 2005). </w:t>
      </w:r>
    </w:p>
    <w:p w14:paraId="5EB7F8E9" w14:textId="35299515" w:rsidR="007B51FC" w:rsidRDefault="00272201" w:rsidP="0063729E">
      <w:pPr>
        <w:shd w:val="clear" w:color="auto" w:fill="FFFFFF"/>
        <w:spacing w:line="480" w:lineRule="auto"/>
        <w:ind w:firstLine="709"/>
        <w:jc w:val="both"/>
        <w:rPr>
          <w:lang w:val="en-US"/>
        </w:rPr>
      </w:pPr>
      <w:r>
        <w:t xml:space="preserve">A bookrunner syndicate </w:t>
      </w:r>
      <w:r w:rsidR="008A0124">
        <w:t>has</w:t>
      </w:r>
      <w:r>
        <w:t xml:space="preserve"> two main roles. Firstly</w:t>
      </w:r>
      <w:r w:rsidR="0063729E">
        <w:t>,</w:t>
      </w:r>
      <w:r>
        <w:t xml:space="preserve"> it is expected to certify the issuer and the transaction documentation on behalf of investors, ensuring there are no imminent materially adverse risks facing the issuer and that the prospectus does not contain misleading information </w:t>
      </w:r>
      <w:r w:rsidRPr="0021195E">
        <w:rPr>
          <w:lang w:val="en-US"/>
        </w:rPr>
        <w:t>(Chemmanur and Fulghieri, 1994)</w:t>
      </w:r>
      <w:r>
        <w:t>.</w:t>
      </w:r>
      <w:r w:rsidR="002D23DF">
        <w:t xml:space="preserve"> </w:t>
      </w:r>
      <w:r w:rsidR="00310DC3">
        <w:t>The e</w:t>
      </w:r>
      <w:r w:rsidR="001A67DA">
        <w:t>mpirical literature find</w:t>
      </w:r>
      <w:r w:rsidR="00310DC3">
        <w:t>s</w:t>
      </w:r>
      <w:r w:rsidR="001A67DA">
        <w:t xml:space="preserve"> mixed evidence </w:t>
      </w:r>
      <w:r w:rsidR="00195263">
        <w:t>on</w:t>
      </w:r>
      <w:r w:rsidR="001A67DA">
        <w:t xml:space="preserve"> the </w:t>
      </w:r>
      <w:r w:rsidR="004E5D39">
        <w:t>importance</w:t>
      </w:r>
      <w:r w:rsidR="00195263">
        <w:t xml:space="preserve"> of the </w:t>
      </w:r>
      <w:r w:rsidR="001A67DA">
        <w:t xml:space="preserve">role of certification in syndicated loan market. </w:t>
      </w:r>
      <w:r w:rsidR="00310DC3">
        <w:t xml:space="preserve">For example </w:t>
      </w:r>
      <w:r w:rsidR="001A67DA">
        <w:t>Dick-Nielse</w:t>
      </w:r>
      <w:r w:rsidR="00E4655B">
        <w:t xml:space="preserve"> et al. </w:t>
      </w:r>
      <w:r w:rsidR="001A67DA">
        <w:t>(2021), Fang (2005)</w:t>
      </w:r>
      <w:r w:rsidR="00310DC3">
        <w:t>,</w:t>
      </w:r>
      <w:r w:rsidR="001A67DA">
        <w:t xml:space="preserve"> and Puri (1999) argue</w:t>
      </w:r>
      <w:r w:rsidR="00D34EF4">
        <w:t xml:space="preserve"> that </w:t>
      </w:r>
      <w:r w:rsidR="007510B3">
        <w:t>the certification function</w:t>
      </w:r>
      <w:r w:rsidR="002D23DF">
        <w:t xml:space="preserve"> has</w:t>
      </w:r>
      <w:r w:rsidR="007B51FC">
        <w:t xml:space="preserve"> a key</w:t>
      </w:r>
      <w:r w:rsidR="002D23DF">
        <w:t xml:space="preserve"> role as it reduces the information asymmetry between the issuers and the investors, ultimately benefitting the issuer</w:t>
      </w:r>
      <w:r w:rsidR="00B8319E">
        <w:t xml:space="preserve">. </w:t>
      </w:r>
      <w:bookmarkStart w:id="2" w:name="_Hlk75651677"/>
      <w:r w:rsidR="00B8319E">
        <w:t xml:space="preserve">However, </w:t>
      </w:r>
      <w:r w:rsidR="00310DC3">
        <w:rPr>
          <w:lang w:val="en-US"/>
        </w:rPr>
        <w:t>other</w:t>
      </w:r>
      <w:r w:rsidR="00B8319E">
        <w:rPr>
          <w:lang w:val="en-US"/>
        </w:rPr>
        <w:t xml:space="preserve"> studies question the certification hypothesis and argue that (reputable) underwriters are </w:t>
      </w:r>
      <w:r w:rsidR="007B51FC">
        <w:rPr>
          <w:lang w:val="en-US"/>
        </w:rPr>
        <w:t xml:space="preserve">more </w:t>
      </w:r>
      <w:r w:rsidR="00B8319E">
        <w:rPr>
          <w:lang w:val="en-US"/>
        </w:rPr>
        <w:t>focused on maximizing issuers’ valuation through increased yield (Andres</w:t>
      </w:r>
      <w:r w:rsidR="00E4655B">
        <w:rPr>
          <w:lang w:val="en-US"/>
        </w:rPr>
        <w:t xml:space="preserve"> et al.</w:t>
      </w:r>
      <w:r w:rsidR="00B8319E">
        <w:rPr>
          <w:lang w:val="en-US"/>
        </w:rPr>
        <w:t xml:space="preserve">, 2014). </w:t>
      </w:r>
      <w:bookmarkEnd w:id="2"/>
    </w:p>
    <w:p w14:paraId="33AE8053" w14:textId="2C41431A" w:rsidR="00272201" w:rsidRDefault="00272201" w:rsidP="0063729E">
      <w:pPr>
        <w:shd w:val="clear" w:color="auto" w:fill="FFFFFF"/>
        <w:spacing w:line="480" w:lineRule="auto"/>
        <w:ind w:firstLine="709"/>
        <w:jc w:val="both"/>
      </w:pPr>
      <w:r>
        <w:t>Secondly</w:t>
      </w:r>
      <w:r w:rsidR="0063729E">
        <w:t>,</w:t>
      </w:r>
      <w:r>
        <w:t xml:space="preserve"> the syndicate has a placement role, </w:t>
      </w:r>
      <w:r w:rsidRPr="0021195E">
        <w:rPr>
          <w:lang w:val="en-US"/>
        </w:rPr>
        <w:t>which involves marketing and distributing the securities to be issued (Kessel, 1971</w:t>
      </w:r>
      <w:r w:rsidR="007510B3">
        <w:rPr>
          <w:lang w:val="en-US"/>
        </w:rPr>
        <w:t>;</w:t>
      </w:r>
      <w:r w:rsidR="007510B3" w:rsidRPr="007510B3">
        <w:rPr>
          <w:lang w:val="en-US"/>
        </w:rPr>
        <w:t xml:space="preserve"> </w:t>
      </w:r>
      <w:r w:rsidR="007510B3">
        <w:rPr>
          <w:lang w:val="en-US"/>
        </w:rPr>
        <w:t>Lau and Yu, 2010</w:t>
      </w:r>
      <w:r w:rsidRPr="0021195E">
        <w:rPr>
          <w:lang w:val="en-US"/>
        </w:rPr>
        <w:t>)</w:t>
      </w:r>
      <w:r>
        <w:rPr>
          <w:lang w:val="en-US"/>
        </w:rPr>
        <w:t xml:space="preserve">. This </w:t>
      </w:r>
      <w:r w:rsidR="00C60611">
        <w:rPr>
          <w:lang w:val="en-US"/>
        </w:rPr>
        <w:t xml:space="preserve">responsibility includes optimally positioning the bond tranche and the issuer so as to obtain large and price-competitive orders. As such this commercial role has both a </w:t>
      </w:r>
      <w:r w:rsidR="00C60611" w:rsidRPr="0030353C">
        <w:rPr>
          <w:i/>
          <w:lang w:val="en-US"/>
        </w:rPr>
        <w:t>quantitative</w:t>
      </w:r>
      <w:r w:rsidR="00C60611">
        <w:rPr>
          <w:lang w:val="en-US"/>
        </w:rPr>
        <w:t xml:space="preserve"> aspect, being the size of investor distribution network and a </w:t>
      </w:r>
      <w:r w:rsidR="00C60611" w:rsidRPr="0030353C">
        <w:rPr>
          <w:i/>
          <w:lang w:val="en-US"/>
        </w:rPr>
        <w:t>qualitative</w:t>
      </w:r>
      <w:r w:rsidR="00C60611">
        <w:rPr>
          <w:lang w:val="en-US"/>
        </w:rPr>
        <w:t xml:space="preserve"> dimension, namely the effectiveness of the marketing outreach and communication.</w:t>
      </w:r>
      <w:r w:rsidR="00134EBB">
        <w:rPr>
          <w:lang w:val="en-US"/>
        </w:rPr>
        <w:t xml:space="preserve"> As orders are typically amassed in a joint orderbook, it is not transparent to the issuer which bank has outperformed in this regard.</w:t>
      </w:r>
    </w:p>
    <w:p w14:paraId="0E8205F2" w14:textId="378D6335" w:rsidR="00A662C2" w:rsidRDefault="00272201" w:rsidP="00272201">
      <w:pPr>
        <w:shd w:val="clear" w:color="auto" w:fill="FFFFFF"/>
        <w:spacing w:line="480" w:lineRule="auto"/>
        <w:jc w:val="both"/>
      </w:pPr>
      <w:r>
        <w:tab/>
      </w:r>
      <w:r w:rsidR="00134EBB">
        <w:t>Unlike a municipal bond issuer (Butler, 2008), a</w:t>
      </w:r>
      <w:r>
        <w:t xml:space="preserve"> corporate </w:t>
      </w:r>
      <w:r w:rsidR="0063729E">
        <w:t>bond issuer typically appoints three</w:t>
      </w:r>
      <w:r>
        <w:t xml:space="preserve"> or more bookrunners so as to seek to benefit from a range of capabilities and views and </w:t>
      </w:r>
      <w:r w:rsidR="00C60611">
        <w:t xml:space="preserve">to </w:t>
      </w:r>
      <w:r>
        <w:t>distribute its coveted ancillary business</w:t>
      </w:r>
      <w:r w:rsidR="007510B3">
        <w:t xml:space="preserve"> (Arena and Dewally, 2010; Lau and Yu, 2010)</w:t>
      </w:r>
      <w:r>
        <w:t xml:space="preserve">. </w:t>
      </w:r>
      <w:r w:rsidR="00C60611">
        <w:t>Since the</w:t>
      </w:r>
      <w:r w:rsidR="0063729E">
        <w:t xml:space="preserve"> 2008</w:t>
      </w:r>
      <w:r w:rsidR="00C60611">
        <w:t xml:space="preserve"> </w:t>
      </w:r>
      <w:r w:rsidR="0063729E">
        <w:t xml:space="preserve">financial </w:t>
      </w:r>
      <w:r w:rsidR="00C60611">
        <w:t>crisis</w:t>
      </w:r>
      <w:r w:rsidR="008644A9">
        <w:t>,</w:t>
      </w:r>
      <w:r w:rsidR="00C60611">
        <w:t xml:space="preserve"> it has become more common to appoint</w:t>
      </w:r>
      <w:r w:rsidR="0030353C">
        <w:t xml:space="preserve"> a larger bookrunner group and</w:t>
      </w:r>
      <w:r w:rsidR="00C60611">
        <w:t xml:space="preserve"> relegating a subset of these </w:t>
      </w:r>
      <w:r w:rsidR="0030353C">
        <w:t xml:space="preserve">bookrunners </w:t>
      </w:r>
      <w:r w:rsidR="00C60611">
        <w:t xml:space="preserve">to passive bookrunner status, </w:t>
      </w:r>
      <w:r w:rsidR="00C60611">
        <w:lastRenderedPageBreak/>
        <w:t>where they are only engaged in the certification role.</w:t>
      </w:r>
      <w:r w:rsidR="003C2061">
        <w:rPr>
          <w:rStyle w:val="FootnoteReference"/>
        </w:rPr>
        <w:footnoteReference w:id="4"/>
      </w:r>
      <w:r w:rsidR="00C60611">
        <w:t xml:space="preserve"> </w:t>
      </w:r>
      <w:r w:rsidR="00134EBB">
        <w:t>This is done to reduce communication inefficiencies and free</w:t>
      </w:r>
      <w:r w:rsidR="008644A9">
        <w:t>-</w:t>
      </w:r>
      <w:r w:rsidR="00134EBB">
        <w:t xml:space="preserve">rider incentives of large syndicates. </w:t>
      </w:r>
      <w:r w:rsidR="00C60611">
        <w:t xml:space="preserve">Amongst the active bookrunners, those responsible for both certification and </w:t>
      </w:r>
      <w:r w:rsidR="007510B3">
        <w:t>placements</w:t>
      </w:r>
      <w:r w:rsidR="00C60611">
        <w:t xml:space="preserve">, issuers typically divide </w:t>
      </w:r>
      <w:r w:rsidR="0030353C">
        <w:t>sub</w:t>
      </w:r>
      <w:r w:rsidR="008644A9">
        <w:t>-</w:t>
      </w:r>
      <w:r w:rsidR="0030353C">
        <w:t>roles</w:t>
      </w:r>
      <w:r w:rsidR="00C60611">
        <w:t xml:space="preserve"> to ensure a </w:t>
      </w:r>
      <w:r w:rsidR="003C2061">
        <w:t xml:space="preserve">reasonably </w:t>
      </w:r>
      <w:r w:rsidR="00C60611">
        <w:t xml:space="preserve">harmonious and collaborative syndicate. For instance, one bank may take the lead on the marketing materials while the other oversees the prospectus drafting. The concept of </w:t>
      </w:r>
      <w:r w:rsidR="008644A9">
        <w:t xml:space="preserve">the </w:t>
      </w:r>
      <w:r w:rsidR="00C60611">
        <w:t>lead underwriter (</w:t>
      </w:r>
      <w:r w:rsidR="00330499">
        <w:t xml:space="preserve">as discussed in </w:t>
      </w:r>
      <w:r w:rsidR="00C60611">
        <w:t xml:space="preserve">Lau and Yu, 2010) is relatively rare in the </w:t>
      </w:r>
      <w:r w:rsidR="00AD4C82">
        <w:t xml:space="preserve">European corporate </w:t>
      </w:r>
      <w:r w:rsidR="00C60611">
        <w:t>bond markets</w:t>
      </w:r>
      <w:r w:rsidR="00AD4C82">
        <w:t xml:space="preserve">, </w:t>
      </w:r>
      <w:r w:rsidR="00915BBF">
        <w:t xml:space="preserve">as </w:t>
      </w:r>
      <w:r w:rsidR="00AD4C82">
        <w:t>only 0.7% of tranches hav</w:t>
      </w:r>
      <w:r w:rsidR="00915BBF">
        <w:t>e</w:t>
      </w:r>
      <w:r w:rsidR="00AD4C82">
        <w:t xml:space="preserve"> this type of hierarchy</w:t>
      </w:r>
      <w:r w:rsidR="00C60611">
        <w:t xml:space="preserve"> (</w:t>
      </w:r>
      <w:r w:rsidR="00A662C2">
        <w:t>source: Dealogic</w:t>
      </w:r>
      <w:r w:rsidR="00C60611">
        <w:t>).</w:t>
      </w:r>
      <w:r w:rsidR="00C156DE">
        <w:rPr>
          <w:rStyle w:val="FootnoteReference"/>
        </w:rPr>
        <w:footnoteReference w:id="5"/>
      </w:r>
      <w:r w:rsidR="0063729E">
        <w:t xml:space="preserve"> </w:t>
      </w:r>
      <w:r w:rsidR="00A662C2">
        <w:t xml:space="preserve">It is </w:t>
      </w:r>
      <w:r w:rsidR="00AD4C82">
        <w:t xml:space="preserve">highly unusual </w:t>
      </w:r>
      <w:r w:rsidR="00A662C2">
        <w:t>for an issuer to work with the same bookrunner syndicate computation over subsequent bond issuances. Most regular issuers in the corporate bond market are under significant pressure from their lending banks to spread out their debt capital markets ancillary business, resulting in the frequent rotation of roles (</w:t>
      </w:r>
      <w:r w:rsidR="00A662C2" w:rsidRPr="00FE10C4">
        <w:t>Wyman, 2016</w:t>
      </w:r>
      <w:r w:rsidR="00A662C2">
        <w:t xml:space="preserve">). </w:t>
      </w:r>
    </w:p>
    <w:p w14:paraId="644BE22A" w14:textId="592B8941" w:rsidR="001D1543" w:rsidRDefault="00705806" w:rsidP="0041252B">
      <w:pPr>
        <w:pStyle w:val="Heading2"/>
        <w:jc w:val="both"/>
        <w:rPr>
          <w:lang w:val="en-US"/>
        </w:rPr>
      </w:pPr>
      <w:r>
        <w:rPr>
          <w:lang w:val="en-US"/>
        </w:rPr>
        <w:t>2.</w:t>
      </w:r>
      <w:r w:rsidR="002E62FB">
        <w:rPr>
          <w:lang w:val="en-US"/>
        </w:rPr>
        <w:t>2</w:t>
      </w:r>
      <w:r w:rsidR="001D1543" w:rsidRPr="00DC68DD">
        <w:rPr>
          <w:lang w:val="en-US"/>
        </w:rPr>
        <w:t xml:space="preserve">. </w:t>
      </w:r>
      <w:r w:rsidR="001D1543" w:rsidRPr="001D2FC9">
        <w:t>Bookrunner</w:t>
      </w:r>
      <w:r w:rsidR="001D1543">
        <w:rPr>
          <w:lang w:val="en-US"/>
        </w:rPr>
        <w:t xml:space="preserve"> syndicate </w:t>
      </w:r>
      <w:r w:rsidR="00CC1F07">
        <w:rPr>
          <w:lang w:val="en-US"/>
        </w:rPr>
        <w:t>geography</w:t>
      </w:r>
      <w:r w:rsidR="001D1543">
        <w:rPr>
          <w:lang w:val="en-US"/>
        </w:rPr>
        <w:t xml:space="preserve"> and </w:t>
      </w:r>
      <w:r w:rsidR="00637AFB">
        <w:rPr>
          <w:lang w:val="en-US"/>
        </w:rPr>
        <w:t xml:space="preserve">the </w:t>
      </w:r>
      <w:r w:rsidR="001D1543">
        <w:rPr>
          <w:lang w:val="en-US"/>
        </w:rPr>
        <w:t xml:space="preserve">quality of </w:t>
      </w:r>
      <w:r w:rsidR="00637AFB">
        <w:rPr>
          <w:lang w:val="en-US"/>
        </w:rPr>
        <w:t xml:space="preserve">their </w:t>
      </w:r>
      <w:r w:rsidR="001D1543">
        <w:rPr>
          <w:lang w:val="en-US"/>
        </w:rPr>
        <w:t xml:space="preserve">service </w:t>
      </w:r>
    </w:p>
    <w:p w14:paraId="1054CDE1" w14:textId="6727F734" w:rsidR="0041252B" w:rsidRDefault="00FC4384">
      <w:pPr>
        <w:spacing w:line="480" w:lineRule="auto"/>
        <w:jc w:val="both"/>
        <w:rPr>
          <w:lang w:val="en-US"/>
        </w:rPr>
      </w:pPr>
      <w:r>
        <w:rPr>
          <w:lang w:val="en-US"/>
        </w:rPr>
        <w:t xml:space="preserve">The literature provides arguments that </w:t>
      </w:r>
      <w:r w:rsidR="002F041F">
        <w:rPr>
          <w:lang w:val="en-US"/>
        </w:rPr>
        <w:t xml:space="preserve">the geographic make-up of a bookrunner syndicate </w:t>
      </w:r>
      <w:r>
        <w:rPr>
          <w:lang w:val="en-US"/>
        </w:rPr>
        <w:t xml:space="preserve">will </w:t>
      </w:r>
      <w:r w:rsidR="002F041F">
        <w:rPr>
          <w:lang w:val="en-US"/>
        </w:rPr>
        <w:t>have a bearing on the quality of bookrunner services (Butler, 2008; Lau and Yu, 2010).</w:t>
      </w:r>
      <w:r w:rsidR="009E6B0E">
        <w:rPr>
          <w:lang w:val="en-US"/>
        </w:rPr>
        <w:t xml:space="preserve"> This proposed relation could be driven by the certification and/or placement role of the bookrunner syndicate.</w:t>
      </w:r>
      <w:r w:rsidR="00D34EF4">
        <w:rPr>
          <w:lang w:val="en-US"/>
        </w:rPr>
        <w:t xml:space="preserve"> </w:t>
      </w:r>
    </w:p>
    <w:p w14:paraId="636E8638" w14:textId="490618D6" w:rsidR="007279F2" w:rsidRDefault="0041252B">
      <w:pPr>
        <w:spacing w:line="480" w:lineRule="auto"/>
        <w:jc w:val="both"/>
        <w:rPr>
          <w:lang w:val="en-US"/>
        </w:rPr>
      </w:pPr>
      <w:r>
        <w:rPr>
          <w:lang w:val="en-US"/>
        </w:rPr>
        <w:tab/>
      </w:r>
      <w:r w:rsidR="007279F2" w:rsidRPr="00E4655B">
        <w:rPr>
          <w:lang w:val="en-US"/>
        </w:rPr>
        <w:t>Theories based on certification function provide mixed results</w:t>
      </w:r>
      <w:r w:rsidR="007279F2">
        <w:rPr>
          <w:lang w:val="en-US"/>
        </w:rPr>
        <w:t xml:space="preserve"> on its importance</w:t>
      </w:r>
      <w:r w:rsidR="007279F2" w:rsidRPr="00E4655B">
        <w:rPr>
          <w:lang w:val="en-US"/>
        </w:rPr>
        <w:t>. Corwin and Schultz (2005) suggest that domestic bookrunners have closer relationships with issuing firms and industries, which generates valuable soft information and allows them to better certify firm quality. Non-domestic bookrunners are less likely to acquire this valuable soft information, which could place them at a disadvantage in monitoring issuing firm quality (Arena and Dewally, 2012).</w:t>
      </w:r>
      <w:r w:rsidR="007279F2">
        <w:rPr>
          <w:lang w:val="en-US"/>
        </w:rPr>
        <w:t xml:space="preserve"> However, Andres et al. (2014) argues that underwriters may not </w:t>
      </w:r>
      <w:r w:rsidR="007279F2">
        <w:rPr>
          <w:lang w:val="en-US"/>
        </w:rPr>
        <w:lastRenderedPageBreak/>
        <w:t>fulfil certification role focusing more on maximizing the issuers’ valuation through increased yield.</w:t>
      </w:r>
    </w:p>
    <w:p w14:paraId="133E454E" w14:textId="221FF626" w:rsidR="002F041F" w:rsidRDefault="004134DA" w:rsidP="007279F2">
      <w:pPr>
        <w:spacing w:line="480" w:lineRule="auto"/>
        <w:ind w:firstLine="720"/>
        <w:jc w:val="both"/>
        <w:rPr>
          <w:lang w:val="en-US"/>
        </w:rPr>
      </w:pPr>
      <w:r>
        <w:rPr>
          <w:lang w:val="en-US"/>
        </w:rPr>
        <w:t>W</w:t>
      </w:r>
      <w:r w:rsidR="00DF325A">
        <w:rPr>
          <w:lang w:val="en-US"/>
        </w:rPr>
        <w:t xml:space="preserve">e argue that the relation between bookrunner syndicate geography and the quality of their service is not driven by the certification role of the bookrunners, at least in normal </w:t>
      </w:r>
      <w:r w:rsidR="00DF49D4">
        <w:rPr>
          <w:lang w:val="en-US"/>
        </w:rPr>
        <w:t xml:space="preserve">non-recessionary </w:t>
      </w:r>
      <w:r w:rsidR="00DF325A">
        <w:rPr>
          <w:lang w:val="en-US"/>
        </w:rPr>
        <w:t>periods, as the certification role is fulfilled by both domestic and non-domestic bookrunners</w:t>
      </w:r>
      <w:r w:rsidR="001D77B1">
        <w:rPr>
          <w:lang w:val="en-US"/>
        </w:rPr>
        <w:t xml:space="preserve"> (as well as by active and passive bookrunners)</w:t>
      </w:r>
      <w:r w:rsidR="00DF325A">
        <w:rPr>
          <w:lang w:val="en-US"/>
        </w:rPr>
        <w:t xml:space="preserve">. </w:t>
      </w:r>
      <w:r w:rsidR="00DF49D4">
        <w:rPr>
          <w:lang w:val="en-US"/>
        </w:rPr>
        <w:t>I</w:t>
      </w:r>
      <w:r w:rsidR="00DF325A">
        <w:rPr>
          <w:lang w:val="en-US"/>
        </w:rPr>
        <w:t>neffectiveness in this role can carry major downside risk</w:t>
      </w:r>
      <w:r w:rsidR="00DF49D4">
        <w:rPr>
          <w:lang w:val="en-US"/>
        </w:rPr>
        <w:t>s</w:t>
      </w:r>
      <w:r w:rsidR="00DF325A">
        <w:rPr>
          <w:lang w:val="en-US"/>
        </w:rPr>
        <w:t xml:space="preserve"> in the form of investor litigation i</w:t>
      </w:r>
      <w:r w:rsidR="00DF49D4">
        <w:rPr>
          <w:lang w:val="en-US"/>
        </w:rPr>
        <w:t>f</w:t>
      </w:r>
      <w:r w:rsidR="00DF325A">
        <w:rPr>
          <w:lang w:val="en-US"/>
        </w:rPr>
        <w:t xml:space="preserve"> any material misstatements or adverse information about the issuer are discovered post bond issuance</w:t>
      </w:r>
      <w:r w:rsidR="00DF49D4">
        <w:rPr>
          <w:lang w:val="en-US"/>
        </w:rPr>
        <w:t>. Therefore, t</w:t>
      </w:r>
      <w:r w:rsidR="00F119E5">
        <w:rPr>
          <w:lang w:val="en-US"/>
        </w:rPr>
        <w:t xml:space="preserve">he joint bookrunner syndicate relies on the diligence undertaken by a bookrunner legal counsel, a role typically fulfilled by a major international law firm. </w:t>
      </w:r>
    </w:p>
    <w:p w14:paraId="4C063F8E" w14:textId="7BC3E477" w:rsidR="0009569C" w:rsidRDefault="002F041F" w:rsidP="00F515CC">
      <w:pPr>
        <w:spacing w:line="480" w:lineRule="auto"/>
        <w:jc w:val="both"/>
        <w:rPr>
          <w:lang w:val="en-US"/>
        </w:rPr>
      </w:pPr>
      <w:r>
        <w:rPr>
          <w:lang w:val="en-US"/>
        </w:rPr>
        <w:tab/>
      </w:r>
      <w:r w:rsidR="006F5243">
        <w:rPr>
          <w:lang w:val="en-US"/>
        </w:rPr>
        <w:t>On the other hand</w:t>
      </w:r>
      <w:r w:rsidR="00496FDD">
        <w:rPr>
          <w:lang w:val="en-US"/>
        </w:rPr>
        <w:t xml:space="preserve">, </w:t>
      </w:r>
      <w:r>
        <w:rPr>
          <w:lang w:val="en-US"/>
        </w:rPr>
        <w:t>we expect</w:t>
      </w:r>
      <w:r w:rsidR="007D3654">
        <w:rPr>
          <w:lang w:val="en-US"/>
        </w:rPr>
        <w:t xml:space="preserve"> to see</w:t>
      </w:r>
      <w:r>
        <w:rPr>
          <w:lang w:val="en-US"/>
        </w:rPr>
        <w:t xml:space="preserve"> a </w:t>
      </w:r>
      <w:r w:rsidR="007D3654">
        <w:rPr>
          <w:lang w:val="en-US"/>
        </w:rPr>
        <w:t xml:space="preserve">domestic bookrunner effect in the quality of service </w:t>
      </w:r>
      <w:r w:rsidR="00664ED3">
        <w:rPr>
          <w:lang w:val="en-US"/>
        </w:rPr>
        <w:t>due to their placement rol</w:t>
      </w:r>
      <w:r w:rsidR="00E336C5">
        <w:rPr>
          <w:lang w:val="en-US"/>
        </w:rPr>
        <w:t>e</w:t>
      </w:r>
      <w:r w:rsidR="007D3654">
        <w:rPr>
          <w:lang w:val="en-US"/>
        </w:rPr>
        <w:t xml:space="preserve"> in the bond issue</w:t>
      </w:r>
      <w:r>
        <w:rPr>
          <w:lang w:val="en-US"/>
        </w:rPr>
        <w:t xml:space="preserve">. </w:t>
      </w:r>
      <w:bookmarkStart w:id="3" w:name="_Hlk74176614"/>
      <w:r w:rsidR="00DF49D4">
        <w:rPr>
          <w:lang w:val="en-US"/>
        </w:rPr>
        <w:t>The e</w:t>
      </w:r>
      <w:r w:rsidR="001507B1" w:rsidRPr="00555663">
        <w:rPr>
          <w:lang w:val="en-US"/>
        </w:rPr>
        <w:t>mpirical literature shows that</w:t>
      </w:r>
      <w:r w:rsidR="001507B1">
        <w:rPr>
          <w:color w:val="FF0000"/>
          <w:lang w:val="en-US"/>
        </w:rPr>
        <w:t xml:space="preserve"> </w:t>
      </w:r>
      <w:r w:rsidR="001507B1">
        <w:rPr>
          <w:lang w:val="en-US"/>
        </w:rPr>
        <w:t>d</w:t>
      </w:r>
      <w:r w:rsidR="006225F6">
        <w:rPr>
          <w:lang w:val="en-US"/>
        </w:rPr>
        <w:t>omestic bookrunners</w:t>
      </w:r>
      <w:r w:rsidR="00D81787">
        <w:rPr>
          <w:lang w:val="en-US"/>
        </w:rPr>
        <w:t xml:space="preserve">, due to their proximity to </w:t>
      </w:r>
      <w:r w:rsidR="00D45167">
        <w:rPr>
          <w:lang w:val="en-US"/>
        </w:rPr>
        <w:t xml:space="preserve">the </w:t>
      </w:r>
      <w:r w:rsidR="00D81787">
        <w:rPr>
          <w:lang w:val="en-US"/>
        </w:rPr>
        <w:t>issuer,</w:t>
      </w:r>
      <w:r w:rsidR="006225F6">
        <w:rPr>
          <w:lang w:val="en-US"/>
        </w:rPr>
        <w:t xml:space="preserve"> </w:t>
      </w:r>
      <w:r w:rsidR="006B61FA">
        <w:rPr>
          <w:lang w:val="en-US"/>
        </w:rPr>
        <w:t xml:space="preserve">are </w:t>
      </w:r>
      <w:r w:rsidR="006225F6">
        <w:rPr>
          <w:lang w:val="en-US"/>
        </w:rPr>
        <w:t>likely have more soft information about the issuer and its operatio</w:t>
      </w:r>
      <w:r w:rsidR="006225F6" w:rsidRPr="00904EB8">
        <w:rPr>
          <w:lang w:val="en-US"/>
        </w:rPr>
        <w:t xml:space="preserve">ns </w:t>
      </w:r>
      <w:r w:rsidR="0039312E" w:rsidRPr="00904EB8">
        <w:rPr>
          <w:lang w:eastAsia="en-GB"/>
        </w:rPr>
        <w:t>(Butler, 2008; Corwin and Schultz, 2005; Lau and Yu, 2010; Petersen and Rajan, 2002</w:t>
      </w:r>
      <w:r w:rsidR="006225F6" w:rsidRPr="00904EB8">
        <w:rPr>
          <w:lang w:val="en-US"/>
        </w:rPr>
        <w:t>)</w:t>
      </w:r>
      <w:r w:rsidR="00DF49D4">
        <w:rPr>
          <w:lang w:val="en-US"/>
        </w:rPr>
        <w:t>. A</w:t>
      </w:r>
      <w:r w:rsidR="006225F6" w:rsidRPr="00904EB8">
        <w:rPr>
          <w:lang w:val="en-US"/>
        </w:rPr>
        <w:t xml:space="preserve">s a </w:t>
      </w:r>
      <w:r w:rsidR="00EF7575" w:rsidRPr="00904EB8">
        <w:rPr>
          <w:lang w:val="en-US"/>
        </w:rPr>
        <w:t>result,</w:t>
      </w:r>
      <w:r w:rsidR="006225F6" w:rsidRPr="00904EB8">
        <w:rPr>
          <w:lang w:val="en-US"/>
        </w:rPr>
        <w:t xml:space="preserve"> they are more likely to attract </w:t>
      </w:r>
      <w:r w:rsidR="00A662C2" w:rsidRPr="00904EB8">
        <w:rPr>
          <w:lang w:val="en-US"/>
        </w:rPr>
        <w:t>“motivated buyers” with price-competitive orders</w:t>
      </w:r>
      <w:r w:rsidR="00EF7575" w:rsidRPr="00904EB8">
        <w:rPr>
          <w:lang w:val="en-US"/>
        </w:rPr>
        <w:t xml:space="preserve"> (Butler, 2008; Lau and Yu, 2010)</w:t>
      </w:r>
      <w:r w:rsidR="00A662C2" w:rsidRPr="00904EB8">
        <w:rPr>
          <w:lang w:val="en-US"/>
        </w:rPr>
        <w:t>.</w:t>
      </w:r>
      <w:bookmarkEnd w:id="3"/>
      <w:r w:rsidR="008E37F2" w:rsidRPr="00904EB8">
        <w:rPr>
          <w:lang w:val="en-US"/>
        </w:rPr>
        <w:t xml:space="preserve"> </w:t>
      </w:r>
      <w:bookmarkStart w:id="4" w:name="_Hlk74176551"/>
      <w:r w:rsidR="00151D8A" w:rsidRPr="00904EB8">
        <w:rPr>
          <w:lang w:val="en-US"/>
        </w:rPr>
        <w:t xml:space="preserve">Butler (2008) finds that hiring a local investment bank, identified as those with an office in the issuing state, allows borrowers in the municipal bond market to issue at </w:t>
      </w:r>
      <w:r w:rsidR="008644A9" w:rsidRPr="00904EB8">
        <w:rPr>
          <w:lang w:val="en-US"/>
        </w:rPr>
        <w:t xml:space="preserve">a </w:t>
      </w:r>
      <w:r w:rsidR="00151D8A" w:rsidRPr="00904EB8">
        <w:rPr>
          <w:lang w:val="en-US"/>
        </w:rPr>
        <w:t xml:space="preserve">lower cost. Unrated and high credit risk bonds, where the benefits from </w:t>
      </w:r>
      <w:r w:rsidR="004879EA">
        <w:rPr>
          <w:lang w:val="en-US"/>
        </w:rPr>
        <w:t>the</w:t>
      </w:r>
      <w:r w:rsidR="00151D8A" w:rsidRPr="00904EB8">
        <w:rPr>
          <w:lang w:val="en-US"/>
        </w:rPr>
        <w:t xml:space="preserve"> greater knowledge of the local investor base are expected to be greatest, drive the pricing improvement. Lau and Yu (2010) find that geographically proximate bookrunners are more likely to market unrated and risky bonds and are able to achieve lower issue costs for these securities.</w:t>
      </w:r>
      <w:r w:rsidR="006F5243">
        <w:rPr>
          <w:rStyle w:val="FootnoteReference"/>
          <w:lang w:val="en-US"/>
        </w:rPr>
        <w:footnoteReference w:id="6"/>
      </w:r>
      <w:r w:rsidR="00151D8A" w:rsidRPr="00904EB8">
        <w:rPr>
          <w:lang w:val="en-US"/>
        </w:rPr>
        <w:t xml:space="preserve"> </w:t>
      </w:r>
    </w:p>
    <w:p w14:paraId="14835C2B" w14:textId="24275852" w:rsidR="00A662C2" w:rsidRDefault="0009569C" w:rsidP="00F515CC">
      <w:pPr>
        <w:spacing w:line="480" w:lineRule="auto"/>
        <w:jc w:val="both"/>
        <w:rPr>
          <w:lang w:val="en-US"/>
        </w:rPr>
      </w:pPr>
      <w:r>
        <w:rPr>
          <w:lang w:val="en-US"/>
        </w:rPr>
        <w:lastRenderedPageBreak/>
        <w:tab/>
        <w:t>Our study, therefore, intends to closely approximate all the decision parameters of regular corporate bond issuers. Unli</w:t>
      </w:r>
      <w:r w:rsidR="00777375">
        <w:rPr>
          <w:lang w:val="en-US"/>
        </w:rPr>
        <w:t>k</w:t>
      </w:r>
      <w:r>
        <w:rPr>
          <w:lang w:val="en-US"/>
        </w:rPr>
        <w:t>e Butler (2008) and Lau and Yu (2010), we focus on the characteristics of the entire bookrunner group and study exclusively investment-grade rated tranches. This should also be a stronger test of theories of financial intermediation. D</w:t>
      </w:r>
      <w:r w:rsidRPr="00DC68DD">
        <w:rPr>
          <w:lang w:val="en-US"/>
        </w:rPr>
        <w:t xml:space="preserve">ifferences between at-issue credit spreads </w:t>
      </w:r>
      <w:r>
        <w:rPr>
          <w:lang w:val="en-US"/>
        </w:rPr>
        <w:t xml:space="preserve">of investment-grade corporate bond tranches </w:t>
      </w:r>
      <w:r w:rsidRPr="00DC68DD">
        <w:rPr>
          <w:lang w:val="en-US"/>
        </w:rPr>
        <w:t>should be small and fully explainable by tranche characteristics</w:t>
      </w:r>
      <w:r>
        <w:rPr>
          <w:lang w:val="en-US"/>
        </w:rPr>
        <w:t>. Moreover, the international scope of these firms’ operations should diminish the importance of local bookrunner relationships in explaining bond pricing</w:t>
      </w:r>
      <w:r w:rsidRPr="00DC68DD">
        <w:rPr>
          <w:lang w:val="en-US"/>
        </w:rPr>
        <w:t>.</w:t>
      </w:r>
      <w:r>
        <w:rPr>
          <w:lang w:val="en-US"/>
        </w:rPr>
        <w:t xml:space="preserve"> </w:t>
      </w:r>
      <w:r w:rsidR="0037443D">
        <w:rPr>
          <w:lang w:val="en-US"/>
        </w:rPr>
        <w:t>Likewise</w:t>
      </w:r>
      <w:r>
        <w:rPr>
          <w:lang w:val="en-US"/>
        </w:rPr>
        <w:t xml:space="preserve">, by focusing on the euro-denominated market, we examine a more geographically heterogeneous market than the US and hence a less concentrated market for bookrunners. </w:t>
      </w:r>
      <w:bookmarkEnd w:id="4"/>
    </w:p>
    <w:p w14:paraId="2BBC516D" w14:textId="6CC69340" w:rsidR="00D31800" w:rsidRPr="00DC68DD" w:rsidRDefault="002676B8" w:rsidP="00904EB8">
      <w:pPr>
        <w:spacing w:line="480" w:lineRule="auto"/>
        <w:jc w:val="both"/>
        <w:rPr>
          <w:lang w:val="en-US"/>
        </w:rPr>
      </w:pPr>
      <w:r>
        <w:rPr>
          <w:lang w:val="en-US"/>
        </w:rPr>
        <w:tab/>
        <w:t xml:space="preserve">Considering the indifference in the certification role between domestic and non-domestic bookrunners, and the importance of the placement role fulfilled by domestic bookrunners due to their </w:t>
      </w:r>
      <w:r w:rsidR="00C55AA3">
        <w:rPr>
          <w:lang w:val="en-US"/>
        </w:rPr>
        <w:t>location</w:t>
      </w:r>
      <w:r>
        <w:rPr>
          <w:lang w:val="en-US"/>
        </w:rPr>
        <w:t xml:space="preserve"> advantage, we expect the geographic distribution  of bookrunner syndicate to have</w:t>
      </w:r>
      <w:r w:rsidR="009800FB">
        <w:rPr>
          <w:lang w:val="en-US"/>
        </w:rPr>
        <w:t xml:space="preserve"> an</w:t>
      </w:r>
      <w:r w:rsidR="0009569C">
        <w:rPr>
          <w:lang w:val="en-US"/>
        </w:rPr>
        <w:t xml:space="preserve"> </w:t>
      </w:r>
      <w:r>
        <w:rPr>
          <w:lang w:val="en-US"/>
        </w:rPr>
        <w:t xml:space="preserve">impact on the quality of services provided. However, this relation </w:t>
      </w:r>
      <w:r w:rsidR="00332045">
        <w:rPr>
          <w:lang w:val="en-US"/>
        </w:rPr>
        <w:t xml:space="preserve">may be </w:t>
      </w:r>
      <w:r w:rsidR="007D3654">
        <w:rPr>
          <w:lang w:val="en-US"/>
        </w:rPr>
        <w:t xml:space="preserve">changed </w:t>
      </w:r>
      <w:r w:rsidR="00332045">
        <w:rPr>
          <w:lang w:val="en-US"/>
        </w:rPr>
        <w:t xml:space="preserve">during </w:t>
      </w:r>
      <w:r w:rsidR="007279F2">
        <w:rPr>
          <w:lang w:val="en-US"/>
        </w:rPr>
        <w:t xml:space="preserve">crisis </w:t>
      </w:r>
      <w:r w:rsidR="00DF49D4">
        <w:rPr>
          <w:lang w:val="en-US"/>
        </w:rPr>
        <w:t>periods</w:t>
      </w:r>
      <w:r w:rsidR="0009569C">
        <w:rPr>
          <w:lang w:val="en-US"/>
        </w:rPr>
        <w:t xml:space="preserve"> as we discuss it in the next section.</w:t>
      </w:r>
      <w:r w:rsidR="00330499">
        <w:rPr>
          <w:lang w:val="en-US"/>
        </w:rPr>
        <w:tab/>
      </w:r>
      <w:r w:rsidR="004F3874">
        <w:rPr>
          <w:lang w:val="en-US"/>
        </w:rPr>
        <w:t xml:space="preserve"> </w:t>
      </w:r>
    </w:p>
    <w:p w14:paraId="17E16049" w14:textId="03D0F9A4" w:rsidR="001D1543" w:rsidRDefault="001D1543" w:rsidP="001D2FC9">
      <w:pPr>
        <w:pStyle w:val="Heading2"/>
        <w:rPr>
          <w:lang w:val="en-US"/>
        </w:rPr>
      </w:pPr>
      <w:r>
        <w:rPr>
          <w:lang w:val="en-US"/>
        </w:rPr>
        <w:t>2.</w:t>
      </w:r>
      <w:r w:rsidR="002E62FB">
        <w:rPr>
          <w:lang w:val="en-US"/>
        </w:rPr>
        <w:t>3</w:t>
      </w:r>
      <w:r w:rsidRPr="00DC68DD">
        <w:rPr>
          <w:lang w:val="en-US"/>
        </w:rPr>
        <w:t xml:space="preserve">. </w:t>
      </w:r>
      <w:r>
        <w:rPr>
          <w:lang w:val="en-US"/>
        </w:rPr>
        <w:t>Impact of cris</w:t>
      </w:r>
      <w:r w:rsidR="00904EB8">
        <w:rPr>
          <w:lang w:val="en-US"/>
        </w:rPr>
        <w:t>e</w:t>
      </w:r>
      <w:r>
        <w:rPr>
          <w:lang w:val="en-US"/>
        </w:rPr>
        <w:t>s</w:t>
      </w:r>
      <w:r w:rsidR="00ED506E">
        <w:rPr>
          <w:lang w:val="en-US"/>
        </w:rPr>
        <w:t xml:space="preserve"> (</w:t>
      </w:r>
      <w:r w:rsidR="00535883">
        <w:rPr>
          <w:lang w:val="en-US"/>
        </w:rPr>
        <w:t xml:space="preserve">global </w:t>
      </w:r>
      <w:r w:rsidR="00ED506E" w:rsidRPr="008F5322">
        <w:rPr>
          <w:lang w:val="en-US"/>
        </w:rPr>
        <w:t>financial and the eurozone</w:t>
      </w:r>
      <w:r w:rsidR="00ED506E">
        <w:rPr>
          <w:lang w:val="en-US"/>
        </w:rPr>
        <w:t>)</w:t>
      </w:r>
    </w:p>
    <w:p w14:paraId="06A5B636" w14:textId="3D984571" w:rsidR="0005511A" w:rsidRDefault="00B75CAB" w:rsidP="00F3622A">
      <w:pPr>
        <w:shd w:val="clear" w:color="auto" w:fill="FFFFFF"/>
        <w:spacing w:line="480" w:lineRule="auto"/>
        <w:jc w:val="both"/>
        <w:rPr>
          <w:lang w:val="en-US"/>
        </w:rPr>
      </w:pPr>
      <w:r>
        <w:rPr>
          <w:lang w:val="en-US"/>
        </w:rPr>
        <w:t>We expect that the relation</w:t>
      </w:r>
      <w:r w:rsidR="004502C3">
        <w:rPr>
          <w:lang w:val="en-US"/>
        </w:rPr>
        <w:t xml:space="preserve"> between bookrunner geography and quality of service </w:t>
      </w:r>
      <w:r w:rsidR="008237C2">
        <w:rPr>
          <w:lang w:val="en-US"/>
        </w:rPr>
        <w:t xml:space="preserve">to be stronger </w:t>
      </w:r>
      <w:r w:rsidR="004502C3">
        <w:rPr>
          <w:lang w:val="en-US"/>
        </w:rPr>
        <w:t>during the cris</w:t>
      </w:r>
      <w:r w:rsidR="007D3654">
        <w:rPr>
          <w:lang w:val="en-US"/>
        </w:rPr>
        <w:t>i</w:t>
      </w:r>
      <w:r w:rsidR="004502C3">
        <w:rPr>
          <w:lang w:val="en-US"/>
        </w:rPr>
        <w:t>s years</w:t>
      </w:r>
      <w:r w:rsidR="008237C2">
        <w:rPr>
          <w:lang w:val="en-US"/>
        </w:rPr>
        <w:t xml:space="preserve"> </w:t>
      </w:r>
      <w:r w:rsidR="00272D61">
        <w:rPr>
          <w:lang w:val="en-US"/>
        </w:rPr>
        <w:t xml:space="preserve">due to </w:t>
      </w:r>
      <w:r w:rsidR="00B1605F">
        <w:rPr>
          <w:lang w:val="en-US"/>
        </w:rPr>
        <w:t>a</w:t>
      </w:r>
      <w:r w:rsidR="008644A9">
        <w:rPr>
          <w:lang w:val="en-US"/>
        </w:rPr>
        <w:t xml:space="preserve"> </w:t>
      </w:r>
      <w:r w:rsidR="00B1605F">
        <w:rPr>
          <w:lang w:val="en-US"/>
        </w:rPr>
        <w:t>r</w:t>
      </w:r>
      <w:r w:rsidR="00272D61">
        <w:rPr>
          <w:lang w:val="en-US"/>
        </w:rPr>
        <w:t>isk aversion effect.</w:t>
      </w:r>
      <w:r w:rsidR="00ED506E">
        <w:rPr>
          <w:lang w:val="en-US"/>
        </w:rPr>
        <w:t xml:space="preserve"> We consider both the </w:t>
      </w:r>
      <w:r w:rsidR="00535883">
        <w:rPr>
          <w:lang w:val="en-US"/>
        </w:rPr>
        <w:t xml:space="preserve">global </w:t>
      </w:r>
      <w:r w:rsidR="00ED506E" w:rsidRPr="008F5322">
        <w:rPr>
          <w:lang w:val="en-US"/>
        </w:rPr>
        <w:t>financial crisis and the eurozone</w:t>
      </w:r>
      <w:r w:rsidR="00ED506E">
        <w:rPr>
          <w:lang w:val="en-US"/>
        </w:rPr>
        <w:t xml:space="preserve"> crisis</w:t>
      </w:r>
      <w:r w:rsidR="00535883">
        <w:rPr>
          <w:lang w:val="en-US"/>
        </w:rPr>
        <w:t xml:space="preserve"> (see section 4.3 for details).</w:t>
      </w:r>
      <w:r w:rsidR="00272D61">
        <w:rPr>
          <w:lang w:val="en-US"/>
        </w:rPr>
        <w:t xml:space="preserve"> E</w:t>
      </w:r>
      <w:r w:rsidR="008237C2">
        <w:rPr>
          <w:lang w:val="en-US"/>
        </w:rPr>
        <w:t>mpirical research has shown that crisis or distress years are characterized by greater investor risk-aversion (Guiso</w:t>
      </w:r>
      <w:r w:rsidR="00F61D21">
        <w:rPr>
          <w:lang w:val="en-US"/>
        </w:rPr>
        <w:t xml:space="preserve"> </w:t>
      </w:r>
      <w:r w:rsidR="00F61D21" w:rsidRPr="00DC68DD">
        <w:rPr>
          <w:lang w:val="en-US"/>
        </w:rPr>
        <w:t>et al.,</w:t>
      </w:r>
      <w:r w:rsidR="008237C2">
        <w:rPr>
          <w:lang w:val="en-US"/>
        </w:rPr>
        <w:t xml:space="preserve"> 2018)</w:t>
      </w:r>
      <w:r w:rsidR="00535E29" w:rsidRPr="00535E29">
        <w:t xml:space="preserve"> </w:t>
      </w:r>
      <w:r w:rsidR="00535E29" w:rsidRPr="00535E29">
        <w:rPr>
          <w:lang w:val="en-US"/>
        </w:rPr>
        <w:t>and our own data highlights an increase in at-issue credit spreads during this period</w:t>
      </w:r>
      <w:r w:rsidR="00535E29">
        <w:rPr>
          <w:lang w:val="en-US"/>
        </w:rPr>
        <w:t xml:space="preserve"> (see Section 4.3.)</w:t>
      </w:r>
      <w:r w:rsidR="00535E29" w:rsidRPr="00535E29">
        <w:rPr>
          <w:lang w:val="en-US"/>
        </w:rPr>
        <w:t xml:space="preserve">. </w:t>
      </w:r>
      <w:r w:rsidR="008237C2">
        <w:rPr>
          <w:lang w:val="en-US"/>
        </w:rPr>
        <w:t xml:space="preserve"> Such </w:t>
      </w:r>
      <w:r w:rsidR="008644A9">
        <w:rPr>
          <w:lang w:val="en-US"/>
        </w:rPr>
        <w:t xml:space="preserve">an </w:t>
      </w:r>
      <w:r w:rsidR="008237C2">
        <w:rPr>
          <w:lang w:val="en-US"/>
        </w:rPr>
        <w:t xml:space="preserve">increase in risk-aversion </w:t>
      </w:r>
      <w:r w:rsidR="004B24AB">
        <w:rPr>
          <w:lang w:val="en-US"/>
        </w:rPr>
        <w:t xml:space="preserve">leads to </w:t>
      </w:r>
      <w:r w:rsidR="008644A9">
        <w:rPr>
          <w:lang w:val="en-US"/>
        </w:rPr>
        <w:t xml:space="preserve">an </w:t>
      </w:r>
      <w:r w:rsidR="004B24AB">
        <w:rPr>
          <w:lang w:val="en-US"/>
        </w:rPr>
        <w:t xml:space="preserve">increase in </w:t>
      </w:r>
      <w:r w:rsidR="006B0A43">
        <w:rPr>
          <w:lang w:val="en-US"/>
        </w:rPr>
        <w:t>investors</w:t>
      </w:r>
      <w:r w:rsidR="004B24AB">
        <w:rPr>
          <w:lang w:val="en-US"/>
        </w:rPr>
        <w:t xml:space="preserve">’ demand </w:t>
      </w:r>
      <w:r w:rsidR="008644A9">
        <w:rPr>
          <w:lang w:val="en-US"/>
        </w:rPr>
        <w:t>for</w:t>
      </w:r>
      <w:r w:rsidR="004B24AB">
        <w:rPr>
          <w:lang w:val="en-US"/>
        </w:rPr>
        <w:t xml:space="preserve"> </w:t>
      </w:r>
      <w:r w:rsidR="00521826">
        <w:rPr>
          <w:lang w:val="en-US"/>
        </w:rPr>
        <w:t xml:space="preserve">high-quality certification as well as placements of the bond. </w:t>
      </w:r>
      <w:r w:rsidR="006B0A43">
        <w:rPr>
          <w:lang w:val="en-US"/>
        </w:rPr>
        <w:t xml:space="preserve">For instance, </w:t>
      </w:r>
      <w:r w:rsidR="006B0A43" w:rsidRPr="006B0A43">
        <w:rPr>
          <w:lang w:val="en-US"/>
        </w:rPr>
        <w:t xml:space="preserve">Povel et al. (2007) argue that investor incentives to collect information on firms are higher during a recession when expectations of average firm quality are lower. Krylova (2016) finds that credit ratings are </w:t>
      </w:r>
      <w:r w:rsidR="006B0A43" w:rsidRPr="006B0A43">
        <w:rPr>
          <w:lang w:val="en-US"/>
        </w:rPr>
        <w:lastRenderedPageBreak/>
        <w:t>weaker predictors of bond prices during the global financial crisis, suggesting investors should rely less on the credit quality signaling role by rating agencies.</w:t>
      </w:r>
      <w:r w:rsidR="00427BDF">
        <w:rPr>
          <w:lang w:val="en-US"/>
        </w:rPr>
        <w:t xml:space="preserve"> In such </w:t>
      </w:r>
      <w:r w:rsidR="008644A9">
        <w:rPr>
          <w:lang w:val="en-US"/>
        </w:rPr>
        <w:t xml:space="preserve">a </w:t>
      </w:r>
      <w:r w:rsidR="00427BDF">
        <w:rPr>
          <w:lang w:val="en-US"/>
        </w:rPr>
        <w:t xml:space="preserve">situation, bond issuers derive value from </w:t>
      </w:r>
      <w:r w:rsidR="000006CF">
        <w:rPr>
          <w:lang w:val="en-US"/>
        </w:rPr>
        <w:t xml:space="preserve">a </w:t>
      </w:r>
      <w:r w:rsidR="00427BDF">
        <w:rPr>
          <w:lang w:val="en-US"/>
        </w:rPr>
        <w:t>bookrunner relationship. Dick-Nielsen</w:t>
      </w:r>
      <w:r w:rsidR="00F61D21">
        <w:rPr>
          <w:lang w:val="en-US"/>
        </w:rPr>
        <w:t xml:space="preserve"> et al. </w:t>
      </w:r>
      <w:r w:rsidR="00427BDF">
        <w:rPr>
          <w:lang w:val="en-US"/>
        </w:rPr>
        <w:t xml:space="preserve">(2021) show that lead underwriters (bookrunners) help reduce the information asymmetry between the issuers and the investors due to their “relationship capital”. </w:t>
      </w:r>
      <w:r w:rsidR="00521826">
        <w:rPr>
          <w:lang w:val="en-US"/>
        </w:rPr>
        <w:t>Hence, w</w:t>
      </w:r>
      <w:r w:rsidR="00B57ABD">
        <w:rPr>
          <w:lang w:val="en-US"/>
        </w:rPr>
        <w:t xml:space="preserve">e argue that domestic bookrunners are more likely </w:t>
      </w:r>
      <w:r w:rsidR="008644A9">
        <w:rPr>
          <w:lang w:val="en-US"/>
        </w:rPr>
        <w:t xml:space="preserve">to </w:t>
      </w:r>
      <w:r w:rsidR="00D45167">
        <w:rPr>
          <w:lang w:val="en-US"/>
        </w:rPr>
        <w:t>be chosen by the issuers to certify and place their issues</w:t>
      </w:r>
      <w:r w:rsidR="00B57ABD">
        <w:rPr>
          <w:lang w:val="en-US"/>
        </w:rPr>
        <w:t xml:space="preserve"> due to the geographic proximity preference </w:t>
      </w:r>
      <w:r w:rsidR="00521826">
        <w:rPr>
          <w:lang w:val="en-US"/>
        </w:rPr>
        <w:t xml:space="preserve">of issuers </w:t>
      </w:r>
      <w:r w:rsidR="00B57ABD">
        <w:rPr>
          <w:lang w:val="en-US"/>
        </w:rPr>
        <w:t xml:space="preserve">(Lau and Yu, 2010). </w:t>
      </w:r>
      <w:r w:rsidR="005F3CA9">
        <w:rPr>
          <w:lang w:val="en-US"/>
        </w:rPr>
        <w:t>Lau and Yu (2010) argue that domestic bookrunners can make use of their superior information about domestic issuers and reduce the cost in order to improve their competitiveness (Butler, 2008).</w:t>
      </w:r>
      <w:r w:rsidR="00427BDF">
        <w:rPr>
          <w:lang w:val="en-US"/>
        </w:rPr>
        <w:t xml:space="preserve"> </w:t>
      </w:r>
    </w:p>
    <w:p w14:paraId="19244507" w14:textId="6A99C2F4" w:rsidR="00427BDF" w:rsidRPr="00B41D3C" w:rsidRDefault="00D0600B" w:rsidP="0005511A">
      <w:pPr>
        <w:shd w:val="clear" w:color="auto" w:fill="FFFFFF"/>
        <w:spacing w:line="480" w:lineRule="auto"/>
        <w:ind w:firstLine="720"/>
        <w:jc w:val="both"/>
      </w:pPr>
      <w:r>
        <w:rPr>
          <w:lang w:val="en-US"/>
        </w:rPr>
        <w:t>Consequently</w:t>
      </w:r>
      <w:r w:rsidR="00F478EA">
        <w:rPr>
          <w:lang w:val="en-US"/>
        </w:rPr>
        <w:t>, d</w:t>
      </w:r>
      <w:r w:rsidR="0005511A">
        <w:rPr>
          <w:lang w:val="en-US"/>
        </w:rPr>
        <w:t xml:space="preserve">uring non-crisis periods </w:t>
      </w:r>
      <w:r w:rsidR="00F478EA">
        <w:rPr>
          <w:lang w:val="en-US"/>
        </w:rPr>
        <w:t xml:space="preserve">when </w:t>
      </w:r>
      <w:r w:rsidR="00972C5C" w:rsidRPr="006A01F9">
        <w:rPr>
          <w:lang w:val="en-US"/>
        </w:rPr>
        <w:t xml:space="preserve">the degree of risk aversion </w:t>
      </w:r>
      <w:r w:rsidR="00071B68" w:rsidRPr="006A01F9">
        <w:rPr>
          <w:lang w:val="en-US"/>
        </w:rPr>
        <w:t xml:space="preserve">is </w:t>
      </w:r>
      <w:r w:rsidR="00972C5C" w:rsidRPr="006A01F9">
        <w:rPr>
          <w:lang w:val="en-US"/>
        </w:rPr>
        <w:t xml:space="preserve">lower </w:t>
      </w:r>
      <w:r w:rsidR="00F478EA">
        <w:rPr>
          <w:lang w:val="en-US"/>
        </w:rPr>
        <w:t>we suggest that</w:t>
      </w:r>
      <w:r w:rsidR="0005511A">
        <w:rPr>
          <w:lang w:val="en-US"/>
        </w:rPr>
        <w:t xml:space="preserve"> </w:t>
      </w:r>
      <w:r w:rsidR="00332045" w:rsidRPr="006A01F9">
        <w:rPr>
          <w:lang w:val="en-US"/>
        </w:rPr>
        <w:t xml:space="preserve">issuers would benefit from the placement role of the bookrunners rather than their certification roles. </w:t>
      </w:r>
      <w:r w:rsidR="0005511A">
        <w:rPr>
          <w:lang w:val="en-US"/>
        </w:rPr>
        <w:t>Also</w:t>
      </w:r>
      <w:r w:rsidR="00272D61" w:rsidRPr="006A01F9">
        <w:rPr>
          <w:lang w:val="en-US"/>
        </w:rPr>
        <w:t xml:space="preserve">, </w:t>
      </w:r>
      <w:r w:rsidR="008644A9" w:rsidRPr="006A01F9">
        <w:rPr>
          <w:lang w:val="en-US"/>
        </w:rPr>
        <w:t xml:space="preserve">the </w:t>
      </w:r>
      <w:r w:rsidR="00F478EA">
        <w:rPr>
          <w:lang w:val="en-US"/>
        </w:rPr>
        <w:t xml:space="preserve">importance of certification could </w:t>
      </w:r>
      <w:r w:rsidR="00106071" w:rsidRPr="006A01F9">
        <w:rPr>
          <w:lang w:val="en-US"/>
        </w:rPr>
        <w:t xml:space="preserve">be weakened during normal times due to the </w:t>
      </w:r>
      <w:r w:rsidR="00272D61" w:rsidRPr="006A01F9">
        <w:rPr>
          <w:lang w:val="en-US"/>
        </w:rPr>
        <w:t>“</w:t>
      </w:r>
      <w:r w:rsidR="00F61D21" w:rsidRPr="006A01F9">
        <w:rPr>
          <w:lang w:val="en-US"/>
        </w:rPr>
        <w:t>a</w:t>
      </w:r>
      <w:r w:rsidR="00272D61" w:rsidRPr="006A01F9">
        <w:rPr>
          <w:lang w:val="en-US"/>
        </w:rPr>
        <w:t xml:space="preserve">ncillary pressure effect”. </w:t>
      </w:r>
      <w:r w:rsidR="007D3654">
        <w:rPr>
          <w:lang w:val="en-US"/>
        </w:rPr>
        <w:t>Although</w:t>
      </w:r>
      <w:r w:rsidR="00057AC4" w:rsidRPr="006A01F9">
        <w:rPr>
          <w:lang w:val="en-US"/>
        </w:rPr>
        <w:t xml:space="preserve"> low government bond yields post</w:t>
      </w:r>
      <w:r w:rsidR="00752131" w:rsidRPr="006A01F9">
        <w:rPr>
          <w:lang w:val="en-US"/>
        </w:rPr>
        <w:t>-</w:t>
      </w:r>
      <w:r w:rsidR="00057AC4" w:rsidRPr="006A01F9">
        <w:rPr>
          <w:lang w:val="en-US"/>
        </w:rPr>
        <w:t>crisis ha</w:t>
      </w:r>
      <w:r w:rsidR="008644A9" w:rsidRPr="006A01F9">
        <w:rPr>
          <w:lang w:val="en-US"/>
        </w:rPr>
        <w:t>ve</w:t>
      </w:r>
      <w:r w:rsidR="00057AC4" w:rsidRPr="006A01F9">
        <w:rPr>
          <w:lang w:val="en-US"/>
        </w:rPr>
        <w:t xml:space="preserve"> increased investor demand for corporate bonds</w:t>
      </w:r>
      <w:r w:rsidR="0006050F" w:rsidRPr="006A01F9">
        <w:rPr>
          <w:lang w:val="en-US"/>
        </w:rPr>
        <w:t xml:space="preserve"> due to reduced risk aversion</w:t>
      </w:r>
      <w:r w:rsidR="00337988" w:rsidRPr="006A01F9">
        <w:rPr>
          <w:lang w:val="en-US"/>
        </w:rPr>
        <w:t xml:space="preserve"> (Duca</w:t>
      </w:r>
      <w:r w:rsidR="00F61D21" w:rsidRPr="006A01F9">
        <w:rPr>
          <w:lang w:val="en-US"/>
        </w:rPr>
        <w:t xml:space="preserve"> et al.,</w:t>
      </w:r>
      <w:r w:rsidR="00337988" w:rsidRPr="006A01F9">
        <w:rPr>
          <w:lang w:val="en-US"/>
        </w:rPr>
        <w:t xml:space="preserve"> 2016)</w:t>
      </w:r>
      <w:r w:rsidR="00752131" w:rsidRPr="006A01F9">
        <w:rPr>
          <w:lang w:val="en-US"/>
        </w:rPr>
        <w:t xml:space="preserve">, it has also increased the pressure on banks to undertake </w:t>
      </w:r>
      <w:r w:rsidR="008644A9" w:rsidRPr="006A01F9">
        <w:rPr>
          <w:lang w:val="en-US"/>
        </w:rPr>
        <w:t>a</w:t>
      </w:r>
      <w:r w:rsidR="00752131" w:rsidRPr="006A01F9">
        <w:rPr>
          <w:lang w:val="en-US"/>
        </w:rPr>
        <w:t xml:space="preserve"> </w:t>
      </w:r>
      <w:r w:rsidR="00980A4C" w:rsidRPr="006A01F9">
        <w:rPr>
          <w:lang w:val="en-US"/>
        </w:rPr>
        <w:t xml:space="preserve">large number of </w:t>
      </w:r>
      <w:r w:rsidR="00752131" w:rsidRPr="006A01F9">
        <w:rPr>
          <w:lang w:val="en-US"/>
        </w:rPr>
        <w:t xml:space="preserve">bookrunner roles to boost their ancillary returns on capital. For instance, </w:t>
      </w:r>
      <w:r w:rsidR="00980A4C" w:rsidRPr="006A01F9">
        <w:rPr>
          <w:lang w:val="en-US"/>
        </w:rPr>
        <w:t xml:space="preserve">for our sample data, </w:t>
      </w:r>
      <w:r w:rsidR="00D40F87" w:rsidRPr="006A01F9">
        <w:rPr>
          <w:lang w:val="en-US"/>
        </w:rPr>
        <w:t xml:space="preserve">the average number of bookrunners </w:t>
      </w:r>
      <w:r w:rsidR="00B55DDF" w:rsidRPr="006A01F9">
        <w:rPr>
          <w:lang w:val="en-US"/>
        </w:rPr>
        <w:t>doubled in recent years</w:t>
      </w:r>
      <w:r w:rsidR="00D40F87" w:rsidRPr="006A01F9">
        <w:rPr>
          <w:lang w:val="en-US"/>
        </w:rPr>
        <w:t xml:space="preserve"> from 3.2 in </w:t>
      </w:r>
      <w:r w:rsidR="008644A9" w:rsidRPr="006A01F9">
        <w:rPr>
          <w:lang w:val="en-US"/>
        </w:rPr>
        <w:t xml:space="preserve">the </w:t>
      </w:r>
      <w:r w:rsidR="00D40F87" w:rsidRPr="006A01F9">
        <w:rPr>
          <w:lang w:val="en-US"/>
        </w:rPr>
        <w:t xml:space="preserve">pre-crisis period (before November 2006) to 6.3 in </w:t>
      </w:r>
      <w:r w:rsidR="008644A9" w:rsidRPr="006A01F9">
        <w:rPr>
          <w:lang w:val="en-US"/>
        </w:rPr>
        <w:t xml:space="preserve">the </w:t>
      </w:r>
      <w:r w:rsidR="00D40F87" w:rsidRPr="006A01F9">
        <w:rPr>
          <w:lang w:val="en-US"/>
        </w:rPr>
        <w:t xml:space="preserve">post-crisis period (after October 2012). </w:t>
      </w:r>
      <w:r w:rsidR="00980A4C" w:rsidRPr="006A01F9">
        <w:rPr>
          <w:lang w:val="en-US"/>
        </w:rPr>
        <w:t>This, in turn, results in lower corporate flexibility to select preferred bookrunner group composition resulting in inefficiently constructed bookrunner groups (Owen, 2018).</w:t>
      </w:r>
      <w:r w:rsidR="00106071" w:rsidRPr="006A01F9">
        <w:rPr>
          <w:lang w:val="en-US"/>
        </w:rPr>
        <w:t xml:space="preserve"> Hence, the larger bookrunner syndicate driven by the market power of banks may not be efficient.</w:t>
      </w:r>
      <w:r w:rsidR="006A01F9" w:rsidRPr="006A01F9">
        <w:rPr>
          <w:lang w:val="en-US"/>
        </w:rPr>
        <w:t xml:space="preserve"> </w:t>
      </w:r>
      <w:r w:rsidR="006A01F9" w:rsidRPr="006A01F9">
        <w:t xml:space="preserve">Practitioner and financial press coverage highlights that bookrunners have become more aggressive in their bond origination strategies and have done more to </w:t>
      </w:r>
      <w:r w:rsidR="008A0124" w:rsidRPr="006A01F9">
        <w:t>emphasize</w:t>
      </w:r>
      <w:r w:rsidR="006A01F9" w:rsidRPr="006A01F9">
        <w:t xml:space="preserve"> the link from loan commitments to firms and winning bond bookrunner business from </w:t>
      </w:r>
      <w:r w:rsidR="008A0124" w:rsidRPr="006A01F9">
        <w:t>borrowing</w:t>
      </w:r>
      <w:r w:rsidR="006A01F9" w:rsidRPr="006A01F9">
        <w:t xml:space="preserve"> firms</w:t>
      </w:r>
      <w:r w:rsidR="00B41D3C">
        <w:t xml:space="preserve"> </w:t>
      </w:r>
      <w:r w:rsidR="00980A4C" w:rsidRPr="006A01F9">
        <w:rPr>
          <w:lang w:val="en-US"/>
        </w:rPr>
        <w:t>(</w:t>
      </w:r>
      <w:r w:rsidR="00980A4C" w:rsidRPr="006A01F9">
        <w:rPr>
          <w:lang w:val="en-US" w:eastAsia="en-GB"/>
        </w:rPr>
        <w:t xml:space="preserve">Kaya and Meyer, 2013; </w:t>
      </w:r>
      <w:r w:rsidR="00980A4C" w:rsidRPr="006A01F9">
        <w:t xml:space="preserve">Wyman, 2016; </w:t>
      </w:r>
      <w:r w:rsidR="00980A4C" w:rsidRPr="006A01F9">
        <w:rPr>
          <w:lang w:val="en-US"/>
        </w:rPr>
        <w:t>Stothard, 2013)</w:t>
      </w:r>
      <w:r w:rsidR="00980A4C" w:rsidRPr="006A01F9">
        <w:rPr>
          <w:lang w:val="en-US" w:eastAsia="en-GB"/>
        </w:rPr>
        <w:t>.</w:t>
      </w:r>
    </w:p>
    <w:p w14:paraId="40496DD0" w14:textId="165A3983" w:rsidR="00A64FC9" w:rsidRPr="006A01F9" w:rsidRDefault="0080081A" w:rsidP="006A01F9">
      <w:pPr>
        <w:pStyle w:val="Heading1"/>
        <w:spacing w:line="480" w:lineRule="auto"/>
        <w:jc w:val="both"/>
        <w:rPr>
          <w:szCs w:val="24"/>
          <w:lang w:val="en-US"/>
        </w:rPr>
      </w:pPr>
      <w:r w:rsidRPr="006A01F9">
        <w:rPr>
          <w:szCs w:val="24"/>
          <w:lang w:val="en-US"/>
        </w:rPr>
        <w:lastRenderedPageBreak/>
        <w:t>3</w:t>
      </w:r>
      <w:r w:rsidR="00B75E82" w:rsidRPr="006A01F9">
        <w:rPr>
          <w:szCs w:val="24"/>
          <w:lang w:val="en-US"/>
        </w:rPr>
        <w:t xml:space="preserve">. </w:t>
      </w:r>
      <w:r w:rsidR="005E2EF4" w:rsidRPr="006A01F9">
        <w:rPr>
          <w:szCs w:val="24"/>
          <w:lang w:val="en-US"/>
        </w:rPr>
        <w:t xml:space="preserve">Sample </w:t>
      </w:r>
      <w:r w:rsidR="00EA2EE2" w:rsidRPr="006A01F9">
        <w:rPr>
          <w:szCs w:val="24"/>
          <w:lang w:val="en-US"/>
        </w:rPr>
        <w:t>construction, dependent variable</w:t>
      </w:r>
      <w:r w:rsidR="008644A9" w:rsidRPr="006A01F9">
        <w:rPr>
          <w:szCs w:val="24"/>
          <w:lang w:val="en-US"/>
        </w:rPr>
        <w:t>,</w:t>
      </w:r>
      <w:r w:rsidR="00EA2EE2" w:rsidRPr="006A01F9">
        <w:rPr>
          <w:szCs w:val="24"/>
          <w:lang w:val="en-US"/>
        </w:rPr>
        <w:t xml:space="preserve"> </w:t>
      </w:r>
      <w:r w:rsidR="0097182E" w:rsidRPr="006A01F9">
        <w:rPr>
          <w:szCs w:val="24"/>
          <w:lang w:val="en-US"/>
        </w:rPr>
        <w:t xml:space="preserve">and </w:t>
      </w:r>
      <w:r w:rsidR="00EA2EE2" w:rsidRPr="006A01F9">
        <w:rPr>
          <w:szCs w:val="24"/>
          <w:lang w:val="en-US"/>
        </w:rPr>
        <w:t>empirical determinants</w:t>
      </w:r>
    </w:p>
    <w:p w14:paraId="038A9785" w14:textId="715B0B3A" w:rsidR="00F136A9" w:rsidRPr="00E300E4" w:rsidRDefault="00F136A9" w:rsidP="006A01F9">
      <w:pPr>
        <w:pStyle w:val="ListParagraph"/>
        <w:spacing w:line="480" w:lineRule="auto"/>
        <w:ind w:left="0"/>
        <w:jc w:val="both"/>
        <w:rPr>
          <w:lang w:val="en-US"/>
        </w:rPr>
      </w:pPr>
      <w:r w:rsidRPr="006A01F9">
        <w:rPr>
          <w:lang w:val="en-US"/>
        </w:rPr>
        <w:t xml:space="preserve">In this </w:t>
      </w:r>
      <w:r w:rsidR="002D72BC" w:rsidRPr="006A01F9">
        <w:rPr>
          <w:lang w:val="en-US"/>
        </w:rPr>
        <w:t>section,</w:t>
      </w:r>
      <w:r w:rsidRPr="006A01F9">
        <w:rPr>
          <w:lang w:val="en-US"/>
        </w:rPr>
        <w:t xml:space="preserve"> we set out the sample selection process, our dependent variable of th</w:t>
      </w:r>
      <w:r w:rsidR="00184F52" w:rsidRPr="006A01F9">
        <w:rPr>
          <w:lang w:val="en-US"/>
        </w:rPr>
        <w:t>e quality</w:t>
      </w:r>
      <w:r w:rsidR="00184F52">
        <w:rPr>
          <w:lang w:val="en-US"/>
        </w:rPr>
        <w:t xml:space="preserve"> of bookrunner service</w:t>
      </w:r>
      <w:r w:rsidR="008644A9">
        <w:rPr>
          <w:lang w:val="en-US"/>
        </w:rPr>
        <w:t>,</w:t>
      </w:r>
      <w:r w:rsidRPr="00DC68DD">
        <w:rPr>
          <w:lang w:val="en-US"/>
        </w:rPr>
        <w:t xml:space="preserve"> </w:t>
      </w:r>
      <w:r w:rsidR="00CE63A4" w:rsidRPr="00DC68DD">
        <w:rPr>
          <w:lang w:val="en-US"/>
        </w:rPr>
        <w:t xml:space="preserve">and </w:t>
      </w:r>
      <w:r w:rsidR="00744ABB" w:rsidRPr="00DC68DD">
        <w:rPr>
          <w:lang w:val="en-US"/>
        </w:rPr>
        <w:t>our main</w:t>
      </w:r>
      <w:r w:rsidRPr="00DC68DD">
        <w:rPr>
          <w:lang w:val="en-US"/>
        </w:rPr>
        <w:t xml:space="preserve"> proxies for bookrunner </w:t>
      </w:r>
      <w:r w:rsidR="00460B3A" w:rsidRPr="00DC68DD">
        <w:rPr>
          <w:lang w:val="en-US"/>
        </w:rPr>
        <w:t xml:space="preserve">syndicate </w:t>
      </w:r>
      <w:r w:rsidR="00C27790" w:rsidRPr="00DC68DD">
        <w:rPr>
          <w:lang w:val="en-US"/>
        </w:rPr>
        <w:t>geography</w:t>
      </w:r>
      <w:r w:rsidR="004700AD" w:rsidRPr="00DC68DD">
        <w:rPr>
          <w:lang w:val="en-US"/>
        </w:rPr>
        <w:t xml:space="preserve">. </w:t>
      </w:r>
      <w:r w:rsidR="00D860E6">
        <w:rPr>
          <w:lang w:val="en-US"/>
        </w:rPr>
        <w:t>We present a</w:t>
      </w:r>
      <w:r w:rsidR="004700AD" w:rsidRPr="00DC68DD">
        <w:rPr>
          <w:lang w:val="en-US"/>
        </w:rPr>
        <w:t xml:space="preserve">n overview of the sources and definitions </w:t>
      </w:r>
      <w:r w:rsidRPr="00DC68DD">
        <w:rPr>
          <w:lang w:val="en-US"/>
        </w:rPr>
        <w:t xml:space="preserve">for each </w:t>
      </w:r>
      <w:r w:rsidR="00C27790" w:rsidRPr="00DC68DD">
        <w:rPr>
          <w:lang w:val="en-US"/>
        </w:rPr>
        <w:t>variable</w:t>
      </w:r>
      <w:r w:rsidR="00AC6492">
        <w:rPr>
          <w:lang w:val="en-US"/>
        </w:rPr>
        <w:t xml:space="preserve"> in Table 1 (panel A bookrunner syndicate structure variables, panel B bond pricing and outcomes variables</w:t>
      </w:r>
      <w:r w:rsidR="008644A9">
        <w:rPr>
          <w:lang w:val="en-US"/>
        </w:rPr>
        <w:t>,</w:t>
      </w:r>
      <w:r w:rsidR="00AC6492">
        <w:rPr>
          <w:lang w:val="en-US"/>
        </w:rPr>
        <w:t xml:space="preserve"> and panel C instrumental and control variables)</w:t>
      </w:r>
      <w:r w:rsidRPr="00DC68DD">
        <w:rPr>
          <w:lang w:val="en-US"/>
        </w:rPr>
        <w:t>.</w:t>
      </w:r>
    </w:p>
    <w:p w14:paraId="76628F91" w14:textId="64FAAB8E" w:rsidR="00E300E4" w:rsidRPr="008644A9" w:rsidRDefault="00F136A9" w:rsidP="001D2FC9">
      <w:pPr>
        <w:spacing w:line="480" w:lineRule="auto"/>
        <w:ind w:left="360"/>
        <w:jc w:val="center"/>
        <w:rPr>
          <w:b/>
          <w:bCs/>
          <w:lang w:val="en-US"/>
        </w:rPr>
      </w:pPr>
      <w:r w:rsidRPr="008644A9">
        <w:rPr>
          <w:b/>
          <w:bCs/>
          <w:lang w:val="en-US"/>
        </w:rPr>
        <w:t>[Insert Table 1 about here]</w:t>
      </w:r>
    </w:p>
    <w:p w14:paraId="4A0C3A00" w14:textId="77777777" w:rsidR="008E6E95" w:rsidRPr="00DC68DD" w:rsidRDefault="0080081A" w:rsidP="001D2FC9">
      <w:pPr>
        <w:pStyle w:val="Heading2"/>
        <w:rPr>
          <w:lang w:val="en-US"/>
        </w:rPr>
      </w:pPr>
      <w:r>
        <w:rPr>
          <w:lang w:val="en-US"/>
        </w:rPr>
        <w:t>3</w:t>
      </w:r>
      <w:r w:rsidR="001131AD" w:rsidRPr="00DC68DD">
        <w:rPr>
          <w:lang w:val="en-US"/>
        </w:rPr>
        <w:t xml:space="preserve">.1. </w:t>
      </w:r>
      <w:r w:rsidR="00DB07ED" w:rsidRPr="00DC68DD">
        <w:rPr>
          <w:lang w:val="en-US"/>
        </w:rPr>
        <w:t xml:space="preserve">Sample construction </w:t>
      </w:r>
    </w:p>
    <w:p w14:paraId="18E5F0C7" w14:textId="60D9775C" w:rsidR="00775838" w:rsidRDefault="00D860E6" w:rsidP="007E78E1">
      <w:pPr>
        <w:pStyle w:val="ListParagraph"/>
        <w:spacing w:line="480" w:lineRule="auto"/>
        <w:ind w:left="0"/>
        <w:jc w:val="both"/>
        <w:rPr>
          <w:lang w:val="en-US"/>
        </w:rPr>
      </w:pPr>
      <w:r>
        <w:rPr>
          <w:lang w:val="en-US"/>
        </w:rPr>
        <w:t>We collect o</w:t>
      </w:r>
      <w:r w:rsidR="00DB07ED" w:rsidRPr="00DC68DD">
        <w:rPr>
          <w:lang w:val="en-US"/>
        </w:rPr>
        <w:t xml:space="preserve">ur sample </w:t>
      </w:r>
      <w:r>
        <w:rPr>
          <w:lang w:val="en-US"/>
        </w:rPr>
        <w:t>from</w:t>
      </w:r>
      <w:r w:rsidR="00DB07ED" w:rsidRPr="00DC68DD">
        <w:rPr>
          <w:lang w:val="en-US"/>
        </w:rPr>
        <w:t xml:space="preserve"> a Dealogic search of all euro-denominated senior unsecured bond tranches </w:t>
      </w:r>
      <w:r w:rsidR="004700AD" w:rsidRPr="00DC68DD">
        <w:rPr>
          <w:lang w:val="en-US"/>
        </w:rPr>
        <w:t xml:space="preserve">issued </w:t>
      </w:r>
      <w:r w:rsidR="00DB07ED" w:rsidRPr="00DC68DD">
        <w:rPr>
          <w:lang w:val="en-US"/>
        </w:rPr>
        <w:t xml:space="preserve">by Western European </w:t>
      </w:r>
      <w:r w:rsidR="004700AD" w:rsidRPr="00DC68DD">
        <w:rPr>
          <w:lang w:val="en-US"/>
        </w:rPr>
        <w:t>firms</w:t>
      </w:r>
      <w:r w:rsidR="00DB07ED" w:rsidRPr="00DC68DD">
        <w:rPr>
          <w:lang w:val="en-US"/>
        </w:rPr>
        <w:t xml:space="preserve"> from January </w:t>
      </w:r>
      <w:r w:rsidR="00C77989" w:rsidRPr="00DC68DD">
        <w:rPr>
          <w:lang w:val="en-US"/>
        </w:rPr>
        <w:t xml:space="preserve">1, </w:t>
      </w:r>
      <w:r w:rsidR="00DB07ED" w:rsidRPr="00DC68DD">
        <w:rPr>
          <w:lang w:val="en-US"/>
        </w:rPr>
        <w:t>200</w:t>
      </w:r>
      <w:r w:rsidR="00C77989" w:rsidRPr="00DC68DD">
        <w:rPr>
          <w:lang w:val="en-US"/>
        </w:rPr>
        <w:t>1</w:t>
      </w:r>
      <w:r w:rsidR="008644A9">
        <w:rPr>
          <w:lang w:val="en-US"/>
        </w:rPr>
        <w:t>,</w:t>
      </w:r>
      <w:r w:rsidR="00C77989" w:rsidRPr="00DC68DD">
        <w:rPr>
          <w:lang w:val="en-US"/>
        </w:rPr>
        <w:t xml:space="preserve"> up to </w:t>
      </w:r>
      <w:r w:rsidR="00DB07ED" w:rsidRPr="00DC68DD">
        <w:rPr>
          <w:lang w:val="en-US"/>
        </w:rPr>
        <w:t xml:space="preserve">December </w:t>
      </w:r>
      <w:r w:rsidR="00C77989" w:rsidRPr="00DC68DD">
        <w:rPr>
          <w:lang w:val="en-US"/>
        </w:rPr>
        <w:t xml:space="preserve">31, </w:t>
      </w:r>
      <w:r w:rsidR="00151542">
        <w:rPr>
          <w:lang w:val="en-US"/>
        </w:rPr>
        <w:t>2020</w:t>
      </w:r>
      <w:r w:rsidR="00E32118">
        <w:rPr>
          <w:lang w:val="en-US"/>
        </w:rPr>
        <w:t>.</w:t>
      </w:r>
      <w:r w:rsidR="00DB07ED" w:rsidRPr="00DC68DD">
        <w:rPr>
          <w:rStyle w:val="FootnoteReference"/>
          <w:lang w:val="en-US"/>
        </w:rPr>
        <w:footnoteReference w:id="7"/>
      </w:r>
      <w:r w:rsidR="00DB07ED" w:rsidRPr="00DC68DD">
        <w:rPr>
          <w:lang w:val="en-US"/>
        </w:rPr>
        <w:t xml:space="preserve"> We exclude tranches issued by financial institutions and secured tranches due to their distinct risk profile.</w:t>
      </w:r>
      <w:r w:rsidR="00DB07ED" w:rsidRPr="00DC68DD">
        <w:rPr>
          <w:rStyle w:val="FootnoteReference"/>
          <w:lang w:val="en-US"/>
        </w:rPr>
        <w:footnoteReference w:id="8"/>
      </w:r>
      <w:r w:rsidR="00DB07ED" w:rsidRPr="00DC68DD">
        <w:rPr>
          <w:lang w:val="en-US"/>
        </w:rPr>
        <w:t xml:space="preserve"> </w:t>
      </w:r>
    </w:p>
    <w:p w14:paraId="5E060CC1" w14:textId="00902CDF" w:rsidR="00775838" w:rsidRDefault="00775838" w:rsidP="0030353C">
      <w:pPr>
        <w:pStyle w:val="ListParagraph"/>
        <w:spacing w:line="480" w:lineRule="auto"/>
        <w:ind w:left="0" w:firstLine="709"/>
        <w:jc w:val="both"/>
        <w:rPr>
          <w:lang w:val="en-US"/>
        </w:rPr>
      </w:pPr>
      <w:r>
        <w:rPr>
          <w:lang w:val="en-US"/>
        </w:rPr>
        <w:t xml:space="preserve">In </w:t>
      </w:r>
      <w:r w:rsidR="00151542">
        <w:rPr>
          <w:lang w:val="en-US"/>
        </w:rPr>
        <w:t>addition,</w:t>
      </w:r>
      <w:r>
        <w:rPr>
          <w:lang w:val="en-US"/>
        </w:rPr>
        <w:t xml:space="preserve"> we </w:t>
      </w:r>
      <w:r w:rsidRPr="00DC68DD">
        <w:rPr>
          <w:lang w:val="en-US"/>
        </w:rPr>
        <w:t xml:space="preserve">exclude </w:t>
      </w:r>
      <w:r>
        <w:rPr>
          <w:lang w:val="en-US"/>
        </w:rPr>
        <w:t xml:space="preserve">non-investment grade </w:t>
      </w:r>
      <w:r w:rsidRPr="00DC68DD">
        <w:rPr>
          <w:lang w:val="en-US"/>
        </w:rPr>
        <w:t>tranches</w:t>
      </w:r>
      <w:r>
        <w:rPr>
          <w:lang w:val="en-US"/>
        </w:rPr>
        <w:t>. This allows us to carry out a stronger test of the impact of bookrunner syndicate quality. It also makes our sample more comparable as the at-issue pricing variable, which we use to proxy for quality of service, is consistent. Investment</w:t>
      </w:r>
      <w:r w:rsidR="008644A9">
        <w:rPr>
          <w:lang w:val="en-US"/>
        </w:rPr>
        <w:t>-</w:t>
      </w:r>
      <w:r>
        <w:rPr>
          <w:lang w:val="en-US"/>
        </w:rPr>
        <w:t xml:space="preserve">grade bonds are priced as a credit spread over a benchmark rate, the mid-swap rate in the euro-denominated market, while non-investment grade bonds are priced on a total yield basis </w:t>
      </w:r>
      <w:r w:rsidRPr="00DC68DD">
        <w:rPr>
          <w:lang w:val="en-US"/>
        </w:rPr>
        <w:t>(Blume et al., 1991)</w:t>
      </w:r>
      <w:r>
        <w:rPr>
          <w:lang w:val="en-US"/>
        </w:rPr>
        <w:t>.</w:t>
      </w:r>
      <w:r w:rsidRPr="00DC68DD">
        <w:rPr>
          <w:rStyle w:val="FootnoteReference"/>
          <w:lang w:val="en-US"/>
        </w:rPr>
        <w:footnoteReference w:id="9"/>
      </w:r>
      <w:r>
        <w:rPr>
          <w:lang w:val="en-US"/>
        </w:rPr>
        <w:t xml:space="preserve"> </w:t>
      </w:r>
      <w:r w:rsidR="0030353C">
        <w:rPr>
          <w:lang w:val="en-US"/>
        </w:rPr>
        <w:t>Moreover</w:t>
      </w:r>
      <w:r w:rsidR="008644A9">
        <w:rPr>
          <w:lang w:val="en-US"/>
        </w:rPr>
        <w:t>,</w:t>
      </w:r>
      <w:r w:rsidR="00B8338C">
        <w:rPr>
          <w:lang w:val="en-US"/>
        </w:rPr>
        <w:t xml:space="preserve"> the high-yield bond market is </w:t>
      </w:r>
      <w:r>
        <w:rPr>
          <w:lang w:val="en-US"/>
        </w:rPr>
        <w:t xml:space="preserve">still </w:t>
      </w:r>
      <w:r w:rsidR="00B8338C">
        <w:rPr>
          <w:lang w:val="en-US"/>
        </w:rPr>
        <w:t xml:space="preserve">very </w:t>
      </w:r>
      <w:r>
        <w:rPr>
          <w:lang w:val="en-US"/>
        </w:rPr>
        <w:t>small</w:t>
      </w:r>
      <w:r w:rsidR="00B8338C">
        <w:rPr>
          <w:lang w:val="en-US"/>
        </w:rPr>
        <w:t>, constituting only 3.2% of European bond issuance in this period (source: Dealogic)</w:t>
      </w:r>
      <w:r>
        <w:rPr>
          <w:lang w:val="en-US"/>
        </w:rPr>
        <w:t>.</w:t>
      </w:r>
    </w:p>
    <w:p w14:paraId="47AA4694" w14:textId="2D157E7D" w:rsidR="00DB07ED" w:rsidRPr="00E300E4" w:rsidDel="00E41773" w:rsidRDefault="00B8338C" w:rsidP="00E300E4">
      <w:pPr>
        <w:pStyle w:val="ListParagraph"/>
        <w:spacing w:line="480" w:lineRule="auto"/>
        <w:ind w:left="0" w:firstLine="709"/>
        <w:jc w:val="both"/>
        <w:rPr>
          <w:vertAlign w:val="superscript"/>
          <w:lang w:val="en-US"/>
        </w:rPr>
      </w:pPr>
      <w:r>
        <w:rPr>
          <w:lang w:val="en-US"/>
        </w:rPr>
        <w:lastRenderedPageBreak/>
        <w:t>Within our investment</w:t>
      </w:r>
      <w:r w:rsidR="008644A9">
        <w:rPr>
          <w:lang w:val="en-US"/>
        </w:rPr>
        <w:t>-</w:t>
      </w:r>
      <w:r>
        <w:rPr>
          <w:lang w:val="en-US"/>
        </w:rPr>
        <w:t>grade sam</w:t>
      </w:r>
      <w:r w:rsidR="00766146">
        <w:rPr>
          <w:lang w:val="en-US"/>
        </w:rPr>
        <w:t>p</w:t>
      </w:r>
      <w:r>
        <w:rPr>
          <w:lang w:val="en-US"/>
        </w:rPr>
        <w:t xml:space="preserve">le, </w:t>
      </w:r>
      <w:r w:rsidR="008644A9">
        <w:rPr>
          <w:lang w:val="en-US"/>
        </w:rPr>
        <w:t>we aim</w:t>
      </w:r>
      <w:r w:rsidR="00775838">
        <w:rPr>
          <w:lang w:val="en-US"/>
        </w:rPr>
        <w:t xml:space="preserve"> </w:t>
      </w:r>
      <w:r w:rsidR="000936A1">
        <w:rPr>
          <w:lang w:val="en-US"/>
        </w:rPr>
        <w:t xml:space="preserve">to </w:t>
      </w:r>
      <w:r>
        <w:rPr>
          <w:lang w:val="en-US"/>
        </w:rPr>
        <w:t>select</w:t>
      </w:r>
      <w:r w:rsidR="00384DAE">
        <w:rPr>
          <w:lang w:val="en-US"/>
        </w:rPr>
        <w:t xml:space="preserve"> euro-denominated corporate</w:t>
      </w:r>
      <w:r w:rsidR="000936A1">
        <w:rPr>
          <w:lang w:val="en-US"/>
        </w:rPr>
        <w:t xml:space="preserve"> bonds that </w:t>
      </w:r>
      <w:r w:rsidR="00384DAE">
        <w:rPr>
          <w:lang w:val="en-US"/>
        </w:rPr>
        <w:t>are</w:t>
      </w:r>
      <w:r w:rsidR="00775838">
        <w:rPr>
          <w:lang w:val="en-US"/>
        </w:rPr>
        <w:t xml:space="preserve"> comparable in terms of the degree of certification and placement work required by the bookrunner syndicate. We</w:t>
      </w:r>
      <w:r w:rsidR="008644A9">
        <w:rPr>
          <w:lang w:val="en-US"/>
        </w:rPr>
        <w:t>, therefore,</w:t>
      </w:r>
      <w:r w:rsidR="00775838">
        <w:rPr>
          <w:lang w:val="en-US"/>
        </w:rPr>
        <w:t xml:space="preserve"> focus on tranches that are </w:t>
      </w:r>
      <w:r w:rsidR="000936A1">
        <w:rPr>
          <w:lang w:val="en-US"/>
        </w:rPr>
        <w:t xml:space="preserve">in principle open for investment </w:t>
      </w:r>
      <w:r>
        <w:rPr>
          <w:lang w:val="en-US"/>
        </w:rPr>
        <w:t xml:space="preserve">from </w:t>
      </w:r>
      <w:r w:rsidR="000936A1">
        <w:rPr>
          <w:lang w:val="en-US"/>
        </w:rPr>
        <w:t xml:space="preserve">the entire European institutional investor universe. </w:t>
      </w:r>
      <w:r>
        <w:rPr>
          <w:lang w:val="en-US"/>
        </w:rPr>
        <w:t>This leads us to</w:t>
      </w:r>
      <w:r w:rsidR="00DB07ED" w:rsidRPr="00DC68DD">
        <w:rPr>
          <w:lang w:val="en-US"/>
        </w:rPr>
        <w:t xml:space="preserve"> </w:t>
      </w:r>
      <w:r w:rsidR="004700AD" w:rsidRPr="00DC68DD">
        <w:rPr>
          <w:lang w:val="en-US"/>
        </w:rPr>
        <w:t>exclude</w:t>
      </w:r>
      <w:r w:rsidR="00DB07ED" w:rsidRPr="00DC68DD">
        <w:rPr>
          <w:lang w:val="en-US"/>
        </w:rPr>
        <w:t xml:space="preserve"> tranches that are domestically placed, privately placed, single bookrunner-led, retail-targeted, smaller than EUR 200m, fungible</w:t>
      </w:r>
      <w:r w:rsidR="00DB07ED" w:rsidRPr="00DC68DD">
        <w:rPr>
          <w:rStyle w:val="FootnoteReference"/>
          <w:lang w:val="en-US"/>
        </w:rPr>
        <w:footnoteReference w:id="10"/>
      </w:r>
      <w:r w:rsidR="00DB07ED" w:rsidRPr="00DC68DD">
        <w:rPr>
          <w:lang w:val="en-US"/>
        </w:rPr>
        <w:t>, and with a maturity of less than 1 year.</w:t>
      </w:r>
      <w:r w:rsidR="00DB07ED" w:rsidRPr="00DC68DD">
        <w:rPr>
          <w:rStyle w:val="FootnoteReference"/>
          <w:lang w:val="en-US"/>
        </w:rPr>
        <w:t xml:space="preserve"> </w:t>
      </w:r>
      <w:r w:rsidR="00717116">
        <w:rPr>
          <w:lang w:val="en-US"/>
        </w:rPr>
        <w:t>After s</w:t>
      </w:r>
      <w:r>
        <w:rPr>
          <w:lang w:val="en-US"/>
        </w:rPr>
        <w:t xml:space="preserve">peaking to practitioners, </w:t>
      </w:r>
      <w:r w:rsidR="00717116">
        <w:rPr>
          <w:lang w:val="en-US"/>
        </w:rPr>
        <w:t xml:space="preserve">we ascertained </w:t>
      </w:r>
      <w:r>
        <w:rPr>
          <w:lang w:val="en-US"/>
        </w:rPr>
        <w:t xml:space="preserve">such tranches require limited placement work, being placed with </w:t>
      </w:r>
      <w:r w:rsidRPr="00DC68DD">
        <w:rPr>
          <w:lang w:val="en-US"/>
        </w:rPr>
        <w:t>a small subset of European investors</w:t>
      </w:r>
      <w:r>
        <w:rPr>
          <w:lang w:val="en-US"/>
        </w:rPr>
        <w:t xml:space="preserve">. The corporates issuing them are also expected to show </w:t>
      </w:r>
      <w:r w:rsidR="00DB07ED" w:rsidRPr="00DC68DD">
        <w:rPr>
          <w:lang w:val="en-US"/>
        </w:rPr>
        <w:t xml:space="preserve">lower credit spread sensitivity </w:t>
      </w:r>
      <w:r w:rsidR="00AA0172" w:rsidRPr="00DC68DD">
        <w:rPr>
          <w:lang w:val="en-US"/>
        </w:rPr>
        <w:t xml:space="preserve">for </w:t>
      </w:r>
      <w:r w:rsidR="00DB07ED" w:rsidRPr="00DC68DD">
        <w:rPr>
          <w:lang w:val="en-US"/>
        </w:rPr>
        <w:t xml:space="preserve">issuers </w:t>
      </w:r>
      <w:r>
        <w:rPr>
          <w:lang w:val="en-US"/>
        </w:rPr>
        <w:t xml:space="preserve">due to the reduced transaction costs associated with these offerings </w:t>
      </w:r>
      <w:r w:rsidR="00DB07ED" w:rsidRPr="00DC68DD">
        <w:rPr>
          <w:lang w:val="en-US"/>
        </w:rPr>
        <w:t xml:space="preserve">(Blackwell and Kidwell, 1988). </w:t>
      </w:r>
      <w:r w:rsidR="00C27382" w:rsidRPr="00DC68DD">
        <w:rPr>
          <w:lang w:val="en-US"/>
        </w:rPr>
        <w:t xml:space="preserve">Finally, we retain only tranches </w:t>
      </w:r>
      <w:r w:rsidR="00151542" w:rsidRPr="007C25BB">
        <w:rPr>
          <w:lang w:val="en-US"/>
        </w:rPr>
        <w:t>for which we have issuer-level information</w:t>
      </w:r>
      <w:r w:rsidR="00C27382" w:rsidRPr="007C25BB">
        <w:rPr>
          <w:lang w:val="en-US"/>
        </w:rPr>
        <w:t xml:space="preserve">. </w:t>
      </w:r>
      <w:r w:rsidR="00DB07ED" w:rsidRPr="007C25BB">
        <w:rPr>
          <w:lang w:val="en-US"/>
        </w:rPr>
        <w:t xml:space="preserve">These </w:t>
      </w:r>
      <w:r w:rsidR="00766146" w:rsidRPr="007C25BB">
        <w:rPr>
          <w:lang w:val="en-US"/>
        </w:rPr>
        <w:t xml:space="preserve">adjustments </w:t>
      </w:r>
      <w:r w:rsidR="00DB07ED" w:rsidRPr="007C25BB">
        <w:rPr>
          <w:lang w:val="en-US"/>
        </w:rPr>
        <w:t xml:space="preserve">produce a sample of </w:t>
      </w:r>
      <w:r w:rsidR="00151542" w:rsidRPr="007C25BB">
        <w:rPr>
          <w:lang w:val="en-US"/>
        </w:rPr>
        <w:t>2,409</w:t>
      </w:r>
      <w:r w:rsidR="00DB07ED" w:rsidRPr="007C25BB">
        <w:rPr>
          <w:lang w:val="en-US"/>
        </w:rPr>
        <w:t xml:space="preserve"> bond tranches </w:t>
      </w:r>
      <w:r w:rsidR="00282542" w:rsidRPr="007C25BB">
        <w:rPr>
          <w:lang w:val="en-US"/>
        </w:rPr>
        <w:t xml:space="preserve">issued by </w:t>
      </w:r>
      <w:r w:rsidR="00151542" w:rsidRPr="007C25BB">
        <w:rPr>
          <w:lang w:val="en-US"/>
        </w:rPr>
        <w:t>356</w:t>
      </w:r>
      <w:r w:rsidR="00282542" w:rsidRPr="007C25BB">
        <w:rPr>
          <w:lang w:val="en-US"/>
        </w:rPr>
        <w:t xml:space="preserve"> firms. </w:t>
      </w:r>
      <w:r w:rsidR="00282542" w:rsidRPr="007C25BB" w:rsidDel="00E41773">
        <w:rPr>
          <w:lang w:val="en-US"/>
        </w:rPr>
        <w:t>W</w:t>
      </w:r>
      <w:r w:rsidR="00DB07ED" w:rsidRPr="007C25BB" w:rsidDel="00E41773">
        <w:rPr>
          <w:lang w:val="en-US"/>
        </w:rPr>
        <w:t>e report summary statistics for these tranches in Table 2.</w:t>
      </w:r>
    </w:p>
    <w:p w14:paraId="6A627BD2" w14:textId="3249E89B" w:rsidR="00DB07ED" w:rsidRPr="00151542" w:rsidRDefault="00DB07ED">
      <w:pPr>
        <w:spacing w:line="480" w:lineRule="auto"/>
        <w:jc w:val="center"/>
        <w:rPr>
          <w:b/>
          <w:bCs/>
          <w:lang w:val="en-US"/>
        </w:rPr>
      </w:pPr>
      <w:r w:rsidRPr="00151542" w:rsidDel="00E41773">
        <w:rPr>
          <w:b/>
          <w:bCs/>
          <w:lang w:val="en-US"/>
        </w:rPr>
        <w:t>[Insert Table 2 about here]</w:t>
      </w:r>
    </w:p>
    <w:p w14:paraId="146FA780" w14:textId="77777777" w:rsidR="00526442" w:rsidRPr="00DC68DD" w:rsidRDefault="0080081A" w:rsidP="001D2FC9">
      <w:pPr>
        <w:pStyle w:val="Heading2"/>
        <w:rPr>
          <w:lang w:val="en-US"/>
        </w:rPr>
      </w:pPr>
      <w:r>
        <w:rPr>
          <w:lang w:val="en-US"/>
        </w:rPr>
        <w:t>3</w:t>
      </w:r>
      <w:r w:rsidR="001131AD" w:rsidRPr="00DC68DD">
        <w:rPr>
          <w:lang w:val="en-US"/>
        </w:rPr>
        <w:t xml:space="preserve">.2. </w:t>
      </w:r>
      <w:r w:rsidR="004E024E" w:rsidRPr="00DC68DD">
        <w:rPr>
          <w:lang w:val="en-US"/>
        </w:rPr>
        <w:t>At-issue credit spread as a</w:t>
      </w:r>
      <w:r w:rsidR="00EE0F4E" w:rsidRPr="00DC68DD">
        <w:rPr>
          <w:lang w:val="en-US"/>
        </w:rPr>
        <w:t xml:space="preserve"> m</w:t>
      </w:r>
      <w:r w:rsidR="004E024E" w:rsidRPr="00DC68DD">
        <w:rPr>
          <w:lang w:val="en-US"/>
        </w:rPr>
        <w:t>easure of</w:t>
      </w:r>
      <w:r w:rsidR="00526442" w:rsidRPr="00DC68DD">
        <w:rPr>
          <w:lang w:val="en-US"/>
        </w:rPr>
        <w:t xml:space="preserve"> the quality of bookrunner services</w:t>
      </w:r>
    </w:p>
    <w:p w14:paraId="1A79A076" w14:textId="175B5EDA" w:rsidR="00FB73C6" w:rsidRPr="00DC68DD" w:rsidRDefault="005B2CF4">
      <w:pPr>
        <w:pStyle w:val="ListParagraph"/>
        <w:spacing w:line="480" w:lineRule="auto"/>
        <w:ind w:left="0"/>
        <w:jc w:val="both"/>
        <w:rPr>
          <w:lang w:val="en-US"/>
        </w:rPr>
      </w:pPr>
      <w:r>
        <w:rPr>
          <w:lang w:val="en-US"/>
        </w:rPr>
        <w:t xml:space="preserve">Following </w:t>
      </w:r>
      <w:r w:rsidR="00F35C1D">
        <w:rPr>
          <w:lang w:val="en-US"/>
        </w:rPr>
        <w:t xml:space="preserve">Butler </w:t>
      </w:r>
      <w:r>
        <w:rPr>
          <w:lang w:val="en-US"/>
        </w:rPr>
        <w:t>(2008) and Lau and Yu</w:t>
      </w:r>
      <w:r w:rsidR="00F35C1D">
        <w:rPr>
          <w:lang w:val="en-US"/>
        </w:rPr>
        <w:t xml:space="preserve"> </w:t>
      </w:r>
      <w:r>
        <w:rPr>
          <w:lang w:val="en-US"/>
        </w:rPr>
        <w:t>(</w:t>
      </w:r>
      <w:r w:rsidR="00F35C1D">
        <w:rPr>
          <w:lang w:val="en-US"/>
        </w:rPr>
        <w:t>2010) w</w:t>
      </w:r>
      <w:r w:rsidR="00526442" w:rsidRPr="00DC68DD">
        <w:rPr>
          <w:lang w:val="en-US"/>
        </w:rPr>
        <w:t xml:space="preserve">e measure the quality of bookrunner service </w:t>
      </w:r>
      <w:r w:rsidR="00115A5C">
        <w:rPr>
          <w:lang w:val="en-US"/>
        </w:rPr>
        <w:t>using</w:t>
      </w:r>
      <w:r w:rsidR="00526442" w:rsidRPr="00DC68DD">
        <w:rPr>
          <w:lang w:val="en-US"/>
        </w:rPr>
        <w:t xml:space="preserve"> the at-issue credit spread on bond tranches relative to the benchmark mid</w:t>
      </w:r>
      <w:r w:rsidR="00940F07">
        <w:rPr>
          <w:lang w:val="en-US"/>
        </w:rPr>
        <w:t>-</w:t>
      </w:r>
      <w:r w:rsidR="00526442" w:rsidRPr="00DC68DD">
        <w:rPr>
          <w:lang w:val="en-US"/>
        </w:rPr>
        <w:t>swap rate, which is an inverse measure of the price obtained</w:t>
      </w:r>
      <w:r w:rsidR="00927795" w:rsidRPr="00DC68DD">
        <w:rPr>
          <w:lang w:val="en-US"/>
        </w:rPr>
        <w:t>.</w:t>
      </w:r>
      <w:r w:rsidR="004B008A">
        <w:rPr>
          <w:lang w:val="en-US"/>
        </w:rPr>
        <w:t xml:space="preserve"> </w:t>
      </w:r>
      <w:r w:rsidR="00927795" w:rsidRPr="00DC68DD">
        <w:rPr>
          <w:lang w:val="en-US"/>
        </w:rPr>
        <w:t xml:space="preserve">The euro mid-swap rate is </w:t>
      </w:r>
      <w:r w:rsidR="00EA0D90">
        <w:rPr>
          <w:lang w:val="en-US"/>
        </w:rPr>
        <w:t>the fixed</w:t>
      </w:r>
      <w:r w:rsidR="008644A9">
        <w:rPr>
          <w:lang w:val="en-US"/>
        </w:rPr>
        <w:t>-</w:t>
      </w:r>
      <w:r w:rsidR="00EA0D90">
        <w:rPr>
          <w:lang w:val="en-US"/>
        </w:rPr>
        <w:t>rate leg of an interest rate swap where the floating rate leg corresponds to</w:t>
      </w:r>
      <w:r w:rsidR="00927795" w:rsidRPr="00DC68DD">
        <w:rPr>
          <w:lang w:val="en-US"/>
        </w:rPr>
        <w:t xml:space="preserve"> </w:t>
      </w:r>
      <w:r w:rsidR="00EA0D90">
        <w:rPr>
          <w:lang w:val="en-US"/>
        </w:rPr>
        <w:t xml:space="preserve">the prevailing </w:t>
      </w:r>
      <w:r w:rsidR="00927795" w:rsidRPr="00DC68DD">
        <w:rPr>
          <w:lang w:val="en-US"/>
        </w:rPr>
        <w:t>6</w:t>
      </w:r>
      <w:r w:rsidR="00A021E4">
        <w:rPr>
          <w:lang w:val="en-US"/>
        </w:rPr>
        <w:t>-</w:t>
      </w:r>
      <w:r w:rsidR="00927795" w:rsidRPr="00DC68DD">
        <w:rPr>
          <w:lang w:val="en-US"/>
        </w:rPr>
        <w:t>month Euribor</w:t>
      </w:r>
      <w:r w:rsidR="00EA0D90">
        <w:rPr>
          <w:lang w:val="en-US"/>
        </w:rPr>
        <w:t xml:space="preserve">. It is the dominant metric for pricing euro-denominated bond offerings </w:t>
      </w:r>
      <w:r w:rsidR="00D83826">
        <w:rPr>
          <w:lang w:val="en-US"/>
        </w:rPr>
        <w:t>given the absence of a single government bond rate</w:t>
      </w:r>
      <w:r w:rsidR="00EA0D90">
        <w:rPr>
          <w:lang w:val="en-US"/>
        </w:rPr>
        <w:t xml:space="preserve"> for the Eurozone</w:t>
      </w:r>
      <w:r w:rsidR="000156D1">
        <w:rPr>
          <w:lang w:val="en-US"/>
        </w:rPr>
        <w:t>.</w:t>
      </w:r>
      <w:r w:rsidR="00A021E4" w:rsidRPr="00DC68DD">
        <w:rPr>
          <w:rStyle w:val="FootnoteReference"/>
          <w:lang w:val="en-US"/>
        </w:rPr>
        <w:footnoteReference w:id="11"/>
      </w:r>
      <w:r w:rsidR="00A021E4">
        <w:rPr>
          <w:vertAlign w:val="superscript"/>
        </w:rPr>
        <w:t>,</w:t>
      </w:r>
      <w:r w:rsidR="007E7741" w:rsidRPr="00DC68DD">
        <w:rPr>
          <w:rStyle w:val="FootnoteReference"/>
          <w:lang w:val="en-US"/>
        </w:rPr>
        <w:footnoteReference w:id="12"/>
      </w:r>
    </w:p>
    <w:p w14:paraId="05D2BB80" w14:textId="11C4F6EA" w:rsidR="00F35C1D" w:rsidRPr="00F35C1D" w:rsidRDefault="00F35C1D">
      <w:pPr>
        <w:pStyle w:val="ListParagraph"/>
        <w:spacing w:line="480" w:lineRule="auto"/>
        <w:ind w:left="0" w:firstLine="709"/>
        <w:jc w:val="both"/>
        <w:rPr>
          <w:lang w:val="en-US"/>
        </w:rPr>
      </w:pPr>
      <w:r>
        <w:rPr>
          <w:lang w:val="en-US"/>
        </w:rPr>
        <w:lastRenderedPageBreak/>
        <w:t xml:space="preserve">We note that various papers of financial intermediary quality have also utilized bookrunner fees as a measure of </w:t>
      </w:r>
      <w:r w:rsidR="008644A9">
        <w:rPr>
          <w:lang w:val="en-US"/>
        </w:rPr>
        <w:t xml:space="preserve">the </w:t>
      </w:r>
      <w:r>
        <w:rPr>
          <w:lang w:val="en-US"/>
        </w:rPr>
        <w:t>quality of service, assessing whether higher</w:t>
      </w:r>
      <w:r w:rsidR="008644A9">
        <w:rPr>
          <w:lang w:val="en-US"/>
        </w:rPr>
        <w:t>-</w:t>
      </w:r>
      <w:r>
        <w:rPr>
          <w:lang w:val="en-US"/>
        </w:rPr>
        <w:t>performing intermediaries charge a premium fee for their services (Golubov</w:t>
      </w:r>
      <w:r w:rsidR="00D43E1C">
        <w:rPr>
          <w:lang w:val="en-US"/>
        </w:rPr>
        <w:t xml:space="preserve"> et al.</w:t>
      </w:r>
      <w:r>
        <w:rPr>
          <w:lang w:val="en-US"/>
        </w:rPr>
        <w:t>, 2012) or have lower costs for performing their role, which can</w:t>
      </w:r>
      <w:r w:rsidR="0030353C">
        <w:rPr>
          <w:lang w:val="en-US"/>
        </w:rPr>
        <w:t xml:space="preserve"> translate into lower fees (</w:t>
      </w:r>
      <w:r>
        <w:rPr>
          <w:lang w:val="en-US"/>
        </w:rPr>
        <w:t xml:space="preserve">Lau and Yu, 2010). </w:t>
      </w:r>
      <w:r w:rsidR="00BF3F39">
        <w:rPr>
          <w:lang w:val="en-US"/>
        </w:rPr>
        <w:t xml:space="preserve">As </w:t>
      </w:r>
      <w:r>
        <w:rPr>
          <w:lang w:val="en-US"/>
        </w:rPr>
        <w:t xml:space="preserve">neither issuers nor bookrunners are required to report </w:t>
      </w:r>
      <w:r w:rsidR="00BF3F39">
        <w:rPr>
          <w:lang w:val="en-US"/>
        </w:rPr>
        <w:t xml:space="preserve">fee </w:t>
      </w:r>
      <w:r>
        <w:rPr>
          <w:lang w:val="en-US"/>
        </w:rPr>
        <w:t>information</w:t>
      </w:r>
      <w:r w:rsidR="00BF3F39">
        <w:rPr>
          <w:lang w:val="en-US"/>
        </w:rPr>
        <w:t xml:space="preserve">, </w:t>
      </w:r>
      <w:r w:rsidR="001D35A9">
        <w:rPr>
          <w:lang w:val="en-US"/>
        </w:rPr>
        <w:t>only a</w:t>
      </w:r>
      <w:r w:rsidR="00BF3F39">
        <w:rPr>
          <w:lang w:val="en-US"/>
        </w:rPr>
        <w:t xml:space="preserve"> handful of our bond tranches disclose them</w:t>
      </w:r>
      <w:r>
        <w:rPr>
          <w:lang w:val="en-US"/>
        </w:rPr>
        <w:t xml:space="preserve">. In addition, fee information is likely to be </w:t>
      </w:r>
      <w:r w:rsidR="00BF3F39">
        <w:rPr>
          <w:lang w:val="en-US"/>
        </w:rPr>
        <w:t xml:space="preserve">less informative </w:t>
      </w:r>
      <w:r>
        <w:rPr>
          <w:lang w:val="en-US"/>
        </w:rPr>
        <w:t>for our sample tranches</w:t>
      </w:r>
      <w:r w:rsidR="00BF3F39">
        <w:rPr>
          <w:lang w:val="en-US"/>
        </w:rPr>
        <w:t xml:space="preserve">. </w:t>
      </w:r>
      <w:r w:rsidR="00BF3F39" w:rsidRPr="00BF3F39">
        <w:rPr>
          <w:lang w:val="en-US"/>
        </w:rPr>
        <w:t xml:space="preserve">The empirical evidence shows that there are no statistically significant changes in the underwriting fees when employing non-domestic underwriters/bookrunners (Lopez and Spiegel, 2014). </w:t>
      </w:r>
      <w:bookmarkStart w:id="5" w:name="_Hlk74262374"/>
      <w:r w:rsidR="00BF3F39">
        <w:rPr>
          <w:lang w:val="en-US"/>
        </w:rPr>
        <w:t>Moreover,</w:t>
      </w:r>
      <w:r>
        <w:rPr>
          <w:lang w:val="en-US"/>
        </w:rPr>
        <w:t xml:space="preserve"> bond market </w:t>
      </w:r>
      <w:r>
        <w:t>fees are typically negotiated in advance and are more closely linked to borrower and tranche parameters</w:t>
      </w:r>
      <w:r w:rsidR="00944EE2">
        <w:t>,</w:t>
      </w:r>
      <w:r>
        <w:t xml:space="preserve"> such as credit quality and tenor (</w:t>
      </w:r>
      <w:r w:rsidR="00BF3F39" w:rsidRPr="00BF3F39">
        <w:rPr>
          <w:lang w:val="en-US"/>
        </w:rPr>
        <w:t>Lopez and Spiegel, 2014</w:t>
      </w:r>
      <w:r w:rsidR="00BF3F39">
        <w:rPr>
          <w:lang w:val="en-US"/>
        </w:rPr>
        <w:t>, Gu et al., 2019</w:t>
      </w:r>
      <w:r>
        <w:t>).</w:t>
      </w:r>
      <w:bookmarkEnd w:id="5"/>
    </w:p>
    <w:p w14:paraId="6C625ABC" w14:textId="3BD723A2" w:rsidR="00FB73C6" w:rsidRPr="00DC68DD" w:rsidRDefault="00D860E6" w:rsidP="004F4BBC">
      <w:pPr>
        <w:pStyle w:val="ListParagraph"/>
        <w:spacing w:line="480" w:lineRule="auto"/>
        <w:ind w:left="0" w:firstLine="709"/>
        <w:jc w:val="both"/>
        <w:rPr>
          <w:lang w:val="en-US"/>
        </w:rPr>
      </w:pPr>
      <w:r>
        <w:rPr>
          <w:lang w:val="en-US"/>
        </w:rPr>
        <w:t>W</w:t>
      </w:r>
      <w:r w:rsidR="00FB73C6" w:rsidRPr="00DC68DD">
        <w:rPr>
          <w:lang w:val="en-US"/>
        </w:rPr>
        <w:t xml:space="preserve">e collect </w:t>
      </w:r>
      <w:r>
        <w:rPr>
          <w:lang w:val="en-US"/>
        </w:rPr>
        <w:t xml:space="preserve">data on </w:t>
      </w:r>
      <w:r w:rsidR="00FB73C6" w:rsidRPr="00DC68DD">
        <w:rPr>
          <w:lang w:val="en-US"/>
        </w:rPr>
        <w:t xml:space="preserve">the at-issue credit spread from Dealogic, which records the pricing details from the </w:t>
      </w:r>
      <w:r w:rsidR="00F35C1D">
        <w:rPr>
          <w:lang w:val="en-US"/>
        </w:rPr>
        <w:t>tranche</w:t>
      </w:r>
      <w:r w:rsidR="005A17B4">
        <w:rPr>
          <w:lang w:val="en-US"/>
        </w:rPr>
        <w:t xml:space="preserve"> prospectus</w:t>
      </w:r>
      <w:r w:rsidR="00FB73C6" w:rsidRPr="00DC68DD">
        <w:rPr>
          <w:lang w:val="en-US"/>
        </w:rPr>
        <w:t>. For fixed</w:t>
      </w:r>
      <w:r w:rsidR="008644A9">
        <w:rPr>
          <w:lang w:val="en-US"/>
        </w:rPr>
        <w:t>-</w:t>
      </w:r>
      <w:r w:rsidR="00FB73C6" w:rsidRPr="00DC68DD">
        <w:rPr>
          <w:lang w:val="en-US"/>
        </w:rPr>
        <w:t xml:space="preserve">rate tranches where Dealogic did not record an at-issue </w:t>
      </w:r>
      <w:r w:rsidR="004B008A" w:rsidRPr="00DC68DD">
        <w:rPr>
          <w:lang w:val="en-US"/>
        </w:rPr>
        <w:t>spread,</w:t>
      </w:r>
      <w:r w:rsidR="00FB73C6" w:rsidRPr="00DC68DD">
        <w:rPr>
          <w:lang w:val="en-US"/>
        </w:rPr>
        <w:t xml:space="preserve"> we calculate this manually </w:t>
      </w:r>
      <w:r w:rsidR="000156D1">
        <w:rPr>
          <w:lang w:val="en-US"/>
        </w:rPr>
        <w:t>using</w:t>
      </w:r>
      <w:r w:rsidR="00FB73C6" w:rsidRPr="00DC68DD">
        <w:rPr>
          <w:lang w:val="en-US"/>
        </w:rPr>
        <w:t xml:space="preserve"> the at-issue yield to maturity from the bond prospectus and deducting the benchmark mid</w:t>
      </w:r>
      <w:r w:rsidR="00940F07">
        <w:rPr>
          <w:lang w:val="en-US"/>
        </w:rPr>
        <w:t>-</w:t>
      </w:r>
      <w:r w:rsidR="00FB73C6" w:rsidRPr="00DC68DD">
        <w:rPr>
          <w:lang w:val="en-US"/>
        </w:rPr>
        <w:t xml:space="preserve">swap rate </w:t>
      </w:r>
      <w:r w:rsidR="00486CEB">
        <w:rPr>
          <w:lang w:val="en-US"/>
        </w:rPr>
        <w:t>at the</w:t>
      </w:r>
      <w:r w:rsidR="00FB73C6" w:rsidRPr="00DC68DD">
        <w:rPr>
          <w:lang w:val="en-US"/>
        </w:rPr>
        <w:t xml:space="preserve"> date of issuance. The spread over mid</w:t>
      </w:r>
      <w:r w:rsidR="00940F07">
        <w:rPr>
          <w:lang w:val="en-US"/>
        </w:rPr>
        <w:t>-</w:t>
      </w:r>
      <w:r w:rsidR="00FB73C6" w:rsidRPr="00DC68DD">
        <w:rPr>
          <w:lang w:val="en-US"/>
        </w:rPr>
        <w:t>swap is not available for the 101 floating rate tranches in our sample</w:t>
      </w:r>
      <w:r w:rsidR="005A17B4">
        <w:rPr>
          <w:lang w:val="en-US"/>
        </w:rPr>
        <w:t xml:space="preserve">, being priced as a credit spread </w:t>
      </w:r>
      <w:r w:rsidR="00FB73C6" w:rsidRPr="00DC68DD">
        <w:rPr>
          <w:lang w:val="en-US"/>
        </w:rPr>
        <w:t>over 3 month</w:t>
      </w:r>
      <w:r w:rsidR="008644A9">
        <w:rPr>
          <w:lang w:val="en-US"/>
        </w:rPr>
        <w:t>s</w:t>
      </w:r>
      <w:r w:rsidR="00FB73C6" w:rsidRPr="00DC68DD">
        <w:rPr>
          <w:lang w:val="en-US"/>
        </w:rPr>
        <w:t xml:space="preserve"> Euribor. </w:t>
      </w:r>
      <w:r w:rsidR="002F0FC8" w:rsidRPr="00DC68DD">
        <w:rPr>
          <w:lang w:val="en-US"/>
        </w:rPr>
        <w:t xml:space="preserve">For these </w:t>
      </w:r>
      <w:r w:rsidR="00D55FF5" w:rsidRPr="00DC68DD">
        <w:rPr>
          <w:lang w:val="en-US"/>
        </w:rPr>
        <w:t>tranches</w:t>
      </w:r>
      <w:r w:rsidR="002F0FC8" w:rsidRPr="00DC68DD">
        <w:rPr>
          <w:lang w:val="en-US"/>
        </w:rPr>
        <w:t xml:space="preserve"> w</w:t>
      </w:r>
      <w:r w:rsidR="00FB73C6" w:rsidRPr="00DC68DD">
        <w:rPr>
          <w:lang w:val="en-US"/>
        </w:rPr>
        <w:t>e approximate the spread over mid</w:t>
      </w:r>
      <w:r w:rsidR="00940F07">
        <w:rPr>
          <w:lang w:val="en-US"/>
        </w:rPr>
        <w:t>-</w:t>
      </w:r>
      <w:r w:rsidR="00FB73C6" w:rsidRPr="00DC68DD">
        <w:rPr>
          <w:lang w:val="en-US"/>
        </w:rPr>
        <w:t>swap</w:t>
      </w:r>
      <w:r w:rsidR="00205C68">
        <w:rPr>
          <w:lang w:val="en-US"/>
        </w:rPr>
        <w:t>s</w:t>
      </w:r>
      <w:r w:rsidR="00FB73C6" w:rsidRPr="00DC68DD">
        <w:rPr>
          <w:lang w:val="en-US"/>
        </w:rPr>
        <w:t xml:space="preserve"> </w:t>
      </w:r>
      <w:r w:rsidR="002F0FC8" w:rsidRPr="00DC68DD">
        <w:rPr>
          <w:lang w:val="en-US"/>
        </w:rPr>
        <w:t>by</w:t>
      </w:r>
      <w:r w:rsidR="00FB73C6" w:rsidRPr="00DC68DD">
        <w:rPr>
          <w:lang w:val="en-US"/>
        </w:rPr>
        <w:t xml:space="preserve"> </w:t>
      </w:r>
      <w:r w:rsidR="005A17B4">
        <w:rPr>
          <w:lang w:val="en-US"/>
        </w:rPr>
        <w:t xml:space="preserve">using the 6m Euribor vs 3m Euribor basis spread, being the cost of entering into an interest rate swap where one party pays 6m Euribor and the other party pays 3m Euribor. As historic data on this </w:t>
      </w:r>
      <w:r w:rsidR="00FB73C6" w:rsidRPr="00DC68DD">
        <w:rPr>
          <w:lang w:val="en-US"/>
        </w:rPr>
        <w:t xml:space="preserve">swap </w:t>
      </w:r>
      <w:r w:rsidR="00D83826">
        <w:rPr>
          <w:lang w:val="en-US"/>
        </w:rPr>
        <w:t xml:space="preserve">contract </w:t>
      </w:r>
      <w:r w:rsidR="00FB73C6" w:rsidRPr="00DC68DD">
        <w:rPr>
          <w:lang w:val="en-US"/>
        </w:rPr>
        <w:t xml:space="preserve">is available from January </w:t>
      </w:r>
      <w:r w:rsidR="004B008A" w:rsidRPr="00DC68DD">
        <w:rPr>
          <w:lang w:val="en-US"/>
        </w:rPr>
        <w:t>2004</w:t>
      </w:r>
      <w:r w:rsidR="005A17B4">
        <w:rPr>
          <w:lang w:val="en-US"/>
        </w:rPr>
        <w:t xml:space="preserve">, we </w:t>
      </w:r>
      <w:r w:rsidR="00FB73C6" w:rsidRPr="00DC68DD">
        <w:rPr>
          <w:lang w:val="en-US"/>
        </w:rPr>
        <w:t>can apply this calculation to 7</w:t>
      </w:r>
      <w:r w:rsidR="00486CEB">
        <w:rPr>
          <w:lang w:val="en-US"/>
        </w:rPr>
        <w:t>0</w:t>
      </w:r>
      <w:r w:rsidR="00FB73C6" w:rsidRPr="00DC68DD">
        <w:rPr>
          <w:lang w:val="en-US"/>
        </w:rPr>
        <w:t xml:space="preserve"> out of the 101 floating rate tranches.</w:t>
      </w:r>
      <w:r w:rsidR="000156D1">
        <w:rPr>
          <w:rStyle w:val="FootnoteReference"/>
          <w:lang w:val="en-US"/>
        </w:rPr>
        <w:footnoteReference w:id="13"/>
      </w:r>
      <w:r w:rsidR="00FB73C6" w:rsidRPr="00DC68DD">
        <w:rPr>
          <w:lang w:val="en-US"/>
        </w:rPr>
        <w:t xml:space="preserve"> </w:t>
      </w:r>
    </w:p>
    <w:p w14:paraId="143FC135" w14:textId="7CF99C81" w:rsidR="00FB73C6" w:rsidRDefault="009D2C20" w:rsidP="00FB73C6">
      <w:pPr>
        <w:pStyle w:val="ListParagraph"/>
        <w:spacing w:line="480" w:lineRule="auto"/>
        <w:ind w:left="0" w:firstLine="709"/>
        <w:jc w:val="both"/>
        <w:rPr>
          <w:lang w:val="en-US"/>
        </w:rPr>
      </w:pPr>
      <w:r w:rsidRPr="007C25BB">
        <w:rPr>
          <w:lang w:val="en-US"/>
        </w:rPr>
        <w:t xml:space="preserve">Following this </w:t>
      </w:r>
      <w:r w:rsidR="007B693D" w:rsidRPr="007C25BB">
        <w:rPr>
          <w:lang w:val="en-US"/>
        </w:rPr>
        <w:t>process,</w:t>
      </w:r>
      <w:r w:rsidRPr="007C25BB">
        <w:rPr>
          <w:lang w:val="en-US"/>
        </w:rPr>
        <w:t xml:space="preserve"> we have</w:t>
      </w:r>
      <w:r w:rsidR="005A17B4" w:rsidRPr="007C25BB">
        <w:rPr>
          <w:lang w:val="en-US"/>
        </w:rPr>
        <w:t xml:space="preserve"> </w:t>
      </w:r>
      <w:r w:rsidR="004B008A" w:rsidRPr="007C25BB">
        <w:rPr>
          <w:lang w:val="en-US"/>
        </w:rPr>
        <w:t xml:space="preserve">at-issue credit spread </w:t>
      </w:r>
      <w:r w:rsidR="005A17B4" w:rsidRPr="007C25BB">
        <w:rPr>
          <w:lang w:val="en-US"/>
        </w:rPr>
        <w:t xml:space="preserve">details </w:t>
      </w:r>
      <w:r w:rsidR="004B008A" w:rsidRPr="007C25BB">
        <w:rPr>
          <w:lang w:val="en-US"/>
        </w:rPr>
        <w:t xml:space="preserve">for </w:t>
      </w:r>
      <w:r w:rsidR="007B693D" w:rsidRPr="007C25BB">
        <w:rPr>
          <w:lang w:val="en-US"/>
        </w:rPr>
        <w:t>2,409</w:t>
      </w:r>
      <w:r w:rsidR="004B008A" w:rsidRPr="007C25BB">
        <w:rPr>
          <w:lang w:val="en-US"/>
        </w:rPr>
        <w:t xml:space="preserve"> tranches. </w:t>
      </w:r>
      <w:r w:rsidR="002B1B6C" w:rsidRPr="007C25BB">
        <w:rPr>
          <w:lang w:val="en-US"/>
        </w:rPr>
        <w:t>T</w:t>
      </w:r>
      <w:r w:rsidR="00FB73C6" w:rsidRPr="007C25BB">
        <w:rPr>
          <w:lang w:val="en-US"/>
        </w:rPr>
        <w:t>he mean (median) spread is 1.</w:t>
      </w:r>
      <w:r w:rsidR="00806B4C" w:rsidRPr="007C25BB">
        <w:rPr>
          <w:lang w:val="en-US"/>
        </w:rPr>
        <w:t>1</w:t>
      </w:r>
      <w:r w:rsidR="007B693D" w:rsidRPr="007C25BB">
        <w:rPr>
          <w:lang w:val="en-US"/>
        </w:rPr>
        <w:t>51</w:t>
      </w:r>
      <w:r w:rsidR="00FB73C6" w:rsidRPr="007C25BB">
        <w:rPr>
          <w:lang w:val="en-US"/>
        </w:rPr>
        <w:t>% (0.</w:t>
      </w:r>
      <w:r w:rsidR="007B693D" w:rsidRPr="007C25BB">
        <w:rPr>
          <w:lang w:val="en-US"/>
        </w:rPr>
        <w:t>850</w:t>
      </w:r>
      <w:r w:rsidR="00FB73C6" w:rsidRPr="007C25BB">
        <w:rPr>
          <w:lang w:val="en-US"/>
        </w:rPr>
        <w:t>%)</w:t>
      </w:r>
      <w:r w:rsidR="002B1B6C" w:rsidRPr="007C25BB">
        <w:rPr>
          <w:lang w:val="en-US"/>
        </w:rPr>
        <w:t xml:space="preserve">. </w:t>
      </w:r>
      <w:r w:rsidR="00FB73C6" w:rsidRPr="00DC68DD">
        <w:rPr>
          <w:lang w:val="en-US"/>
        </w:rPr>
        <w:t xml:space="preserve">Despite our sample period covering the global </w:t>
      </w:r>
      <w:r w:rsidR="00FB73C6" w:rsidRPr="00DC68DD">
        <w:rPr>
          <w:lang w:val="en-US"/>
        </w:rPr>
        <w:lastRenderedPageBreak/>
        <w:t>financial crisis</w:t>
      </w:r>
      <w:r w:rsidR="007B693D">
        <w:rPr>
          <w:lang w:val="en-US"/>
        </w:rPr>
        <w:t xml:space="preserve"> and </w:t>
      </w:r>
      <w:r w:rsidR="001D35A9">
        <w:rPr>
          <w:lang w:val="en-US"/>
        </w:rPr>
        <w:t>the eurozone crisis</w:t>
      </w:r>
      <w:r w:rsidR="00FB73C6" w:rsidRPr="00DC68DD">
        <w:rPr>
          <w:lang w:val="en-US"/>
        </w:rPr>
        <w:t>, the mean figure is comparable to the 1.35</w:t>
      </w:r>
      <w:r w:rsidR="009809F3" w:rsidRPr="00DC68DD">
        <w:rPr>
          <w:lang w:val="en-US"/>
        </w:rPr>
        <w:t>0</w:t>
      </w:r>
      <w:r w:rsidR="00FB73C6" w:rsidRPr="00DC68DD">
        <w:rPr>
          <w:lang w:val="en-US"/>
        </w:rPr>
        <w:t xml:space="preserve">% treasury spread reported by Fang (2005) for her subsample of </w:t>
      </w:r>
      <w:r w:rsidR="00D83826">
        <w:rPr>
          <w:lang w:val="en-US"/>
        </w:rPr>
        <w:t>bonds</w:t>
      </w:r>
      <w:r w:rsidR="00D83826" w:rsidRPr="00DC68DD">
        <w:rPr>
          <w:lang w:val="en-US"/>
        </w:rPr>
        <w:t xml:space="preserve"> </w:t>
      </w:r>
      <w:r w:rsidR="00FB73C6" w:rsidRPr="00DC68DD">
        <w:rPr>
          <w:lang w:val="en-US"/>
        </w:rPr>
        <w:t>underwritten by high reputation bookrunners</w:t>
      </w:r>
      <w:r w:rsidR="00D83826">
        <w:rPr>
          <w:lang w:val="en-US"/>
        </w:rPr>
        <w:t xml:space="preserve">, which highlights the low credit risk nature of our sample </w:t>
      </w:r>
      <w:r w:rsidR="001D35A9">
        <w:rPr>
          <w:lang w:val="en-US"/>
        </w:rPr>
        <w:t>bonds</w:t>
      </w:r>
      <w:r w:rsidR="00FB73C6" w:rsidRPr="00DC68DD">
        <w:rPr>
          <w:lang w:val="en-US"/>
        </w:rPr>
        <w:t xml:space="preserve">. </w:t>
      </w:r>
    </w:p>
    <w:p w14:paraId="7733041F" w14:textId="0EF5FD9F" w:rsidR="005E2EF4" w:rsidRPr="001A67DA" w:rsidRDefault="0080081A" w:rsidP="00555663">
      <w:pPr>
        <w:pStyle w:val="Heading2"/>
        <w:rPr>
          <w:lang w:val="en-US"/>
        </w:rPr>
      </w:pPr>
      <w:r w:rsidRPr="001A67DA">
        <w:rPr>
          <w:lang w:val="en-US"/>
        </w:rPr>
        <w:t>3</w:t>
      </w:r>
      <w:r w:rsidR="001131AD" w:rsidRPr="001A67DA">
        <w:rPr>
          <w:lang w:val="en-US"/>
        </w:rPr>
        <w:t xml:space="preserve">.3. </w:t>
      </w:r>
      <w:r w:rsidR="002A0417" w:rsidRPr="001A67DA">
        <w:rPr>
          <w:lang w:val="en-US"/>
        </w:rPr>
        <w:t>B</w:t>
      </w:r>
      <w:r w:rsidR="002756B1" w:rsidRPr="001A67DA">
        <w:rPr>
          <w:lang w:val="en-US"/>
        </w:rPr>
        <w:t>ookrunner</w:t>
      </w:r>
      <w:r w:rsidR="001703D8" w:rsidRPr="001A67DA">
        <w:rPr>
          <w:lang w:val="en-US"/>
        </w:rPr>
        <w:t xml:space="preserve"> </w:t>
      </w:r>
      <w:r w:rsidR="00191DD4" w:rsidRPr="001A67DA">
        <w:rPr>
          <w:lang w:val="en-US"/>
        </w:rPr>
        <w:t>geography</w:t>
      </w:r>
      <w:r w:rsidR="002A0417" w:rsidRPr="001A67DA">
        <w:rPr>
          <w:lang w:val="en-US"/>
        </w:rPr>
        <w:t xml:space="preserve"> and other </w:t>
      </w:r>
      <w:r w:rsidR="00AD28B6" w:rsidRPr="001A67DA">
        <w:rPr>
          <w:lang w:val="en-US"/>
        </w:rPr>
        <w:t xml:space="preserve">syndicate </w:t>
      </w:r>
      <w:r w:rsidR="009F7639" w:rsidRPr="001A67DA">
        <w:rPr>
          <w:lang w:val="en-US"/>
        </w:rPr>
        <w:t xml:space="preserve">decision criteria </w:t>
      </w:r>
    </w:p>
    <w:p w14:paraId="7B3214F7" w14:textId="2E7E9E71" w:rsidR="001B295A" w:rsidRPr="00DC68DD" w:rsidRDefault="004A1783" w:rsidP="001B295A">
      <w:pPr>
        <w:pStyle w:val="ListParagraph"/>
        <w:spacing w:line="480" w:lineRule="auto"/>
        <w:ind w:left="0"/>
        <w:jc w:val="both"/>
        <w:rPr>
          <w:lang w:val="en-US"/>
        </w:rPr>
      </w:pPr>
      <w:r w:rsidRPr="00DC68DD">
        <w:rPr>
          <w:lang w:val="en-US"/>
        </w:rPr>
        <w:t xml:space="preserve">Our </w:t>
      </w:r>
      <w:r w:rsidR="00486CEB">
        <w:rPr>
          <w:lang w:val="en-US"/>
        </w:rPr>
        <w:t>key</w:t>
      </w:r>
      <w:r w:rsidRPr="00DC68DD">
        <w:rPr>
          <w:lang w:val="en-US"/>
        </w:rPr>
        <w:t xml:space="preserve"> </w:t>
      </w:r>
      <w:r w:rsidR="000156D1">
        <w:rPr>
          <w:lang w:val="en-US"/>
        </w:rPr>
        <w:t>explanatory variable</w:t>
      </w:r>
      <w:r w:rsidRPr="00DC68DD">
        <w:rPr>
          <w:lang w:val="en-US"/>
        </w:rPr>
        <w:t xml:space="preserve"> </w:t>
      </w:r>
      <w:r w:rsidR="005A17B4">
        <w:rPr>
          <w:lang w:val="en-US"/>
        </w:rPr>
        <w:t xml:space="preserve">for bookrunner syndicate geography </w:t>
      </w:r>
      <w:r w:rsidRPr="00DC68DD">
        <w:rPr>
          <w:lang w:val="en-US"/>
        </w:rPr>
        <w:t xml:space="preserve">is </w:t>
      </w:r>
      <w:r w:rsidR="00191DD4" w:rsidRPr="00DC68DD">
        <w:rPr>
          <w:lang w:val="en-US"/>
        </w:rPr>
        <w:t xml:space="preserve">the proportion of non-domestic bookrunners </w:t>
      </w:r>
      <w:r w:rsidR="005A17B4">
        <w:rPr>
          <w:lang w:val="en-US"/>
        </w:rPr>
        <w:t>in the overall syndicate</w:t>
      </w:r>
      <w:r w:rsidR="000156D1">
        <w:rPr>
          <w:lang w:val="en-US"/>
        </w:rPr>
        <w:t>. We identify domestic bookrunners as banks headquartered</w:t>
      </w:r>
      <w:r w:rsidR="00191DD4" w:rsidRPr="00DC68DD">
        <w:rPr>
          <w:lang w:val="en-US"/>
        </w:rPr>
        <w:t xml:space="preserve"> </w:t>
      </w:r>
      <w:r w:rsidR="000156D1">
        <w:rPr>
          <w:lang w:val="en-US"/>
        </w:rPr>
        <w:t>in the same</w:t>
      </w:r>
      <w:r w:rsidR="00191DD4" w:rsidRPr="00DC68DD">
        <w:rPr>
          <w:lang w:val="en-US"/>
        </w:rPr>
        <w:t xml:space="preserve"> country </w:t>
      </w:r>
      <w:r w:rsidR="000156D1">
        <w:rPr>
          <w:lang w:val="en-US"/>
        </w:rPr>
        <w:t>as</w:t>
      </w:r>
      <w:r w:rsidR="00191DD4" w:rsidRPr="00DC68DD">
        <w:rPr>
          <w:lang w:val="en-US"/>
        </w:rPr>
        <w:t xml:space="preserve"> the issuer. </w:t>
      </w:r>
      <w:r w:rsidRPr="00DC68DD">
        <w:rPr>
          <w:lang w:val="en-US"/>
        </w:rPr>
        <w:t>W</w:t>
      </w:r>
      <w:r w:rsidR="00191DD4" w:rsidRPr="00DC68DD">
        <w:rPr>
          <w:lang w:val="en-US"/>
        </w:rPr>
        <w:t xml:space="preserve">e focus on the </w:t>
      </w:r>
      <w:r w:rsidRPr="00DC68DD">
        <w:rPr>
          <w:lang w:val="en-US"/>
        </w:rPr>
        <w:t xml:space="preserve">headquarter location </w:t>
      </w:r>
      <w:r w:rsidR="00191DD4" w:rsidRPr="00DC68DD">
        <w:rPr>
          <w:lang w:val="en-US"/>
        </w:rPr>
        <w:t>at the time of issue and do not retrospectively account for the effects of mergers amongst bookrunners</w:t>
      </w:r>
      <w:r w:rsidR="00556950" w:rsidRPr="00DC68DD">
        <w:rPr>
          <w:lang w:val="en-US"/>
        </w:rPr>
        <w:t xml:space="preserve"> or issuing firms</w:t>
      </w:r>
      <w:r w:rsidR="00191DD4" w:rsidRPr="00DC68DD">
        <w:rPr>
          <w:lang w:val="en-US"/>
        </w:rPr>
        <w:t xml:space="preserve">. </w:t>
      </w:r>
      <w:r w:rsidR="005A17B4">
        <w:rPr>
          <w:lang w:val="en-US"/>
        </w:rPr>
        <w:t xml:space="preserve">We collect this information from </w:t>
      </w:r>
      <w:r w:rsidR="00B75F4D" w:rsidRPr="00DC68DD">
        <w:rPr>
          <w:lang w:val="en-US"/>
        </w:rPr>
        <w:t>Dealogic</w:t>
      </w:r>
      <w:r w:rsidR="005A17B4">
        <w:rPr>
          <w:lang w:val="en-US"/>
        </w:rPr>
        <w:t xml:space="preserve"> or, where unavailable, </w:t>
      </w:r>
      <w:r w:rsidR="00056389">
        <w:rPr>
          <w:lang w:val="en-US"/>
        </w:rPr>
        <w:t xml:space="preserve">manually </w:t>
      </w:r>
      <w:r w:rsidR="00B75F4D" w:rsidRPr="00DC68DD">
        <w:rPr>
          <w:lang w:val="en-US"/>
        </w:rPr>
        <w:t xml:space="preserve">from the </w:t>
      </w:r>
      <w:r w:rsidR="005A17B4">
        <w:rPr>
          <w:lang w:val="en-US"/>
        </w:rPr>
        <w:t xml:space="preserve">relevant </w:t>
      </w:r>
      <w:r w:rsidR="00B75F4D" w:rsidRPr="00DC68DD">
        <w:rPr>
          <w:lang w:val="en-US"/>
        </w:rPr>
        <w:t xml:space="preserve">bond prospectus. </w:t>
      </w:r>
      <w:r w:rsidR="009D2C20" w:rsidRPr="007C25BB">
        <w:rPr>
          <w:lang w:val="en-US"/>
        </w:rPr>
        <w:t>Table 2 shows n</w:t>
      </w:r>
      <w:r w:rsidR="00191DD4" w:rsidRPr="007C25BB">
        <w:rPr>
          <w:lang w:val="en-US"/>
        </w:rPr>
        <w:t xml:space="preserve">on-domestic bookrunners account for </w:t>
      </w:r>
      <w:r w:rsidR="00650FB0" w:rsidRPr="007C25BB">
        <w:rPr>
          <w:lang w:val="en-US"/>
        </w:rPr>
        <w:t>69.80</w:t>
      </w:r>
      <w:r w:rsidR="00191DD4" w:rsidRPr="007C25BB">
        <w:rPr>
          <w:lang w:val="en-US"/>
        </w:rPr>
        <w:t xml:space="preserve">% of </w:t>
      </w:r>
      <w:r w:rsidR="00AA53DB" w:rsidRPr="007C25BB">
        <w:rPr>
          <w:lang w:val="en-US"/>
        </w:rPr>
        <w:t xml:space="preserve">the </w:t>
      </w:r>
      <w:r w:rsidR="00191DD4" w:rsidRPr="007C25BB">
        <w:rPr>
          <w:lang w:val="en-US"/>
        </w:rPr>
        <w:t>bookrunner syndicate for our sample</w:t>
      </w:r>
      <w:r w:rsidR="00AA53DB" w:rsidRPr="007C25BB">
        <w:rPr>
          <w:lang w:val="en-US"/>
        </w:rPr>
        <w:t>.</w:t>
      </w:r>
      <w:r w:rsidR="00056389" w:rsidRPr="007C25BB">
        <w:rPr>
          <w:lang w:val="en-US"/>
        </w:rPr>
        <w:t xml:space="preserve"> </w:t>
      </w:r>
      <w:r w:rsidR="00AA53DB" w:rsidRPr="007C25BB">
        <w:rPr>
          <w:lang w:val="en-US"/>
        </w:rPr>
        <w:t xml:space="preserve">In </w:t>
      </w:r>
      <w:r w:rsidR="00650FB0" w:rsidRPr="007C25BB">
        <w:rPr>
          <w:lang w:val="en-US"/>
        </w:rPr>
        <w:t>82.10</w:t>
      </w:r>
      <w:r w:rsidR="001966EC" w:rsidRPr="007C25BB">
        <w:rPr>
          <w:lang w:val="en-US"/>
        </w:rPr>
        <w:t xml:space="preserve">% of </w:t>
      </w:r>
      <w:r w:rsidR="00AA53DB" w:rsidRPr="007C25BB">
        <w:rPr>
          <w:lang w:val="en-US"/>
        </w:rPr>
        <w:t>cases</w:t>
      </w:r>
      <w:r w:rsidR="001966EC" w:rsidRPr="007C25BB">
        <w:rPr>
          <w:lang w:val="en-US"/>
        </w:rPr>
        <w:t xml:space="preserve">, </w:t>
      </w:r>
      <w:r w:rsidR="00EF78F8" w:rsidRPr="007C25BB">
        <w:rPr>
          <w:lang w:val="en-US"/>
        </w:rPr>
        <w:t>a</w:t>
      </w:r>
      <w:r w:rsidR="001966EC" w:rsidRPr="007C25BB">
        <w:rPr>
          <w:lang w:val="en-US"/>
        </w:rPr>
        <w:t xml:space="preserve"> majority of syndicate members are non-domestic </w:t>
      </w:r>
      <w:r w:rsidR="00EF78F8" w:rsidRPr="007C25BB">
        <w:rPr>
          <w:lang w:val="en-US"/>
        </w:rPr>
        <w:t>bookrunners.</w:t>
      </w:r>
    </w:p>
    <w:p w14:paraId="4B5B43BD" w14:textId="5563897F" w:rsidR="00556950" w:rsidRDefault="002A0417" w:rsidP="00994DAF">
      <w:pPr>
        <w:pStyle w:val="ListParagraph"/>
        <w:spacing w:line="480" w:lineRule="auto"/>
        <w:ind w:left="0" w:firstLine="709"/>
        <w:jc w:val="both"/>
        <w:rPr>
          <w:lang w:val="en-US"/>
        </w:rPr>
      </w:pPr>
      <w:r>
        <w:rPr>
          <w:lang w:val="en-US"/>
        </w:rPr>
        <w:t xml:space="preserve">In further </w:t>
      </w:r>
      <w:r w:rsidR="004B008A">
        <w:rPr>
          <w:lang w:val="en-US"/>
        </w:rPr>
        <w:t>analysis,</w:t>
      </w:r>
      <w:r>
        <w:rPr>
          <w:lang w:val="en-US"/>
        </w:rPr>
        <w:t xml:space="preserve"> we control for syndicate characteristics including size</w:t>
      </w:r>
      <w:r w:rsidR="00994DAF">
        <w:rPr>
          <w:lang w:val="en-US"/>
        </w:rPr>
        <w:t xml:space="preserve"> (number)</w:t>
      </w:r>
      <w:r>
        <w:rPr>
          <w:lang w:val="en-US"/>
        </w:rPr>
        <w:t xml:space="preserve">, role allocations, and reputation of </w:t>
      </w:r>
      <w:r w:rsidR="005A17B4">
        <w:rPr>
          <w:lang w:val="en-US"/>
        </w:rPr>
        <w:t xml:space="preserve">the bookrunner </w:t>
      </w:r>
      <w:r>
        <w:rPr>
          <w:lang w:val="en-US"/>
        </w:rPr>
        <w:t xml:space="preserve">syndicate. </w:t>
      </w:r>
      <w:r w:rsidR="00A35572" w:rsidRPr="007C25BB">
        <w:rPr>
          <w:lang w:val="en-US"/>
        </w:rPr>
        <w:t xml:space="preserve">The mean (median) number of bookrunners is </w:t>
      </w:r>
      <w:r w:rsidR="007B693D" w:rsidRPr="007C25BB">
        <w:rPr>
          <w:lang w:val="en-US"/>
        </w:rPr>
        <w:t>5.665</w:t>
      </w:r>
      <w:r w:rsidR="00A35572" w:rsidRPr="007C25BB">
        <w:rPr>
          <w:lang w:val="en-US"/>
        </w:rPr>
        <w:t xml:space="preserve"> (</w:t>
      </w:r>
      <w:r w:rsidR="007B693D" w:rsidRPr="007C25BB">
        <w:rPr>
          <w:lang w:val="en-US"/>
        </w:rPr>
        <w:t>5</w:t>
      </w:r>
      <w:r w:rsidR="00A35572" w:rsidRPr="007C25BB">
        <w:rPr>
          <w:lang w:val="en-US"/>
        </w:rPr>
        <w:t>.000).</w:t>
      </w:r>
      <w:r w:rsidR="00A35572" w:rsidRPr="00650FB0">
        <w:rPr>
          <w:color w:val="FF0000"/>
          <w:lang w:val="en-US"/>
        </w:rPr>
        <w:t xml:space="preserve"> </w:t>
      </w:r>
      <w:r w:rsidR="00FF4043">
        <w:rPr>
          <w:lang w:val="en-US"/>
        </w:rPr>
        <w:t xml:space="preserve">Carbo-Valverde et al. (2017) find mean (median) syndicate size of 3.32 (3.00), but do not filter domestically placed and sole bookrunner led issues in their sample of euro-denominated corporate bond issuers. </w:t>
      </w:r>
      <w:r w:rsidR="00994DAF">
        <w:rPr>
          <w:lang w:val="en-US"/>
        </w:rPr>
        <w:t xml:space="preserve">In terms of </w:t>
      </w:r>
      <w:r w:rsidR="005A17B4">
        <w:rPr>
          <w:lang w:val="en-US"/>
        </w:rPr>
        <w:t>roles, capital markets n</w:t>
      </w:r>
      <w:r w:rsidR="005A17B4" w:rsidRPr="00DC68DD">
        <w:rPr>
          <w:lang w:val="en-US" w:eastAsia="en-GB"/>
        </w:rPr>
        <w:t xml:space="preserve">ews </w:t>
      </w:r>
      <w:r w:rsidR="007742D3" w:rsidRPr="00DC68DD">
        <w:rPr>
          <w:lang w:val="en-US" w:eastAsia="en-GB"/>
        </w:rPr>
        <w:t xml:space="preserve">sources make clear distinctions between </w:t>
      </w:r>
      <w:r w:rsidR="005A17B4">
        <w:rPr>
          <w:lang w:val="en-US" w:eastAsia="en-GB"/>
        </w:rPr>
        <w:t>active and</w:t>
      </w:r>
      <w:r w:rsidR="00857DE2">
        <w:rPr>
          <w:lang w:val="en-US" w:eastAsia="en-GB"/>
        </w:rPr>
        <w:t xml:space="preserve"> passive bookrunners</w:t>
      </w:r>
      <w:r w:rsidR="007742D3" w:rsidRPr="00DC68DD">
        <w:rPr>
          <w:lang w:val="en-US" w:eastAsia="en-GB"/>
        </w:rPr>
        <w:t>.</w:t>
      </w:r>
      <w:r w:rsidR="007742D3" w:rsidRPr="00DC68DD">
        <w:rPr>
          <w:rStyle w:val="FootnoteReference"/>
          <w:lang w:val="en-US" w:eastAsia="en-GB"/>
        </w:rPr>
        <w:footnoteReference w:id="14"/>
      </w:r>
      <w:r w:rsidR="007742D3" w:rsidRPr="00DC68DD">
        <w:rPr>
          <w:lang w:val="en-US" w:eastAsia="en-GB"/>
        </w:rPr>
        <w:t xml:space="preserve"> </w:t>
      </w:r>
      <w:r w:rsidR="00556950" w:rsidRPr="00DC68DD">
        <w:rPr>
          <w:lang w:val="en-US" w:eastAsia="en-GB"/>
        </w:rPr>
        <w:t>Table 2 shows that th</w:t>
      </w:r>
      <w:r w:rsidR="007742D3" w:rsidRPr="00DC68DD">
        <w:rPr>
          <w:lang w:val="en-US"/>
        </w:rPr>
        <w:t>e fraction of active non-domestic bookrunners</w:t>
      </w:r>
      <w:r w:rsidR="00191DD4" w:rsidRPr="00DC68DD">
        <w:rPr>
          <w:lang w:val="en-US"/>
        </w:rPr>
        <w:t xml:space="preserve"> </w:t>
      </w:r>
      <w:r w:rsidR="00A35572">
        <w:rPr>
          <w:lang w:val="en-US"/>
        </w:rPr>
        <w:t xml:space="preserve">is </w:t>
      </w:r>
      <w:r w:rsidR="007742D3" w:rsidRPr="00DC68DD">
        <w:rPr>
          <w:lang w:val="en-US"/>
        </w:rPr>
        <w:t>identical to the overall proportion of non-domestic</w:t>
      </w:r>
      <w:r w:rsidR="00191DD4" w:rsidRPr="00DC68DD">
        <w:rPr>
          <w:lang w:val="en-US"/>
        </w:rPr>
        <w:t xml:space="preserve"> bookrunners</w:t>
      </w:r>
      <w:r w:rsidR="007742D3" w:rsidRPr="00DC68DD">
        <w:rPr>
          <w:lang w:val="en-US"/>
        </w:rPr>
        <w:t xml:space="preserve"> in the sample</w:t>
      </w:r>
      <w:r w:rsidR="005A17B4">
        <w:rPr>
          <w:lang w:val="en-US"/>
        </w:rPr>
        <w:t xml:space="preserve">, highlighting that this role innovation </w:t>
      </w:r>
      <w:r w:rsidR="00650FB0">
        <w:rPr>
          <w:lang w:val="en-US"/>
        </w:rPr>
        <w:t>is</w:t>
      </w:r>
      <w:r w:rsidR="005A17B4">
        <w:rPr>
          <w:lang w:val="en-US"/>
        </w:rPr>
        <w:t xml:space="preserve"> mainstream in our sample</w:t>
      </w:r>
      <w:r w:rsidR="00944EE2">
        <w:rPr>
          <w:lang w:val="en-US"/>
        </w:rPr>
        <w:t>.</w:t>
      </w:r>
      <w:r w:rsidR="00994DAF">
        <w:rPr>
          <w:lang w:val="en-US"/>
        </w:rPr>
        <w:t xml:space="preserve"> Finally, b</w:t>
      </w:r>
      <w:r w:rsidR="005A17B4">
        <w:rPr>
          <w:lang w:val="en-US"/>
        </w:rPr>
        <w:t xml:space="preserve">ookrunner reputation is assessed by </w:t>
      </w:r>
      <w:r w:rsidR="00015367">
        <w:rPr>
          <w:lang w:val="en-US"/>
        </w:rPr>
        <w:t xml:space="preserve">the </w:t>
      </w:r>
      <w:r w:rsidR="00944EE2">
        <w:rPr>
          <w:lang w:val="en-US"/>
        </w:rPr>
        <w:t>percentage</w:t>
      </w:r>
      <w:r w:rsidR="00015367">
        <w:rPr>
          <w:lang w:val="en-US"/>
        </w:rPr>
        <w:t xml:space="preserve"> of banks that have a top 10 league table position. W</w:t>
      </w:r>
      <w:r w:rsidR="00556950" w:rsidRPr="00DC68DD">
        <w:rPr>
          <w:lang w:val="en-US" w:eastAsia="en-GB"/>
        </w:rPr>
        <w:t xml:space="preserve">e construct a sample-specific league table </w:t>
      </w:r>
      <w:r w:rsidR="00015367">
        <w:rPr>
          <w:lang w:val="en-US" w:eastAsia="en-GB"/>
        </w:rPr>
        <w:t xml:space="preserve">for this purpose, both </w:t>
      </w:r>
      <w:r w:rsidR="00556950" w:rsidRPr="00DC68DD">
        <w:rPr>
          <w:lang w:val="en-US" w:eastAsia="en-GB"/>
        </w:rPr>
        <w:t xml:space="preserve">for all bookrunners </w:t>
      </w:r>
      <w:r w:rsidR="004B008A">
        <w:rPr>
          <w:lang w:val="en-US" w:eastAsia="en-GB"/>
        </w:rPr>
        <w:t xml:space="preserve">and separately </w:t>
      </w:r>
      <w:r w:rsidR="00A35572">
        <w:rPr>
          <w:lang w:val="en-US" w:eastAsia="en-GB"/>
        </w:rPr>
        <w:t>for active bookrunners</w:t>
      </w:r>
      <w:r w:rsidR="00015367">
        <w:rPr>
          <w:lang w:val="en-US" w:eastAsia="en-GB"/>
        </w:rPr>
        <w:t xml:space="preserve"> </w:t>
      </w:r>
      <w:r w:rsidR="00015367" w:rsidRPr="00C05652">
        <w:rPr>
          <w:lang w:val="en-US" w:eastAsia="en-GB"/>
        </w:rPr>
        <w:t>(</w:t>
      </w:r>
      <w:r w:rsidR="00CB2C5E" w:rsidRPr="00C05652">
        <w:rPr>
          <w:lang w:val="en-US" w:eastAsia="en-GB"/>
        </w:rPr>
        <w:t xml:space="preserve">see </w:t>
      </w:r>
      <w:r w:rsidR="00A35572" w:rsidRPr="00C05652">
        <w:rPr>
          <w:lang w:val="en-US" w:eastAsia="en-GB"/>
        </w:rPr>
        <w:t xml:space="preserve">Appendix </w:t>
      </w:r>
      <w:r w:rsidR="00FF4043" w:rsidRPr="00C05652">
        <w:rPr>
          <w:lang w:val="en-US" w:eastAsia="en-GB"/>
        </w:rPr>
        <w:t>A</w:t>
      </w:r>
      <w:r w:rsidR="00015367" w:rsidRPr="00C05652">
        <w:rPr>
          <w:lang w:val="en-US" w:eastAsia="en-GB"/>
        </w:rPr>
        <w:t>)</w:t>
      </w:r>
      <w:r w:rsidR="001B63DD" w:rsidRPr="00C05652">
        <w:rPr>
          <w:lang w:val="en-US" w:eastAsia="en-GB"/>
        </w:rPr>
        <w:t>.</w:t>
      </w:r>
      <w:r w:rsidR="001B63DD">
        <w:rPr>
          <w:lang w:val="en-US" w:eastAsia="en-GB"/>
        </w:rPr>
        <w:t xml:space="preserve"> </w:t>
      </w:r>
      <w:r w:rsidR="00A35572">
        <w:rPr>
          <w:lang w:val="en-US" w:eastAsia="en-GB"/>
        </w:rPr>
        <w:t>We</w:t>
      </w:r>
      <w:r w:rsidR="00556950" w:rsidRPr="00DC68DD">
        <w:rPr>
          <w:lang w:val="en-US" w:eastAsia="en-GB"/>
        </w:rPr>
        <w:t xml:space="preserve"> mimic Bloomberg </w:t>
      </w:r>
      <w:r w:rsidR="00556950" w:rsidRPr="00DC68DD">
        <w:rPr>
          <w:lang w:val="en-US" w:eastAsia="en-GB"/>
        </w:rPr>
        <w:lastRenderedPageBreak/>
        <w:t>and Dealscan league table methods in assigning credits equally across the bookrunner syndicate</w:t>
      </w:r>
      <w:r w:rsidR="00AA53DB">
        <w:rPr>
          <w:lang w:val="en-US" w:eastAsia="en-GB"/>
        </w:rPr>
        <w:t>, but w</w:t>
      </w:r>
      <w:r w:rsidR="00AA53DB" w:rsidRPr="00D57FF6">
        <w:rPr>
          <w:lang w:val="en-US" w:eastAsia="en-GB"/>
        </w:rPr>
        <w:t xml:space="preserve">e do not retrospectively assign </w:t>
      </w:r>
      <w:r w:rsidR="00AA53DB">
        <w:rPr>
          <w:lang w:val="en-US" w:eastAsia="en-GB"/>
        </w:rPr>
        <w:t xml:space="preserve">league table </w:t>
      </w:r>
      <w:r w:rsidR="00AA53DB" w:rsidRPr="00D57FF6">
        <w:rPr>
          <w:lang w:val="en-US" w:eastAsia="en-GB"/>
        </w:rPr>
        <w:t xml:space="preserve">credits from </w:t>
      </w:r>
      <w:r w:rsidR="00AA53DB">
        <w:rPr>
          <w:lang w:val="en-US" w:eastAsia="en-GB"/>
        </w:rPr>
        <w:t>acquired</w:t>
      </w:r>
      <w:r w:rsidR="00AA53DB" w:rsidRPr="00D57FF6">
        <w:rPr>
          <w:lang w:val="en-US" w:eastAsia="en-GB"/>
        </w:rPr>
        <w:t xml:space="preserve"> bank</w:t>
      </w:r>
      <w:r w:rsidR="00AA53DB">
        <w:rPr>
          <w:lang w:val="en-US" w:eastAsia="en-GB"/>
        </w:rPr>
        <w:t>s</w:t>
      </w:r>
      <w:r w:rsidR="00AA53DB" w:rsidRPr="00D57FF6">
        <w:rPr>
          <w:lang w:val="en-US" w:eastAsia="en-GB"/>
        </w:rPr>
        <w:t xml:space="preserve"> to </w:t>
      </w:r>
      <w:r w:rsidR="00AA53DB">
        <w:rPr>
          <w:lang w:val="en-US" w:eastAsia="en-GB"/>
        </w:rPr>
        <w:t>acquiring</w:t>
      </w:r>
      <w:r w:rsidR="00AA53DB" w:rsidRPr="00D57FF6">
        <w:rPr>
          <w:lang w:val="en-US" w:eastAsia="en-GB"/>
        </w:rPr>
        <w:t xml:space="preserve"> bank</w:t>
      </w:r>
      <w:r w:rsidR="00AA53DB">
        <w:rPr>
          <w:lang w:val="en-US" w:eastAsia="en-GB"/>
        </w:rPr>
        <w:t xml:space="preserve">s. </w:t>
      </w:r>
      <w:r w:rsidR="00015367">
        <w:rPr>
          <w:lang w:val="en-US" w:eastAsia="en-GB"/>
        </w:rPr>
        <w:t xml:space="preserve">We focus on Top 10 as these are the most frequently published league tables by IFR and </w:t>
      </w:r>
      <w:r w:rsidR="004B008A">
        <w:rPr>
          <w:lang w:val="en-US" w:eastAsia="en-GB"/>
        </w:rPr>
        <w:t>Dealogic</w:t>
      </w:r>
      <w:r w:rsidR="00556950" w:rsidRPr="00DC68DD">
        <w:rPr>
          <w:lang w:val="en-US" w:eastAsia="en-GB"/>
        </w:rPr>
        <w:t xml:space="preserve">. </w:t>
      </w:r>
      <w:r w:rsidR="004B008A" w:rsidRPr="007C25BB">
        <w:rPr>
          <w:lang w:val="en-US"/>
        </w:rPr>
        <w:t xml:space="preserve">We show in Table 2 that </w:t>
      </w:r>
      <w:r w:rsidR="00650FB0" w:rsidRPr="007C25BB">
        <w:rPr>
          <w:lang w:val="en-US"/>
        </w:rPr>
        <w:t>38.60</w:t>
      </w:r>
      <w:r w:rsidR="00191DD4" w:rsidRPr="007C25BB">
        <w:rPr>
          <w:lang w:val="en-US"/>
        </w:rPr>
        <w:t xml:space="preserve">% of active bookrunners are classified as both non-domestic and high reputation. </w:t>
      </w:r>
    </w:p>
    <w:p w14:paraId="113C1DE6" w14:textId="6409676C" w:rsidR="00857DE2" w:rsidRDefault="00AA53DB">
      <w:pPr>
        <w:pStyle w:val="ListParagraph"/>
        <w:spacing w:line="480" w:lineRule="auto"/>
        <w:ind w:left="0" w:firstLine="709"/>
        <w:jc w:val="both"/>
        <w:rPr>
          <w:lang w:val="en-US"/>
        </w:rPr>
      </w:pPr>
      <w:r>
        <w:rPr>
          <w:lang w:val="en-US"/>
        </w:rPr>
        <w:t>W</w:t>
      </w:r>
      <w:r w:rsidR="00857DE2">
        <w:rPr>
          <w:lang w:val="en-US"/>
        </w:rPr>
        <w:t xml:space="preserve">e </w:t>
      </w:r>
      <w:r w:rsidR="00A51DDF">
        <w:rPr>
          <w:lang w:val="en-US"/>
        </w:rPr>
        <w:t xml:space="preserve">also </w:t>
      </w:r>
      <w:r w:rsidR="00857DE2">
        <w:rPr>
          <w:lang w:val="en-US"/>
        </w:rPr>
        <w:t>control for existing lending relationships between bookrunners and issuing firms</w:t>
      </w:r>
      <w:r w:rsidR="00015367">
        <w:rPr>
          <w:lang w:val="en-US"/>
        </w:rPr>
        <w:t xml:space="preserve">. </w:t>
      </w:r>
      <w:r w:rsidR="00944EE2">
        <w:rPr>
          <w:lang w:val="en-US"/>
        </w:rPr>
        <w:t>An existing lending relation</w:t>
      </w:r>
      <w:r w:rsidR="00015367">
        <w:rPr>
          <w:lang w:val="en-US"/>
        </w:rPr>
        <w:t xml:space="preserve"> should enhance a bookrunner’s ability to perform both its certification role, by being more familiar with the issuer’s debt documentation, as well as its placement role, by having access to more soft information about the issuer. It could also </w:t>
      </w:r>
      <w:r w:rsidR="0030353C">
        <w:rPr>
          <w:lang w:val="en-US"/>
        </w:rPr>
        <w:t>affect</w:t>
      </w:r>
      <w:r w:rsidR="00015367">
        <w:rPr>
          <w:lang w:val="en-US"/>
        </w:rPr>
        <w:t xml:space="preserve"> the </w:t>
      </w:r>
      <w:r w:rsidR="00A51DDF">
        <w:rPr>
          <w:lang w:val="en-US"/>
        </w:rPr>
        <w:t>cost of debt capital for borrowing firms</w:t>
      </w:r>
      <w:r w:rsidR="008058D0">
        <w:rPr>
          <w:lang w:val="en-US"/>
        </w:rPr>
        <w:t xml:space="preserve"> (</w:t>
      </w:r>
      <w:r w:rsidR="00A51DDF">
        <w:rPr>
          <w:lang w:val="en-US"/>
        </w:rPr>
        <w:t xml:space="preserve">Lopez-Espinosa et al., 2017; </w:t>
      </w:r>
      <w:r w:rsidR="008058D0">
        <w:rPr>
          <w:lang w:val="en-US"/>
        </w:rPr>
        <w:t>Yasuda, 2005</w:t>
      </w:r>
      <w:r w:rsidR="00857DE2">
        <w:rPr>
          <w:lang w:val="en-US"/>
        </w:rPr>
        <w:t>)</w:t>
      </w:r>
      <w:r w:rsidR="00E9731A">
        <w:rPr>
          <w:lang w:val="en-US"/>
        </w:rPr>
        <w:t xml:space="preserve">. We collect data on lending relationships between bookrunners and issuing firms from Dealogic. </w:t>
      </w:r>
      <w:r>
        <w:rPr>
          <w:lang w:val="en-US"/>
        </w:rPr>
        <w:t>We</w:t>
      </w:r>
      <w:r w:rsidR="00E9731A">
        <w:rPr>
          <w:lang w:val="en-US"/>
        </w:rPr>
        <w:t xml:space="preserve"> identify prior lending relationships as the proportion of the bookrunner syndicate that has acted as mandated lead arranger on a loan to the issuing firm within the previous three years. The mean (median) value </w:t>
      </w:r>
      <w:r w:rsidR="00E9731A" w:rsidRPr="007C25BB">
        <w:rPr>
          <w:lang w:val="en-US"/>
        </w:rPr>
        <w:t xml:space="preserve">for this measure is </w:t>
      </w:r>
      <w:r w:rsidR="00650FB0" w:rsidRPr="007C25BB">
        <w:rPr>
          <w:lang w:val="en-US"/>
        </w:rPr>
        <w:t>58.0</w:t>
      </w:r>
      <w:r w:rsidR="00A51DDF" w:rsidRPr="007C25BB">
        <w:rPr>
          <w:lang w:val="en-US"/>
        </w:rPr>
        <w:t>%</w:t>
      </w:r>
      <w:r w:rsidR="00E9731A" w:rsidRPr="007C25BB">
        <w:rPr>
          <w:lang w:val="en-US"/>
        </w:rPr>
        <w:t xml:space="preserve"> (</w:t>
      </w:r>
      <w:r w:rsidR="00650FB0" w:rsidRPr="007C25BB">
        <w:rPr>
          <w:lang w:val="en-US"/>
        </w:rPr>
        <w:t>75</w:t>
      </w:r>
      <w:r w:rsidR="00A51DDF" w:rsidRPr="007C25BB">
        <w:rPr>
          <w:lang w:val="en-US"/>
        </w:rPr>
        <w:t>.0%</w:t>
      </w:r>
      <w:r w:rsidR="00E9731A" w:rsidRPr="007C25BB">
        <w:rPr>
          <w:lang w:val="en-US"/>
        </w:rPr>
        <w:t xml:space="preserve">) suggesting that </w:t>
      </w:r>
      <w:r w:rsidR="00650FB0" w:rsidRPr="007C25BB">
        <w:rPr>
          <w:lang w:val="en-US"/>
        </w:rPr>
        <w:t>more than</w:t>
      </w:r>
      <w:r w:rsidRPr="007C25BB">
        <w:rPr>
          <w:lang w:val="en-US"/>
        </w:rPr>
        <w:t xml:space="preserve"> </w:t>
      </w:r>
      <w:r w:rsidR="00E9731A" w:rsidRPr="007C25BB">
        <w:rPr>
          <w:lang w:val="en-US"/>
        </w:rPr>
        <w:t>half of the bookrunner syndicate has recently acted as a</w:t>
      </w:r>
      <w:r w:rsidRPr="007C25BB">
        <w:rPr>
          <w:lang w:val="en-US"/>
        </w:rPr>
        <w:t>n arranger on a loan</w:t>
      </w:r>
      <w:r w:rsidR="00E9731A" w:rsidRPr="007C25BB">
        <w:rPr>
          <w:lang w:val="en-US"/>
        </w:rPr>
        <w:t xml:space="preserve"> to the issuing firm.</w:t>
      </w:r>
      <w:r w:rsidR="00E9731A" w:rsidRPr="007C25BB">
        <w:rPr>
          <w:rStyle w:val="FootnoteReference"/>
          <w:lang w:val="en-US"/>
        </w:rPr>
        <w:footnoteReference w:id="15"/>
      </w:r>
    </w:p>
    <w:p w14:paraId="33A25C83" w14:textId="669EA1CE" w:rsidR="00E10E62" w:rsidRPr="007C25BB" w:rsidRDefault="00EF34D1" w:rsidP="00E10E62">
      <w:pPr>
        <w:pStyle w:val="ListParagraph"/>
        <w:spacing w:line="480" w:lineRule="auto"/>
        <w:ind w:left="0" w:firstLine="709"/>
        <w:jc w:val="both"/>
        <w:rPr>
          <w:lang w:val="en-US"/>
        </w:rPr>
      </w:pPr>
      <w:r>
        <w:rPr>
          <w:lang w:val="en-US"/>
        </w:rPr>
        <w:t xml:space="preserve">In </w:t>
      </w:r>
      <w:r w:rsidR="00650FB0">
        <w:rPr>
          <w:lang w:val="en-US"/>
        </w:rPr>
        <w:t>addition,</w:t>
      </w:r>
      <w:r>
        <w:rPr>
          <w:lang w:val="en-US"/>
        </w:rPr>
        <w:t xml:space="preserve"> we test the placement capabilities of bookrunner syndicates </w:t>
      </w:r>
      <w:r w:rsidR="00740B06">
        <w:rPr>
          <w:lang w:val="en-US"/>
        </w:rPr>
        <w:t>by</w:t>
      </w:r>
      <w:r>
        <w:rPr>
          <w:lang w:val="en-US"/>
        </w:rPr>
        <w:t xml:space="preserve"> collecting bond demand </w:t>
      </w:r>
      <w:r w:rsidR="00E10E62">
        <w:rPr>
          <w:lang w:val="en-US"/>
        </w:rPr>
        <w:t xml:space="preserve">data </w:t>
      </w:r>
      <w:r w:rsidRPr="00E10E62">
        <w:rPr>
          <w:lang w:val="en-US"/>
        </w:rPr>
        <w:t>and allocation data</w:t>
      </w:r>
      <w:r w:rsidR="00E10E62">
        <w:rPr>
          <w:lang w:val="en-US"/>
        </w:rPr>
        <w:t>. Bond demand is studied through oversubscription, being the orderbook size divided by the tranche size. Orderbook size is obtained from International Financing Review</w:t>
      </w:r>
      <w:r w:rsidR="00740B06">
        <w:rPr>
          <w:lang w:val="en-US"/>
        </w:rPr>
        <w:t xml:space="preserve">, </w:t>
      </w:r>
      <w:r w:rsidR="00E10E62">
        <w:rPr>
          <w:lang w:val="en-US"/>
        </w:rPr>
        <w:t>Global Capital</w:t>
      </w:r>
      <w:r w:rsidR="00740B06">
        <w:rPr>
          <w:lang w:val="en-US"/>
        </w:rPr>
        <w:t>, and Informa Global Markets (IGM)</w:t>
      </w:r>
      <w:r w:rsidR="00E10E62" w:rsidRPr="007B2F2C">
        <w:rPr>
          <w:lang w:val="en-US"/>
        </w:rPr>
        <w:t xml:space="preserve">, who </w:t>
      </w:r>
      <w:r w:rsidR="001A14EE">
        <w:rPr>
          <w:lang w:val="en-US"/>
        </w:rPr>
        <w:t>collect</w:t>
      </w:r>
      <w:r w:rsidR="001A14EE" w:rsidRPr="007B2F2C">
        <w:rPr>
          <w:lang w:val="en-US"/>
        </w:rPr>
        <w:t xml:space="preserve"> </w:t>
      </w:r>
      <w:r w:rsidR="00E10E62" w:rsidRPr="007B2F2C">
        <w:rPr>
          <w:lang w:val="en-US"/>
        </w:rPr>
        <w:t>this information through post-pricing interviews with bookrunners</w:t>
      </w:r>
      <w:r w:rsidR="00E10E62">
        <w:rPr>
          <w:lang w:val="en-US"/>
        </w:rPr>
        <w:t xml:space="preserve"> on the transaction</w:t>
      </w:r>
      <w:r w:rsidR="00E10E62" w:rsidRPr="007B2F2C">
        <w:rPr>
          <w:lang w:val="en-US"/>
        </w:rPr>
        <w:t xml:space="preserve">. </w:t>
      </w:r>
      <w:r w:rsidR="00E10E62" w:rsidRPr="00975786">
        <w:rPr>
          <w:lang w:val="en-US"/>
        </w:rPr>
        <w:t xml:space="preserve">The </w:t>
      </w:r>
      <w:r w:rsidR="00E10E62">
        <w:rPr>
          <w:lang w:val="en-US"/>
        </w:rPr>
        <w:t xml:space="preserve">final orderbook </w:t>
      </w:r>
      <w:r w:rsidR="00E10E62" w:rsidRPr="00975786">
        <w:rPr>
          <w:lang w:val="en-US"/>
        </w:rPr>
        <w:t>variable</w:t>
      </w:r>
      <w:r w:rsidR="00E10E62">
        <w:rPr>
          <w:lang w:val="en-US"/>
        </w:rPr>
        <w:t>s</w:t>
      </w:r>
      <w:r w:rsidR="00E10E62" w:rsidRPr="00975786">
        <w:rPr>
          <w:lang w:val="en-US"/>
        </w:rPr>
        <w:t xml:space="preserve"> used in our analysis are</w:t>
      </w:r>
      <w:r w:rsidR="00E10E62" w:rsidRPr="00F13530">
        <w:rPr>
          <w:lang w:val="en-US"/>
        </w:rPr>
        <w:t xml:space="preserve"> determined following pricing and allocation of the </w:t>
      </w:r>
      <w:r w:rsidR="00E10E62" w:rsidRPr="00F13530">
        <w:rPr>
          <w:lang w:val="en-US"/>
        </w:rPr>
        <w:lastRenderedPageBreak/>
        <w:t>bond, and therefore after the terms have been agreed.</w:t>
      </w:r>
      <w:r w:rsidR="00E10E62">
        <w:rPr>
          <w:rStyle w:val="FootnoteReference"/>
          <w:lang w:val="en-US"/>
        </w:rPr>
        <w:footnoteReference w:id="16"/>
      </w:r>
      <w:r w:rsidR="00E10E62" w:rsidRPr="00F13530">
        <w:rPr>
          <w:lang w:val="en-US"/>
        </w:rPr>
        <w:t xml:space="preserve"> </w:t>
      </w:r>
      <w:r w:rsidR="00E10E62" w:rsidRPr="007C25BB">
        <w:rPr>
          <w:lang w:val="en-US"/>
        </w:rPr>
        <w:t xml:space="preserve">These criteria produce a subsample of </w:t>
      </w:r>
      <w:r w:rsidR="00650FB0" w:rsidRPr="007C25BB">
        <w:rPr>
          <w:lang w:val="en-US"/>
        </w:rPr>
        <w:t>1,577</w:t>
      </w:r>
      <w:r w:rsidR="00E10E62" w:rsidRPr="007C25BB">
        <w:rPr>
          <w:lang w:val="en-US"/>
        </w:rPr>
        <w:t xml:space="preserve"> tranches.</w:t>
      </w:r>
    </w:p>
    <w:p w14:paraId="670E34E1" w14:textId="28C9CA3F" w:rsidR="00EF34D1" w:rsidRPr="007C25BB" w:rsidRDefault="00E10E62">
      <w:pPr>
        <w:pStyle w:val="ListParagraph"/>
        <w:spacing w:line="480" w:lineRule="auto"/>
        <w:ind w:left="0" w:firstLine="709"/>
        <w:jc w:val="both"/>
        <w:rPr>
          <w:lang w:val="en-US"/>
        </w:rPr>
      </w:pPr>
      <w:r w:rsidRPr="007C25BB">
        <w:rPr>
          <w:lang w:val="en-US"/>
        </w:rPr>
        <w:t xml:space="preserve">Allocation data is sourced from </w:t>
      </w:r>
      <w:r w:rsidR="00740B06" w:rsidRPr="007C25BB">
        <w:rPr>
          <w:lang w:val="en-US"/>
        </w:rPr>
        <w:t>IGM</w:t>
      </w:r>
      <w:r w:rsidRPr="007C25BB">
        <w:rPr>
          <w:lang w:val="en-US"/>
        </w:rPr>
        <w:t xml:space="preserve"> Deal Navigator. </w:t>
      </w:r>
      <w:r w:rsidR="00EF34D1" w:rsidRPr="007C25BB">
        <w:rPr>
          <w:lang w:val="en-US"/>
        </w:rPr>
        <w:t xml:space="preserve">An IGM search produces an initial sample of </w:t>
      </w:r>
      <w:r w:rsidR="00650FB0" w:rsidRPr="007C25BB">
        <w:rPr>
          <w:lang w:val="en-US"/>
        </w:rPr>
        <w:t>1,115</w:t>
      </w:r>
      <w:r w:rsidR="00EF34D1" w:rsidRPr="007C25BB">
        <w:rPr>
          <w:lang w:val="en-US"/>
        </w:rPr>
        <w:t xml:space="preserve"> tranches that meet our sample criteria over the sample period and matching to Dealogic produces a sample of </w:t>
      </w:r>
      <w:r w:rsidR="00650FB0" w:rsidRPr="007C25BB">
        <w:rPr>
          <w:lang w:val="en-US"/>
        </w:rPr>
        <w:t>739</w:t>
      </w:r>
      <w:r w:rsidR="00EF34D1" w:rsidRPr="007C25BB">
        <w:rPr>
          <w:lang w:val="en-US"/>
        </w:rPr>
        <w:t xml:space="preserve"> bond tranches. To clean for data errors, we remove tranches where the sum of geographic or investor type allocations is less than 95% or greater than 105% of the amount issued. We also exclude tranches for which only the geographic or investor type allocation data is available. </w:t>
      </w:r>
      <w:r w:rsidR="00650FB0" w:rsidRPr="007C25BB">
        <w:rPr>
          <w:lang w:val="en-US"/>
        </w:rPr>
        <w:t>After matching to control variables, a final sample of 645 bond tranches is obtained.</w:t>
      </w:r>
      <w:r w:rsidR="001A14EE" w:rsidRPr="001A14EE">
        <w:rPr>
          <w:lang w:val="en-US"/>
        </w:rPr>
        <w:t xml:space="preserve"> </w:t>
      </w:r>
      <w:r w:rsidR="001A14EE" w:rsidRPr="00A6319C">
        <w:rPr>
          <w:lang w:val="en-US"/>
        </w:rPr>
        <w:t>We calculate the proportion of each tranche issued to domestic investors, based on the regional classifications</w:t>
      </w:r>
      <w:r w:rsidR="001A14EE">
        <w:rPr>
          <w:lang w:val="en-US"/>
        </w:rPr>
        <w:t xml:space="preserve"> reported in Dealogic.</w:t>
      </w:r>
    </w:p>
    <w:p w14:paraId="55D8B85A" w14:textId="21F14C34" w:rsidR="009F7639" w:rsidRDefault="004E06C1" w:rsidP="009F7639">
      <w:pPr>
        <w:pStyle w:val="ListParagraph"/>
        <w:spacing w:line="480" w:lineRule="auto"/>
        <w:ind w:left="0" w:firstLine="709"/>
        <w:jc w:val="both"/>
        <w:rPr>
          <w:lang w:val="en-US"/>
        </w:rPr>
      </w:pPr>
      <w:r>
        <w:rPr>
          <w:lang w:val="en-US"/>
        </w:rPr>
        <w:t xml:space="preserve">Although </w:t>
      </w:r>
      <w:r w:rsidR="00AA2ACF">
        <w:rPr>
          <w:lang w:val="en-US"/>
        </w:rPr>
        <w:t>anecdotal</w:t>
      </w:r>
      <w:r>
        <w:rPr>
          <w:lang w:val="en-US"/>
        </w:rPr>
        <w:t xml:space="preserve">, from our </w:t>
      </w:r>
      <w:r w:rsidR="00AA2ACF">
        <w:rPr>
          <w:lang w:val="en-US"/>
        </w:rPr>
        <w:t>conversations</w:t>
      </w:r>
      <w:r>
        <w:rPr>
          <w:lang w:val="en-US"/>
        </w:rPr>
        <w:t xml:space="preserve"> with</w:t>
      </w:r>
      <w:r w:rsidR="00384DAE">
        <w:rPr>
          <w:lang w:val="en-US"/>
        </w:rPr>
        <w:t xml:space="preserve"> bond </w:t>
      </w:r>
      <w:r>
        <w:rPr>
          <w:lang w:val="en-US"/>
        </w:rPr>
        <w:t xml:space="preserve">market </w:t>
      </w:r>
      <w:r w:rsidR="00384DAE">
        <w:rPr>
          <w:lang w:val="en-US"/>
        </w:rPr>
        <w:t xml:space="preserve">practitioners, it is </w:t>
      </w:r>
      <w:r>
        <w:rPr>
          <w:lang w:val="en-US"/>
        </w:rPr>
        <w:t xml:space="preserve">commonly suggested </w:t>
      </w:r>
      <w:r w:rsidR="00384DAE">
        <w:rPr>
          <w:lang w:val="en-US"/>
        </w:rPr>
        <w:t>that some of the key aspects that their clients consider include league table position, bookrunner geography, prior lending relationship</w:t>
      </w:r>
      <w:r w:rsidR="004C334E">
        <w:rPr>
          <w:lang w:val="en-US"/>
        </w:rPr>
        <w:t>,</w:t>
      </w:r>
      <w:r w:rsidR="00384DAE">
        <w:rPr>
          <w:lang w:val="en-US"/>
        </w:rPr>
        <w:t xml:space="preserve"> and distribution network. Therefore, t</w:t>
      </w:r>
      <w:r w:rsidR="009F7639">
        <w:rPr>
          <w:lang w:val="en-US"/>
        </w:rPr>
        <w:t xml:space="preserve">aken together, our data set allows us to consider </w:t>
      </w:r>
      <w:r w:rsidR="00384DAE">
        <w:rPr>
          <w:lang w:val="en-US"/>
        </w:rPr>
        <w:t xml:space="preserve">most of </w:t>
      </w:r>
      <w:r w:rsidR="009F7639">
        <w:rPr>
          <w:lang w:val="en-US"/>
        </w:rPr>
        <w:t xml:space="preserve">the main decision criteria applied by </w:t>
      </w:r>
      <w:r w:rsidR="00384DAE">
        <w:rPr>
          <w:lang w:val="en-US"/>
        </w:rPr>
        <w:t xml:space="preserve">corporate </w:t>
      </w:r>
      <w:r w:rsidR="009F7639">
        <w:rPr>
          <w:lang w:val="en-US"/>
        </w:rPr>
        <w:t>bond issuers</w:t>
      </w:r>
      <w:r w:rsidR="00384DAE">
        <w:rPr>
          <w:lang w:val="en-US"/>
        </w:rPr>
        <w:t xml:space="preserve"> in </w:t>
      </w:r>
      <w:r w:rsidR="003B405E">
        <w:rPr>
          <w:lang w:val="en-US"/>
        </w:rPr>
        <w:t>euro-denominated corpo</w:t>
      </w:r>
      <w:r w:rsidR="00384DAE">
        <w:rPr>
          <w:lang w:val="en-US"/>
        </w:rPr>
        <w:t>r</w:t>
      </w:r>
      <w:r w:rsidR="003B405E">
        <w:rPr>
          <w:lang w:val="en-US"/>
        </w:rPr>
        <w:t>a</w:t>
      </w:r>
      <w:r w:rsidR="00384DAE">
        <w:rPr>
          <w:lang w:val="en-US"/>
        </w:rPr>
        <w:t>te bonds</w:t>
      </w:r>
      <w:r w:rsidR="009F7639">
        <w:rPr>
          <w:lang w:val="en-US"/>
        </w:rPr>
        <w:t xml:space="preserve">. </w:t>
      </w:r>
    </w:p>
    <w:p w14:paraId="1B883086" w14:textId="77777777" w:rsidR="00B471E0" w:rsidRPr="00DC68DD" w:rsidRDefault="0080081A" w:rsidP="001D2FC9">
      <w:pPr>
        <w:pStyle w:val="Heading2"/>
        <w:rPr>
          <w:lang w:val="en-US"/>
        </w:rPr>
      </w:pPr>
      <w:r>
        <w:rPr>
          <w:lang w:val="en-US"/>
        </w:rPr>
        <w:t>3</w:t>
      </w:r>
      <w:r w:rsidR="007723C2" w:rsidRPr="00DC68DD">
        <w:rPr>
          <w:lang w:val="en-US"/>
        </w:rPr>
        <w:t>.4. Model specification and</w:t>
      </w:r>
      <w:r w:rsidR="00B471E0" w:rsidRPr="00DC68DD">
        <w:rPr>
          <w:lang w:val="en-US"/>
        </w:rPr>
        <w:t xml:space="preserve"> instrumental </w:t>
      </w:r>
      <w:r w:rsidR="007723C2" w:rsidRPr="00DC68DD">
        <w:rPr>
          <w:lang w:val="en-US"/>
        </w:rPr>
        <w:t>variable</w:t>
      </w:r>
    </w:p>
    <w:p w14:paraId="52BA39CE" w14:textId="75B12504" w:rsidR="00B471E0" w:rsidRPr="00DC68DD" w:rsidRDefault="002A0417" w:rsidP="002C1072">
      <w:pPr>
        <w:pStyle w:val="ListParagraph"/>
        <w:spacing w:line="480" w:lineRule="auto"/>
        <w:ind w:left="0"/>
        <w:jc w:val="both"/>
        <w:rPr>
          <w:lang w:val="en-US"/>
        </w:rPr>
      </w:pPr>
      <w:r>
        <w:rPr>
          <w:lang w:val="en-US"/>
        </w:rPr>
        <w:t>T</w:t>
      </w:r>
      <w:r w:rsidR="007C617A" w:rsidRPr="00DC68DD">
        <w:rPr>
          <w:lang w:val="en-US"/>
        </w:rPr>
        <w:t xml:space="preserve">he </w:t>
      </w:r>
      <w:r w:rsidR="00DA3F38">
        <w:rPr>
          <w:lang w:val="en-US"/>
        </w:rPr>
        <w:t>structure of the bookrunner syndicate</w:t>
      </w:r>
      <w:r w:rsidR="007C617A" w:rsidRPr="00DC68DD">
        <w:rPr>
          <w:lang w:val="en-US"/>
        </w:rPr>
        <w:t xml:space="preserve"> is determined by issuer and tranche parameters that also influence credit spreads (Gande et al., 1999; Puri, 1996). Therefore, </w:t>
      </w:r>
      <w:r w:rsidR="00210EA2" w:rsidRPr="00DC68DD">
        <w:rPr>
          <w:lang w:val="en-US"/>
        </w:rPr>
        <w:t xml:space="preserve">we </w:t>
      </w:r>
      <w:r>
        <w:rPr>
          <w:lang w:val="en-US"/>
        </w:rPr>
        <w:t xml:space="preserve">estimate </w:t>
      </w:r>
      <w:r w:rsidR="003060A9">
        <w:rPr>
          <w:lang w:val="en-US"/>
        </w:rPr>
        <w:t>our main testing</w:t>
      </w:r>
      <w:r>
        <w:rPr>
          <w:lang w:val="en-US"/>
        </w:rPr>
        <w:t xml:space="preserve"> using</w:t>
      </w:r>
      <w:r w:rsidR="00210EA2" w:rsidRPr="00DC68DD">
        <w:rPr>
          <w:lang w:val="en-US"/>
        </w:rPr>
        <w:t xml:space="preserve"> </w:t>
      </w:r>
      <w:r w:rsidR="00E60114" w:rsidRPr="00DC68DD">
        <w:rPr>
          <w:lang w:val="en-US"/>
        </w:rPr>
        <w:t xml:space="preserve">instrumental variable </w:t>
      </w:r>
      <w:r w:rsidR="00210EA2" w:rsidRPr="00DC68DD">
        <w:rPr>
          <w:lang w:val="en-US"/>
        </w:rPr>
        <w:t xml:space="preserve">two-stage </w:t>
      </w:r>
      <w:r w:rsidR="00E60114">
        <w:rPr>
          <w:lang w:val="en-US"/>
        </w:rPr>
        <w:t xml:space="preserve">least squares (IV-2SLS) </w:t>
      </w:r>
      <w:r w:rsidR="00210EA2" w:rsidRPr="00DC68DD">
        <w:rPr>
          <w:lang w:val="en-US"/>
        </w:rPr>
        <w:t>regressions</w:t>
      </w:r>
      <w:r w:rsidR="007C617A" w:rsidRPr="00DC68DD">
        <w:rPr>
          <w:lang w:val="en-US"/>
        </w:rPr>
        <w:t xml:space="preserve"> that </w:t>
      </w:r>
      <w:r w:rsidR="00656B01">
        <w:rPr>
          <w:lang w:val="en-US"/>
        </w:rPr>
        <w:t xml:space="preserve">attempt to </w:t>
      </w:r>
      <w:r w:rsidR="007C617A" w:rsidRPr="00DC68DD">
        <w:rPr>
          <w:lang w:val="en-US"/>
        </w:rPr>
        <w:t xml:space="preserve">account for endogeneity in the matching </w:t>
      </w:r>
      <w:r>
        <w:rPr>
          <w:lang w:val="en-US"/>
        </w:rPr>
        <w:t>of</w:t>
      </w:r>
      <w:r w:rsidR="007C617A" w:rsidRPr="00DC68DD">
        <w:rPr>
          <w:lang w:val="en-US"/>
        </w:rPr>
        <w:t xml:space="preserve"> issuers and bookrunners</w:t>
      </w:r>
      <w:r w:rsidR="00210EA2" w:rsidRPr="00DC68DD">
        <w:rPr>
          <w:lang w:val="en-US"/>
        </w:rPr>
        <w:t xml:space="preserve">. </w:t>
      </w:r>
      <w:r w:rsidR="00A51DDF">
        <w:rPr>
          <w:lang w:val="en-US"/>
        </w:rPr>
        <w:t>F</w:t>
      </w:r>
      <w:r w:rsidR="00210EA2" w:rsidRPr="00DC68DD">
        <w:rPr>
          <w:lang w:val="en-US"/>
        </w:rPr>
        <w:t xml:space="preserve">irst stage regressions examine the determinants of </w:t>
      </w:r>
      <w:r w:rsidR="00AA53DB">
        <w:rPr>
          <w:lang w:val="en-US"/>
        </w:rPr>
        <w:t xml:space="preserve">the proportion of non-domestic bookrunners in the </w:t>
      </w:r>
      <w:r w:rsidR="00A51DDF">
        <w:rPr>
          <w:lang w:val="en-US"/>
        </w:rPr>
        <w:t xml:space="preserve">issuing </w:t>
      </w:r>
      <w:r w:rsidR="00AA53DB">
        <w:rPr>
          <w:lang w:val="en-US"/>
        </w:rPr>
        <w:t>syndicate</w:t>
      </w:r>
      <w:r w:rsidR="00A51DDF">
        <w:rPr>
          <w:lang w:val="en-US"/>
        </w:rPr>
        <w:t>. S</w:t>
      </w:r>
      <w:r w:rsidR="00210EA2" w:rsidRPr="00DC68DD">
        <w:rPr>
          <w:lang w:val="en-US"/>
        </w:rPr>
        <w:t>econd stage regressions examine the determinants of at-issue credit spreads after-controlling for bookrunner-issuer matching.</w:t>
      </w:r>
      <w:r w:rsidR="001611E2" w:rsidRPr="00DC68DD">
        <w:rPr>
          <w:lang w:val="en-US"/>
        </w:rPr>
        <w:t xml:space="preserve"> </w:t>
      </w:r>
    </w:p>
    <w:p w14:paraId="18DA9B75" w14:textId="5E87D789" w:rsidR="00A24D0C" w:rsidRDefault="002C1072" w:rsidP="00D42536">
      <w:pPr>
        <w:pStyle w:val="ListParagraph"/>
        <w:spacing w:line="480" w:lineRule="auto"/>
        <w:ind w:left="0" w:firstLine="709"/>
        <w:jc w:val="both"/>
        <w:rPr>
          <w:lang w:val="en-US"/>
        </w:rPr>
      </w:pPr>
      <w:r w:rsidRPr="00DC68DD">
        <w:rPr>
          <w:lang w:val="en-US"/>
        </w:rPr>
        <w:lastRenderedPageBreak/>
        <w:t>To estimate</w:t>
      </w:r>
      <w:r w:rsidR="005E2EF4" w:rsidRPr="00DC68DD">
        <w:rPr>
          <w:lang w:val="en-US"/>
        </w:rPr>
        <w:t xml:space="preserve"> these </w:t>
      </w:r>
      <w:r w:rsidR="006D0AEE" w:rsidRPr="00DC68DD">
        <w:rPr>
          <w:lang w:val="en-US"/>
        </w:rPr>
        <w:t>models,</w:t>
      </w:r>
      <w:r w:rsidR="005E2EF4" w:rsidRPr="00DC68DD">
        <w:rPr>
          <w:lang w:val="en-US"/>
        </w:rPr>
        <w:t xml:space="preserve"> </w:t>
      </w:r>
      <w:r w:rsidRPr="00DC68DD">
        <w:rPr>
          <w:lang w:val="en-US"/>
        </w:rPr>
        <w:t xml:space="preserve">we </w:t>
      </w:r>
      <w:r w:rsidR="001611E2" w:rsidRPr="00DC68DD">
        <w:rPr>
          <w:lang w:val="en-US"/>
        </w:rPr>
        <w:t xml:space="preserve">require </w:t>
      </w:r>
      <w:r w:rsidR="00EF78F8" w:rsidRPr="00DC68DD">
        <w:rPr>
          <w:lang w:val="en-US"/>
        </w:rPr>
        <w:t>an</w:t>
      </w:r>
      <w:r w:rsidR="005E2EF4" w:rsidRPr="00DC68DD">
        <w:rPr>
          <w:lang w:val="en-US"/>
        </w:rPr>
        <w:t xml:space="preserve"> </w:t>
      </w:r>
      <w:r w:rsidRPr="00DC68DD">
        <w:rPr>
          <w:lang w:val="en-US"/>
        </w:rPr>
        <w:t xml:space="preserve">instrument </w:t>
      </w:r>
      <w:r w:rsidR="005E2EF4" w:rsidRPr="00DC68DD">
        <w:rPr>
          <w:lang w:val="en-US"/>
        </w:rPr>
        <w:t xml:space="preserve">that </w:t>
      </w:r>
      <w:r w:rsidR="00DA3F38">
        <w:rPr>
          <w:lang w:val="en-US"/>
        </w:rPr>
        <w:t>influences</w:t>
      </w:r>
      <w:r w:rsidR="000066B1" w:rsidRPr="00DC68DD">
        <w:rPr>
          <w:lang w:val="en-US"/>
        </w:rPr>
        <w:t xml:space="preserve"> the </w:t>
      </w:r>
      <w:r w:rsidR="00DA3F38">
        <w:rPr>
          <w:lang w:val="en-US"/>
        </w:rPr>
        <w:t>geographic make-up</w:t>
      </w:r>
      <w:r w:rsidR="000066B1" w:rsidRPr="00DC68DD">
        <w:rPr>
          <w:lang w:val="en-US"/>
        </w:rPr>
        <w:t xml:space="preserve"> of a bookrunner syndicate but not the at-issue credit spread. </w:t>
      </w:r>
      <w:r w:rsidR="00EF78F8" w:rsidRPr="00DC68DD">
        <w:rPr>
          <w:lang w:val="en-US"/>
        </w:rPr>
        <w:t>We follow Butler (2008) and use the annual bond market size in each country</w:t>
      </w:r>
      <w:r w:rsidR="00DA3F38">
        <w:rPr>
          <w:lang w:val="en-US"/>
        </w:rPr>
        <w:t xml:space="preserve"> as our instrument</w:t>
      </w:r>
      <w:r w:rsidR="00EF78F8" w:rsidRPr="00DC68DD">
        <w:rPr>
          <w:lang w:val="en-US"/>
        </w:rPr>
        <w:t xml:space="preserve">. </w:t>
      </w:r>
      <w:r w:rsidR="00EF78F8" w:rsidRPr="007C25BB">
        <w:rPr>
          <w:lang w:val="en-US"/>
        </w:rPr>
        <w:t>We identify bond market size as the total number of bond tranches</w:t>
      </w:r>
      <w:r w:rsidR="00650FB0" w:rsidRPr="007C25BB">
        <w:rPr>
          <w:lang w:val="en-US"/>
        </w:rPr>
        <w:t xml:space="preserve"> (investment</w:t>
      </w:r>
      <w:r w:rsidR="004C334E" w:rsidRPr="007C25BB">
        <w:rPr>
          <w:lang w:val="en-US"/>
        </w:rPr>
        <w:t>-</w:t>
      </w:r>
      <w:r w:rsidR="00650FB0" w:rsidRPr="007C25BB">
        <w:rPr>
          <w:lang w:val="en-US"/>
        </w:rPr>
        <w:t>grade and high-yield)</w:t>
      </w:r>
      <w:r w:rsidR="00EF78F8" w:rsidRPr="007C25BB">
        <w:rPr>
          <w:lang w:val="en-US"/>
        </w:rPr>
        <w:t xml:space="preserve"> issued in each country </w:t>
      </w:r>
      <w:r w:rsidR="00DA3F38" w:rsidRPr="007C25BB">
        <w:rPr>
          <w:lang w:val="en-US"/>
        </w:rPr>
        <w:t>each</w:t>
      </w:r>
      <w:r w:rsidR="00EF78F8" w:rsidRPr="007C25BB">
        <w:rPr>
          <w:lang w:val="en-US"/>
        </w:rPr>
        <w:t xml:space="preserve"> </w:t>
      </w:r>
      <w:r w:rsidR="00D976F3" w:rsidRPr="007C25BB">
        <w:rPr>
          <w:lang w:val="en-US"/>
        </w:rPr>
        <w:t>month</w:t>
      </w:r>
      <w:r w:rsidR="00AA53DB" w:rsidRPr="007C25BB">
        <w:rPr>
          <w:lang w:val="en-US"/>
        </w:rPr>
        <w:t xml:space="preserve"> and</w:t>
      </w:r>
      <w:r w:rsidR="00A81FBD" w:rsidRPr="007C25BB" w:rsidDel="00A81FBD">
        <w:rPr>
          <w:rStyle w:val="FootnoteReference"/>
          <w:lang w:val="en-US"/>
        </w:rPr>
        <w:t xml:space="preserve"> </w:t>
      </w:r>
      <w:r w:rsidR="00AA53DB" w:rsidRPr="007C25BB">
        <w:rPr>
          <w:lang w:val="en-US"/>
        </w:rPr>
        <w:t>w</w:t>
      </w:r>
      <w:r w:rsidR="003060A9" w:rsidRPr="007C25BB">
        <w:rPr>
          <w:lang w:val="en-US"/>
        </w:rPr>
        <w:t>e</w:t>
      </w:r>
      <w:r w:rsidR="00EF78F8" w:rsidRPr="007C25BB">
        <w:rPr>
          <w:lang w:val="en-US"/>
        </w:rPr>
        <w:t xml:space="preserve"> allow the variable to vary by </w:t>
      </w:r>
      <w:r w:rsidR="00D976F3" w:rsidRPr="007C25BB">
        <w:rPr>
          <w:lang w:val="en-US"/>
        </w:rPr>
        <w:t>year-month</w:t>
      </w:r>
      <w:r w:rsidR="00EF78F8" w:rsidRPr="007C25BB">
        <w:rPr>
          <w:lang w:val="en-US"/>
        </w:rPr>
        <w:t xml:space="preserve"> to improve cross-sectional heterogeneity. </w:t>
      </w:r>
      <w:r w:rsidR="00EF78F8" w:rsidRPr="00DC68DD">
        <w:rPr>
          <w:lang w:val="en-US"/>
        </w:rPr>
        <w:t xml:space="preserve">We expect that greater issuance volume in the domestic bond market </w:t>
      </w:r>
      <w:r w:rsidR="003060A9" w:rsidRPr="00DC68DD">
        <w:rPr>
          <w:lang w:val="en-US"/>
        </w:rPr>
        <w:t>encourage</w:t>
      </w:r>
      <w:r w:rsidR="003060A9">
        <w:rPr>
          <w:lang w:val="en-US"/>
        </w:rPr>
        <w:t>s</w:t>
      </w:r>
      <w:r w:rsidR="00EF78F8" w:rsidRPr="00DC68DD">
        <w:rPr>
          <w:lang w:val="en-US"/>
        </w:rPr>
        <w:t xml:space="preserve"> bookrunners to </w:t>
      </w:r>
      <w:r w:rsidR="00E729F5">
        <w:rPr>
          <w:lang w:val="en-US"/>
        </w:rPr>
        <w:t>locate their</w:t>
      </w:r>
      <w:r w:rsidR="00EF78F8" w:rsidRPr="00DC68DD">
        <w:rPr>
          <w:lang w:val="en-US"/>
        </w:rPr>
        <w:t xml:space="preserve"> headquarter</w:t>
      </w:r>
      <w:r w:rsidR="00E729F5">
        <w:rPr>
          <w:lang w:val="en-US"/>
        </w:rPr>
        <w:t>s</w:t>
      </w:r>
      <w:r w:rsidR="00EF78F8" w:rsidRPr="00DC68DD">
        <w:rPr>
          <w:lang w:val="en-US"/>
        </w:rPr>
        <w:t xml:space="preserve"> in </w:t>
      </w:r>
      <w:r w:rsidR="003060A9">
        <w:rPr>
          <w:lang w:val="en-US"/>
        </w:rPr>
        <w:t>that</w:t>
      </w:r>
      <w:r w:rsidR="00EF78F8" w:rsidRPr="00DC68DD">
        <w:rPr>
          <w:lang w:val="en-US"/>
        </w:rPr>
        <w:t xml:space="preserve"> country</w:t>
      </w:r>
      <w:r w:rsidR="00A51DDF">
        <w:rPr>
          <w:lang w:val="en-US"/>
        </w:rPr>
        <w:t>. W</w:t>
      </w:r>
      <w:r w:rsidR="00EF78F8" w:rsidRPr="00DC68DD">
        <w:rPr>
          <w:lang w:val="en-US"/>
        </w:rPr>
        <w:t>e</w:t>
      </w:r>
      <w:r w:rsidR="004C334E">
        <w:rPr>
          <w:lang w:val="en-US"/>
        </w:rPr>
        <w:t>, therefore,</w:t>
      </w:r>
      <w:r w:rsidR="00EF78F8" w:rsidRPr="00DC68DD">
        <w:rPr>
          <w:lang w:val="en-US"/>
        </w:rPr>
        <w:t xml:space="preserve"> </w:t>
      </w:r>
      <w:r w:rsidR="00875862">
        <w:rPr>
          <w:lang w:val="en-US"/>
        </w:rPr>
        <w:t>anticipate</w:t>
      </w:r>
      <w:r w:rsidR="00EF78F8" w:rsidRPr="00DC68DD">
        <w:rPr>
          <w:lang w:val="en-US"/>
        </w:rPr>
        <w:t xml:space="preserve"> </w:t>
      </w:r>
      <w:r w:rsidR="003060A9">
        <w:rPr>
          <w:lang w:val="en-US"/>
        </w:rPr>
        <w:t>a negative relation between national bond market size and the</w:t>
      </w:r>
      <w:r w:rsidR="00EF78F8" w:rsidRPr="00DC68DD">
        <w:rPr>
          <w:lang w:val="en-US"/>
        </w:rPr>
        <w:t xml:space="preserve"> proportion of non-domestic bookrunners in the syndicate.</w:t>
      </w:r>
      <w:r w:rsidR="00FF3D77">
        <w:rPr>
          <w:rStyle w:val="FootnoteReference"/>
          <w:lang w:val="en-US"/>
        </w:rPr>
        <w:footnoteReference w:id="17"/>
      </w:r>
      <w:r w:rsidR="00EF78F8" w:rsidRPr="00DC68DD">
        <w:rPr>
          <w:lang w:val="en-US"/>
        </w:rPr>
        <w:t xml:space="preserve"> </w:t>
      </w:r>
    </w:p>
    <w:p w14:paraId="4D48655C" w14:textId="0FA81483" w:rsidR="00B471E0" w:rsidRPr="00DC68DD" w:rsidRDefault="00EF78F8" w:rsidP="00D42536">
      <w:pPr>
        <w:pStyle w:val="ListParagraph"/>
        <w:spacing w:line="480" w:lineRule="auto"/>
        <w:ind w:left="0" w:firstLine="709"/>
        <w:jc w:val="both"/>
        <w:rPr>
          <w:lang w:val="en-US"/>
        </w:rPr>
      </w:pPr>
      <w:r w:rsidRPr="00DC68DD">
        <w:rPr>
          <w:lang w:val="en-US"/>
        </w:rPr>
        <w:t>We expect no relation between local bond market volume and at-issue credit spreads after controlling for other tranche and issuer characteristics such as rating and tenor</w:t>
      </w:r>
      <w:r w:rsidR="003060A9">
        <w:rPr>
          <w:lang w:val="en-US"/>
        </w:rPr>
        <w:t xml:space="preserve">. </w:t>
      </w:r>
      <w:r w:rsidR="00084282">
        <w:rPr>
          <w:lang w:val="en-US"/>
        </w:rPr>
        <w:t xml:space="preserve">To partially validate the exclusion restriction, </w:t>
      </w:r>
      <w:r w:rsidR="00084282" w:rsidRPr="007C25BB">
        <w:rPr>
          <w:lang w:val="en-US"/>
        </w:rPr>
        <w:t>w</w:t>
      </w:r>
      <w:r w:rsidR="003060A9" w:rsidRPr="007C25BB">
        <w:rPr>
          <w:lang w:val="en-US"/>
        </w:rPr>
        <w:t xml:space="preserve">e confirm </w:t>
      </w:r>
      <w:r w:rsidR="008E5D64" w:rsidRPr="007C25BB">
        <w:rPr>
          <w:lang w:val="en-US"/>
        </w:rPr>
        <w:t xml:space="preserve">that </w:t>
      </w:r>
      <w:r w:rsidR="003060A9" w:rsidRPr="007C25BB">
        <w:rPr>
          <w:lang w:val="en-US"/>
        </w:rPr>
        <w:t>the Ln (No.</w:t>
      </w:r>
      <w:r w:rsidR="00BA6060" w:rsidRPr="007C25BB">
        <w:rPr>
          <w:lang w:val="en-US"/>
        </w:rPr>
        <w:t xml:space="preserve"> </w:t>
      </w:r>
      <w:r w:rsidR="006F150C" w:rsidRPr="007C25BB">
        <w:rPr>
          <w:lang w:val="en-US"/>
        </w:rPr>
        <w:t xml:space="preserve">of </w:t>
      </w:r>
      <w:r w:rsidR="00BA6060" w:rsidRPr="007C25BB">
        <w:rPr>
          <w:lang w:val="en-US"/>
        </w:rPr>
        <w:t xml:space="preserve">Bonds) variable is </w:t>
      </w:r>
      <w:r w:rsidR="00084282" w:rsidRPr="007C25BB">
        <w:rPr>
          <w:lang w:val="en-US"/>
        </w:rPr>
        <w:t>un</w:t>
      </w:r>
      <w:r w:rsidR="00BA6060" w:rsidRPr="007C25BB">
        <w:rPr>
          <w:lang w:val="en-US"/>
        </w:rPr>
        <w:t xml:space="preserve">correlated with </w:t>
      </w:r>
      <w:r w:rsidR="003060A9" w:rsidRPr="007C25BB">
        <w:rPr>
          <w:lang w:val="en-US"/>
        </w:rPr>
        <w:t xml:space="preserve">at-issue </w:t>
      </w:r>
      <w:r w:rsidR="00BA6060" w:rsidRPr="007C25BB">
        <w:rPr>
          <w:lang w:val="en-US"/>
        </w:rPr>
        <w:t>credit spreads (p</w:t>
      </w:r>
      <w:r w:rsidR="00084282" w:rsidRPr="007C25BB">
        <w:rPr>
          <w:lang w:val="en-US"/>
        </w:rPr>
        <w:t>=</w:t>
      </w:r>
      <w:r w:rsidR="00BA6060" w:rsidRPr="007C25BB">
        <w:rPr>
          <w:lang w:val="en-US"/>
        </w:rPr>
        <w:t>0.</w:t>
      </w:r>
      <w:r w:rsidR="00D70FDB" w:rsidRPr="007C25BB">
        <w:rPr>
          <w:lang w:val="en-US"/>
        </w:rPr>
        <w:t>182</w:t>
      </w:r>
      <w:r w:rsidR="00BA6060" w:rsidRPr="007C25BB">
        <w:rPr>
          <w:lang w:val="en-US"/>
        </w:rPr>
        <w:t>).</w:t>
      </w:r>
      <w:r w:rsidR="00DD0AE6" w:rsidRPr="007C25BB">
        <w:rPr>
          <w:lang w:val="en-US"/>
        </w:rPr>
        <w:t xml:space="preserve"> The mean (median) value for </w:t>
      </w:r>
      <w:r w:rsidR="000066B1" w:rsidRPr="007C25BB">
        <w:rPr>
          <w:lang w:val="en-US"/>
        </w:rPr>
        <w:t>annual national bond issuance</w:t>
      </w:r>
      <w:r w:rsidR="00DD0AE6" w:rsidRPr="007C25BB">
        <w:rPr>
          <w:lang w:val="en-US"/>
        </w:rPr>
        <w:t xml:space="preserve"> is </w:t>
      </w:r>
      <w:r w:rsidR="00D70FDB" w:rsidRPr="007C25BB">
        <w:rPr>
          <w:lang w:val="en-US"/>
        </w:rPr>
        <w:t>17.329</w:t>
      </w:r>
      <w:r w:rsidR="000066B1" w:rsidRPr="007C25BB">
        <w:rPr>
          <w:lang w:val="en-US"/>
        </w:rPr>
        <w:t xml:space="preserve"> (</w:t>
      </w:r>
      <w:r w:rsidR="00D70FDB" w:rsidRPr="007C25BB">
        <w:rPr>
          <w:lang w:val="en-US"/>
        </w:rPr>
        <w:t>12</w:t>
      </w:r>
      <w:r w:rsidR="000066B1" w:rsidRPr="007C25BB">
        <w:rPr>
          <w:lang w:val="en-US"/>
        </w:rPr>
        <w:t>.0</w:t>
      </w:r>
      <w:r w:rsidR="00D70FDB" w:rsidRPr="007C25BB">
        <w:rPr>
          <w:lang w:val="en-US"/>
        </w:rPr>
        <w:t>0</w:t>
      </w:r>
      <w:r w:rsidR="000066B1" w:rsidRPr="007C25BB">
        <w:rPr>
          <w:lang w:val="en-US"/>
        </w:rPr>
        <w:t>0)</w:t>
      </w:r>
      <w:r w:rsidR="002A0417" w:rsidRPr="007C25BB">
        <w:rPr>
          <w:lang w:val="en-US"/>
        </w:rPr>
        <w:t xml:space="preserve"> issues</w:t>
      </w:r>
      <w:r w:rsidR="000066B1" w:rsidRPr="007C25BB">
        <w:rPr>
          <w:lang w:val="en-US"/>
        </w:rPr>
        <w:t>, with variation by country and year</w:t>
      </w:r>
      <w:r w:rsidR="006F150C" w:rsidRPr="007C25BB">
        <w:rPr>
          <w:lang w:val="en-US"/>
        </w:rPr>
        <w:t>-month</w:t>
      </w:r>
      <w:r w:rsidR="000066B1" w:rsidRPr="007C25BB">
        <w:rPr>
          <w:lang w:val="en-US"/>
        </w:rPr>
        <w:t>.</w:t>
      </w:r>
    </w:p>
    <w:p w14:paraId="613678D7" w14:textId="77777777" w:rsidR="007723C2" w:rsidRPr="00DC68DD" w:rsidRDefault="0080081A" w:rsidP="001D2FC9">
      <w:pPr>
        <w:pStyle w:val="Heading2"/>
        <w:rPr>
          <w:lang w:val="en-US"/>
        </w:rPr>
      </w:pPr>
      <w:r>
        <w:rPr>
          <w:lang w:val="en-US"/>
        </w:rPr>
        <w:t>3</w:t>
      </w:r>
      <w:r w:rsidR="007723C2" w:rsidRPr="00DC68DD">
        <w:rPr>
          <w:lang w:val="en-US"/>
        </w:rPr>
        <w:t>.5. Control variables</w:t>
      </w:r>
    </w:p>
    <w:p w14:paraId="01C6C1A0" w14:textId="0A86C2D7" w:rsidR="007938DB" w:rsidRPr="00DC68DD" w:rsidRDefault="00D40C6F" w:rsidP="007723C2">
      <w:pPr>
        <w:pStyle w:val="ListParagraph"/>
        <w:spacing w:line="480" w:lineRule="auto"/>
        <w:ind w:left="0"/>
        <w:jc w:val="both"/>
        <w:rPr>
          <w:lang w:val="en-US"/>
        </w:rPr>
      </w:pPr>
      <w:r w:rsidRPr="00DC68DD">
        <w:rPr>
          <w:lang w:val="en-US"/>
        </w:rPr>
        <w:t>We control</w:t>
      </w:r>
      <w:r w:rsidR="007938DB" w:rsidRPr="00DC68DD">
        <w:rPr>
          <w:lang w:val="en-US"/>
        </w:rPr>
        <w:t xml:space="preserve"> for </w:t>
      </w:r>
      <w:r w:rsidR="005E2EF4" w:rsidRPr="00DC68DD">
        <w:rPr>
          <w:lang w:val="en-US"/>
        </w:rPr>
        <w:t xml:space="preserve">a range of other firm and tranche-specific variables that </w:t>
      </w:r>
      <w:r w:rsidR="007938DB" w:rsidRPr="00DC68DD">
        <w:rPr>
          <w:lang w:val="en-US"/>
        </w:rPr>
        <w:t xml:space="preserve">prior studies </w:t>
      </w:r>
      <w:r w:rsidR="005E2EF4" w:rsidRPr="00DC68DD">
        <w:rPr>
          <w:lang w:val="en-US"/>
        </w:rPr>
        <w:t xml:space="preserve">have found to influence the at-issue credit spread </w:t>
      </w:r>
      <w:r w:rsidR="007938DB" w:rsidRPr="00DC68DD">
        <w:rPr>
          <w:lang w:val="en-US"/>
        </w:rPr>
        <w:t xml:space="preserve">and </w:t>
      </w:r>
      <w:r w:rsidR="005E2EF4" w:rsidRPr="00DC68DD">
        <w:rPr>
          <w:lang w:val="en-US"/>
        </w:rPr>
        <w:t>the choice of bookrunner</w:t>
      </w:r>
      <w:r w:rsidR="003060A9">
        <w:rPr>
          <w:lang w:val="en-US"/>
        </w:rPr>
        <w:t>s</w:t>
      </w:r>
      <w:r w:rsidR="005E2EF4" w:rsidRPr="00DC68DD">
        <w:rPr>
          <w:lang w:val="en-US"/>
        </w:rPr>
        <w:t>.</w:t>
      </w:r>
      <w:r w:rsidR="005B7FB1" w:rsidRPr="00DC68DD">
        <w:rPr>
          <w:rStyle w:val="FootnoteReference"/>
          <w:lang w:val="en-US"/>
        </w:rPr>
        <w:footnoteReference w:id="18"/>
      </w:r>
      <w:r w:rsidR="005E2EF4" w:rsidRPr="00DC68DD">
        <w:rPr>
          <w:lang w:val="en-US"/>
        </w:rPr>
        <w:t xml:space="preserve"> </w:t>
      </w:r>
      <w:r w:rsidR="003B2650" w:rsidRPr="00DC68DD">
        <w:rPr>
          <w:lang w:val="en-US"/>
        </w:rPr>
        <w:t xml:space="preserve">The firm </w:t>
      </w:r>
      <w:r w:rsidR="007938DB" w:rsidRPr="00DC68DD">
        <w:rPr>
          <w:lang w:val="en-US"/>
        </w:rPr>
        <w:t xml:space="preserve">characteristics </w:t>
      </w:r>
      <w:r w:rsidR="003B2650" w:rsidRPr="00DC68DD">
        <w:rPr>
          <w:lang w:val="en-US"/>
        </w:rPr>
        <w:t>we</w:t>
      </w:r>
      <w:r w:rsidR="005E2EF4" w:rsidRPr="00DC68DD">
        <w:rPr>
          <w:lang w:val="en-US"/>
        </w:rPr>
        <w:t xml:space="preserve"> </w:t>
      </w:r>
      <w:r w:rsidR="00DA3F38">
        <w:rPr>
          <w:lang w:val="en-US"/>
        </w:rPr>
        <w:t>examine</w:t>
      </w:r>
      <w:r w:rsidR="005E2EF4" w:rsidRPr="00DC68DD">
        <w:rPr>
          <w:lang w:val="en-US"/>
        </w:rPr>
        <w:t xml:space="preserve"> are size, profitability, </w:t>
      </w:r>
      <w:r w:rsidR="00AF053E" w:rsidRPr="00DC68DD">
        <w:rPr>
          <w:lang w:val="en-US"/>
        </w:rPr>
        <w:t xml:space="preserve">the </w:t>
      </w:r>
      <w:r w:rsidR="007723C2" w:rsidRPr="00DC68DD">
        <w:rPr>
          <w:lang w:val="en-US"/>
        </w:rPr>
        <w:t>proportion</w:t>
      </w:r>
      <w:r w:rsidR="005E2EF4" w:rsidRPr="00DC68DD">
        <w:rPr>
          <w:lang w:val="en-US"/>
        </w:rPr>
        <w:t xml:space="preserve"> of intangible assets, leverage, growth opportunities</w:t>
      </w:r>
      <w:r w:rsidR="00DA3F38">
        <w:rPr>
          <w:lang w:val="en-US"/>
        </w:rPr>
        <w:t>,</w:t>
      </w:r>
      <w:r w:rsidR="005E2EF4" w:rsidRPr="00DC68DD">
        <w:rPr>
          <w:lang w:val="en-US"/>
        </w:rPr>
        <w:t xml:space="preserve"> and </w:t>
      </w:r>
      <w:r w:rsidR="003060A9">
        <w:rPr>
          <w:lang w:val="en-US"/>
        </w:rPr>
        <w:t>a majority government</w:t>
      </w:r>
      <w:r w:rsidR="005E2EF4" w:rsidRPr="00DC68DD">
        <w:rPr>
          <w:lang w:val="en-US"/>
        </w:rPr>
        <w:t xml:space="preserve"> owne</w:t>
      </w:r>
      <w:r w:rsidR="00072926" w:rsidRPr="00DC68DD">
        <w:rPr>
          <w:lang w:val="en-US"/>
        </w:rPr>
        <w:t>rship</w:t>
      </w:r>
      <w:r w:rsidR="003060A9">
        <w:rPr>
          <w:lang w:val="en-US"/>
        </w:rPr>
        <w:t xml:space="preserve"> dummy</w:t>
      </w:r>
      <w:r w:rsidR="005E2EF4" w:rsidRPr="00DC68DD">
        <w:rPr>
          <w:lang w:val="en-US"/>
        </w:rPr>
        <w:t>.</w:t>
      </w:r>
      <w:r w:rsidR="007938DB" w:rsidRPr="00DC68DD">
        <w:rPr>
          <w:lang w:val="en-US"/>
        </w:rPr>
        <w:t xml:space="preserve"> </w:t>
      </w:r>
      <w:r w:rsidR="00DA3F38" w:rsidRPr="007C25BB">
        <w:rPr>
          <w:lang w:val="en-US"/>
        </w:rPr>
        <w:t>The a</w:t>
      </w:r>
      <w:r w:rsidR="005E2EF4" w:rsidRPr="007C25BB">
        <w:rPr>
          <w:lang w:val="en-US"/>
        </w:rPr>
        <w:t xml:space="preserve">verage </w:t>
      </w:r>
      <w:r w:rsidR="00242897" w:rsidRPr="007C25BB">
        <w:rPr>
          <w:lang w:val="en-US"/>
        </w:rPr>
        <w:t>issuer has EUR</w:t>
      </w:r>
      <w:r w:rsidR="00AA2ACF">
        <w:rPr>
          <w:lang w:val="en-US"/>
        </w:rPr>
        <w:t xml:space="preserve"> </w:t>
      </w:r>
      <w:r w:rsidR="00CB4F19" w:rsidRPr="007C25BB">
        <w:rPr>
          <w:lang w:val="en-US"/>
        </w:rPr>
        <w:t>73.128</w:t>
      </w:r>
      <w:r w:rsidR="00AA2ACF">
        <w:rPr>
          <w:lang w:val="en-US"/>
        </w:rPr>
        <w:t xml:space="preserve"> </w:t>
      </w:r>
      <w:r w:rsidR="005E2EF4" w:rsidRPr="007C25BB">
        <w:rPr>
          <w:lang w:val="en-US"/>
        </w:rPr>
        <w:t>bn of assets,</w:t>
      </w:r>
      <w:r w:rsidR="00F84658" w:rsidRPr="007C25BB">
        <w:rPr>
          <w:lang w:val="en-US"/>
        </w:rPr>
        <w:t xml:space="preserve"> leverage of </w:t>
      </w:r>
      <w:r w:rsidR="00CB4F19" w:rsidRPr="007C25BB">
        <w:rPr>
          <w:lang w:val="en-US"/>
        </w:rPr>
        <w:t>32.6</w:t>
      </w:r>
      <w:r w:rsidR="00F84658" w:rsidRPr="007C25BB">
        <w:rPr>
          <w:lang w:val="en-US"/>
        </w:rPr>
        <w:t>%</w:t>
      </w:r>
      <w:r w:rsidR="00DA3F38" w:rsidRPr="007C25BB">
        <w:rPr>
          <w:lang w:val="en-US"/>
        </w:rPr>
        <w:t>,</w:t>
      </w:r>
      <w:r w:rsidR="00F84658" w:rsidRPr="007C25BB">
        <w:rPr>
          <w:lang w:val="en-US"/>
        </w:rPr>
        <w:t xml:space="preserve"> and</w:t>
      </w:r>
      <w:r w:rsidR="005E2EF4" w:rsidRPr="007C25BB">
        <w:rPr>
          <w:lang w:val="en-US"/>
        </w:rPr>
        <w:t xml:space="preserve"> </w:t>
      </w:r>
      <w:r w:rsidR="003B2650" w:rsidRPr="007C25BB">
        <w:rPr>
          <w:lang w:val="en-US"/>
        </w:rPr>
        <w:t>ge</w:t>
      </w:r>
      <w:r w:rsidR="00242897" w:rsidRPr="007C25BB">
        <w:rPr>
          <w:lang w:val="en-US"/>
        </w:rPr>
        <w:t xml:space="preserve">nerates operating profit of </w:t>
      </w:r>
      <w:r w:rsidR="00CB4F19" w:rsidRPr="007C25BB">
        <w:rPr>
          <w:lang w:val="en-US"/>
        </w:rPr>
        <w:t>11.3</w:t>
      </w:r>
      <w:r w:rsidR="005E2EF4" w:rsidRPr="007C25BB">
        <w:rPr>
          <w:lang w:val="en-US"/>
        </w:rPr>
        <w:t>% of total assets</w:t>
      </w:r>
      <w:r w:rsidR="004B3A04" w:rsidRPr="007C25BB">
        <w:rPr>
          <w:lang w:val="en-US"/>
        </w:rPr>
        <w:t>.</w:t>
      </w:r>
      <w:r w:rsidR="005E2EF4" w:rsidRPr="007C25BB">
        <w:rPr>
          <w:lang w:val="en-US"/>
        </w:rPr>
        <w:t xml:space="preserve"> </w:t>
      </w:r>
      <w:r w:rsidR="00CB4F19" w:rsidRPr="007C25BB">
        <w:rPr>
          <w:lang w:val="en-US"/>
        </w:rPr>
        <w:t>4.3</w:t>
      </w:r>
      <w:r w:rsidR="00F84658" w:rsidRPr="007C25BB">
        <w:rPr>
          <w:lang w:val="en-US"/>
        </w:rPr>
        <w:t>% of our sample</w:t>
      </w:r>
      <w:r w:rsidR="00F84658" w:rsidRPr="007C25BB" w:rsidDel="00F84658">
        <w:rPr>
          <w:lang w:val="en-US"/>
        </w:rPr>
        <w:t xml:space="preserve"> </w:t>
      </w:r>
      <w:r w:rsidR="007938DB" w:rsidRPr="007C25BB">
        <w:rPr>
          <w:lang w:val="en-US"/>
        </w:rPr>
        <w:t xml:space="preserve">firms </w:t>
      </w:r>
      <w:r w:rsidR="00F84658" w:rsidRPr="007C25BB">
        <w:rPr>
          <w:lang w:val="en-US"/>
        </w:rPr>
        <w:t>have majority government ownership</w:t>
      </w:r>
      <w:r w:rsidR="007938DB" w:rsidRPr="007C25BB">
        <w:rPr>
          <w:lang w:val="en-US"/>
        </w:rPr>
        <w:t xml:space="preserve">. </w:t>
      </w:r>
      <w:r w:rsidR="007938DB" w:rsidRPr="00DC68DD">
        <w:rPr>
          <w:lang w:val="en-US"/>
        </w:rPr>
        <w:t xml:space="preserve">Credit spreads for such firms are lower due </w:t>
      </w:r>
      <w:r w:rsidR="00084282">
        <w:rPr>
          <w:lang w:val="en-US"/>
        </w:rPr>
        <w:t xml:space="preserve">to </w:t>
      </w:r>
      <w:r w:rsidR="00AF053E" w:rsidRPr="00DC68DD">
        <w:rPr>
          <w:lang w:val="en-US"/>
        </w:rPr>
        <w:t xml:space="preserve">expected </w:t>
      </w:r>
      <w:r w:rsidR="007938DB" w:rsidRPr="00DC68DD">
        <w:rPr>
          <w:lang w:val="en-US"/>
        </w:rPr>
        <w:t>government support in case</w:t>
      </w:r>
      <w:r w:rsidR="00AF053E" w:rsidRPr="00DC68DD">
        <w:rPr>
          <w:lang w:val="en-US"/>
        </w:rPr>
        <w:t>s</w:t>
      </w:r>
      <w:r w:rsidR="00DA3F38">
        <w:rPr>
          <w:lang w:val="en-US"/>
        </w:rPr>
        <w:t xml:space="preserve"> of financial distress</w:t>
      </w:r>
      <w:r w:rsidR="007938DB" w:rsidRPr="00DC68DD">
        <w:rPr>
          <w:lang w:val="en-US"/>
        </w:rPr>
        <w:t xml:space="preserve">. </w:t>
      </w:r>
      <w:r w:rsidR="002D4692">
        <w:rPr>
          <w:lang w:val="en-US"/>
        </w:rPr>
        <w:t>These</w:t>
      </w:r>
      <w:r w:rsidR="00F84658" w:rsidRPr="00DC68DD">
        <w:rPr>
          <w:lang w:val="en-US"/>
        </w:rPr>
        <w:t xml:space="preserve"> </w:t>
      </w:r>
      <w:r w:rsidR="00781924">
        <w:rPr>
          <w:lang w:val="en-US"/>
        </w:rPr>
        <w:t>figures</w:t>
      </w:r>
      <w:r w:rsidR="00F84658" w:rsidRPr="00DC68DD">
        <w:rPr>
          <w:lang w:val="en-US"/>
        </w:rPr>
        <w:t xml:space="preserve"> show that o</w:t>
      </w:r>
      <w:r w:rsidR="007938DB" w:rsidRPr="00DC68DD">
        <w:rPr>
          <w:lang w:val="en-US"/>
        </w:rPr>
        <w:t>ur sample</w:t>
      </w:r>
      <w:r w:rsidR="005E2EF4" w:rsidRPr="00DC68DD">
        <w:rPr>
          <w:lang w:val="en-US"/>
        </w:rPr>
        <w:t xml:space="preserve"> firms</w:t>
      </w:r>
      <w:r w:rsidR="003B2650" w:rsidRPr="00DC68DD">
        <w:rPr>
          <w:lang w:val="en-US"/>
        </w:rPr>
        <w:t xml:space="preserve"> are </w:t>
      </w:r>
      <w:r w:rsidR="009D2C20">
        <w:rPr>
          <w:lang w:val="en-US"/>
        </w:rPr>
        <w:t xml:space="preserve">generally </w:t>
      </w:r>
      <w:r w:rsidR="00AF053E" w:rsidRPr="00DC68DD">
        <w:rPr>
          <w:lang w:val="en-US"/>
        </w:rPr>
        <w:t xml:space="preserve">large and </w:t>
      </w:r>
      <w:r w:rsidR="007938DB" w:rsidRPr="00DC68DD">
        <w:rPr>
          <w:lang w:val="en-US"/>
        </w:rPr>
        <w:t>low credit risk</w:t>
      </w:r>
      <w:r w:rsidR="005E2EF4" w:rsidRPr="00DC68DD">
        <w:rPr>
          <w:lang w:val="en-US"/>
        </w:rPr>
        <w:t xml:space="preserve"> </w:t>
      </w:r>
      <w:r w:rsidR="009D2C20">
        <w:rPr>
          <w:lang w:val="en-US"/>
        </w:rPr>
        <w:t xml:space="preserve">bond </w:t>
      </w:r>
      <w:r w:rsidR="007938DB" w:rsidRPr="00DC68DD">
        <w:rPr>
          <w:lang w:val="en-US"/>
        </w:rPr>
        <w:t xml:space="preserve">issuers. </w:t>
      </w:r>
    </w:p>
    <w:p w14:paraId="40FED1B8" w14:textId="5D950A22" w:rsidR="005E2EF4" w:rsidRPr="00DC68DD" w:rsidRDefault="005E2EF4" w:rsidP="008C1E5C">
      <w:pPr>
        <w:pStyle w:val="ListParagraph"/>
        <w:spacing w:line="480" w:lineRule="auto"/>
        <w:ind w:left="0" w:firstLine="709"/>
        <w:jc w:val="both"/>
        <w:rPr>
          <w:lang w:val="en-US"/>
        </w:rPr>
      </w:pPr>
      <w:r w:rsidRPr="00DC68DD">
        <w:rPr>
          <w:lang w:val="en-US"/>
        </w:rPr>
        <w:lastRenderedPageBreak/>
        <w:t>T</w:t>
      </w:r>
      <w:r w:rsidR="00B90380" w:rsidRPr="00DC68DD">
        <w:rPr>
          <w:lang w:val="en-US"/>
        </w:rPr>
        <w:t>he tranche-specific parameters we</w:t>
      </w:r>
      <w:r w:rsidRPr="00DC68DD">
        <w:rPr>
          <w:lang w:val="en-US"/>
        </w:rPr>
        <w:t xml:space="preserve"> </w:t>
      </w:r>
      <w:r w:rsidR="009E559F">
        <w:rPr>
          <w:lang w:val="en-US"/>
        </w:rPr>
        <w:t>include</w:t>
      </w:r>
      <w:r w:rsidR="004B3A04" w:rsidRPr="00DC68DD">
        <w:rPr>
          <w:lang w:val="en-US"/>
        </w:rPr>
        <w:t xml:space="preserve"> are</w:t>
      </w:r>
      <w:r w:rsidRPr="00DC68DD">
        <w:rPr>
          <w:lang w:val="en-US"/>
        </w:rPr>
        <w:t xml:space="preserve"> </w:t>
      </w:r>
      <w:r w:rsidR="004B3A04" w:rsidRPr="00DC68DD">
        <w:rPr>
          <w:lang w:val="en-US"/>
        </w:rPr>
        <w:t>credit</w:t>
      </w:r>
      <w:r w:rsidRPr="00DC68DD">
        <w:rPr>
          <w:lang w:val="en-US"/>
        </w:rPr>
        <w:t xml:space="preserve"> rating, maturity, </w:t>
      </w:r>
      <w:r w:rsidR="007938DB" w:rsidRPr="00DC68DD">
        <w:rPr>
          <w:lang w:val="en-US"/>
        </w:rPr>
        <w:t xml:space="preserve">tranche </w:t>
      </w:r>
      <w:r w:rsidRPr="00DC68DD">
        <w:rPr>
          <w:lang w:val="en-US"/>
        </w:rPr>
        <w:t>size</w:t>
      </w:r>
      <w:r w:rsidR="00DA3F38">
        <w:rPr>
          <w:lang w:val="en-US"/>
        </w:rPr>
        <w:t>,</w:t>
      </w:r>
      <w:r w:rsidRPr="00DC68DD">
        <w:rPr>
          <w:lang w:val="en-US"/>
        </w:rPr>
        <w:t xml:space="preserve"> </w:t>
      </w:r>
      <w:r w:rsidR="009B2489">
        <w:rPr>
          <w:lang w:val="en-US"/>
        </w:rPr>
        <w:t>and a dummy for</w:t>
      </w:r>
      <w:r w:rsidRPr="00DC68DD">
        <w:rPr>
          <w:lang w:val="en-US"/>
        </w:rPr>
        <w:t xml:space="preserve"> multi-tranche offering</w:t>
      </w:r>
      <w:r w:rsidR="009B2489">
        <w:rPr>
          <w:lang w:val="en-US"/>
        </w:rPr>
        <w:t xml:space="preserve">s. We also add </w:t>
      </w:r>
      <w:r w:rsidR="00E729F5">
        <w:rPr>
          <w:lang w:val="en-US"/>
        </w:rPr>
        <w:t>a variable for the spread between AA and BBB</w:t>
      </w:r>
      <w:r w:rsidR="004C334E">
        <w:rPr>
          <w:lang w:val="en-US"/>
        </w:rPr>
        <w:t>-</w:t>
      </w:r>
      <w:r w:rsidR="00E729F5">
        <w:rPr>
          <w:lang w:val="en-US"/>
        </w:rPr>
        <w:t>rated bonds in the calendar quarter of the focal bond issue</w:t>
      </w:r>
      <w:r w:rsidR="009B2489">
        <w:rPr>
          <w:lang w:val="en-US"/>
        </w:rPr>
        <w:t xml:space="preserve"> to control for changes in the relative risk premium on </w:t>
      </w:r>
      <w:r w:rsidR="001F60B8">
        <w:rPr>
          <w:lang w:val="en-US"/>
        </w:rPr>
        <w:t>low</w:t>
      </w:r>
      <w:r w:rsidR="004C334E">
        <w:rPr>
          <w:lang w:val="en-US"/>
        </w:rPr>
        <w:t>-</w:t>
      </w:r>
      <w:r w:rsidR="009B2489">
        <w:rPr>
          <w:lang w:val="en-US"/>
        </w:rPr>
        <w:t>rated bonds</w:t>
      </w:r>
      <w:r w:rsidRPr="00DC68DD">
        <w:rPr>
          <w:lang w:val="en-US"/>
        </w:rPr>
        <w:t xml:space="preserve">. </w:t>
      </w:r>
      <w:r w:rsidR="00486CEB">
        <w:rPr>
          <w:lang w:val="en-US"/>
        </w:rPr>
        <w:t>W</w:t>
      </w:r>
      <w:r w:rsidR="00486CEB" w:rsidRPr="00AA2ACF">
        <w:rPr>
          <w:lang w:val="en-US"/>
        </w:rPr>
        <w:t>e</w:t>
      </w:r>
      <w:r w:rsidR="00486CEB" w:rsidRPr="004D7472">
        <w:rPr>
          <w:color w:val="FF0000"/>
          <w:lang w:val="en-US"/>
        </w:rPr>
        <w:t xml:space="preserve"> </w:t>
      </w:r>
      <w:r w:rsidR="00DA3F38" w:rsidRPr="007C25BB">
        <w:rPr>
          <w:lang w:val="en-US"/>
        </w:rPr>
        <w:t xml:space="preserve">measure </w:t>
      </w:r>
      <w:r w:rsidR="001F60B8" w:rsidRPr="007C25BB">
        <w:rPr>
          <w:lang w:val="en-US"/>
        </w:rPr>
        <w:t xml:space="preserve">credit risk </w:t>
      </w:r>
      <w:r w:rsidR="00DA3F38" w:rsidRPr="007C25BB">
        <w:rPr>
          <w:lang w:val="en-US"/>
        </w:rPr>
        <w:t xml:space="preserve">using </w:t>
      </w:r>
      <w:r w:rsidRPr="007C25BB">
        <w:rPr>
          <w:lang w:val="en-US"/>
        </w:rPr>
        <w:t>a numeric</w:t>
      </w:r>
      <w:r w:rsidR="00DA3F38" w:rsidRPr="007C25BB">
        <w:rPr>
          <w:lang w:val="en-US"/>
        </w:rPr>
        <w:t>al</w:t>
      </w:r>
      <w:r w:rsidRPr="007C25BB">
        <w:rPr>
          <w:lang w:val="en-US"/>
        </w:rPr>
        <w:t xml:space="preserve"> scale of the S&amp;P tranche rating, ascending from 1 for AAA to 10 for BBB-</w:t>
      </w:r>
      <w:r w:rsidR="00DA3F38" w:rsidRPr="007C25BB">
        <w:rPr>
          <w:lang w:val="en-US"/>
        </w:rPr>
        <w:t>,</w:t>
      </w:r>
      <w:r w:rsidRPr="007C25BB">
        <w:rPr>
          <w:lang w:val="en-US"/>
        </w:rPr>
        <w:t xml:space="preserve"> and 11 for unrated tranches.</w:t>
      </w:r>
      <w:r w:rsidR="00B90380" w:rsidRPr="007C25BB">
        <w:rPr>
          <w:lang w:val="en-US"/>
        </w:rPr>
        <w:t xml:space="preserve"> The sample mean of </w:t>
      </w:r>
      <w:r w:rsidR="006F4923" w:rsidRPr="007C25BB">
        <w:rPr>
          <w:lang w:val="en-US"/>
        </w:rPr>
        <w:t>7.728</w:t>
      </w:r>
      <w:r w:rsidRPr="007C25BB">
        <w:rPr>
          <w:lang w:val="en-US"/>
        </w:rPr>
        <w:t xml:space="preserve"> lies between an A- and a BBB+.</w:t>
      </w:r>
      <w:r w:rsidR="00E729F5" w:rsidRPr="007C25BB">
        <w:rPr>
          <w:lang w:val="en-US"/>
        </w:rPr>
        <w:t xml:space="preserve"> </w:t>
      </w:r>
      <w:r w:rsidR="009B2489" w:rsidRPr="007C25BB">
        <w:rPr>
          <w:lang w:val="en-US"/>
        </w:rPr>
        <w:t>W</w:t>
      </w:r>
      <w:r w:rsidR="00E729F5" w:rsidRPr="007C25BB">
        <w:rPr>
          <w:lang w:val="en-US"/>
        </w:rPr>
        <w:t>e follow convention in bond market studies and include dummies for each tranche rating</w:t>
      </w:r>
      <w:r w:rsidR="009B2489" w:rsidRPr="007C25BB">
        <w:rPr>
          <w:lang w:val="en-US"/>
        </w:rPr>
        <w:t xml:space="preserve"> in regressions (Fang, 2005)</w:t>
      </w:r>
      <w:r w:rsidR="00E729F5" w:rsidRPr="007C25BB">
        <w:rPr>
          <w:lang w:val="en-US"/>
        </w:rPr>
        <w:t>.</w:t>
      </w:r>
      <w:r w:rsidR="0055377D" w:rsidRPr="007C25BB">
        <w:rPr>
          <w:rStyle w:val="FootnoteReference"/>
          <w:lang w:val="en-US"/>
        </w:rPr>
        <w:footnoteReference w:id="19"/>
      </w:r>
      <w:r w:rsidRPr="007C25BB">
        <w:rPr>
          <w:lang w:val="en-US"/>
        </w:rPr>
        <w:t xml:space="preserve"> </w:t>
      </w:r>
      <w:r w:rsidR="00AF053E" w:rsidRPr="007C25BB">
        <w:rPr>
          <w:lang w:val="en-US"/>
        </w:rPr>
        <w:t>T</w:t>
      </w:r>
      <w:r w:rsidR="00B90380" w:rsidRPr="007C25BB">
        <w:rPr>
          <w:lang w:val="en-US"/>
        </w:rPr>
        <w:t xml:space="preserve">he </w:t>
      </w:r>
      <w:r w:rsidR="00F84658" w:rsidRPr="007C25BB">
        <w:rPr>
          <w:lang w:val="en-US"/>
        </w:rPr>
        <w:t xml:space="preserve">mean </w:t>
      </w:r>
      <w:r w:rsidR="00B90380" w:rsidRPr="007C25BB">
        <w:rPr>
          <w:lang w:val="en-US"/>
        </w:rPr>
        <w:t xml:space="preserve">tranche tenor is </w:t>
      </w:r>
      <w:r w:rsidR="006F4923" w:rsidRPr="007C25BB">
        <w:rPr>
          <w:lang w:val="en-US"/>
        </w:rPr>
        <w:t>7.78</w:t>
      </w:r>
      <w:r w:rsidR="00B90380" w:rsidRPr="007C25BB">
        <w:rPr>
          <w:lang w:val="en-US"/>
        </w:rPr>
        <w:t xml:space="preserve"> years and </w:t>
      </w:r>
      <w:r w:rsidR="004C334E" w:rsidRPr="007C25BB">
        <w:rPr>
          <w:lang w:val="en-US"/>
        </w:rPr>
        <w:t xml:space="preserve">the </w:t>
      </w:r>
      <w:r w:rsidR="00B90380" w:rsidRPr="007C25BB">
        <w:rPr>
          <w:lang w:val="en-US"/>
        </w:rPr>
        <w:t>size is EUR 0.</w:t>
      </w:r>
      <w:r w:rsidR="006F4923" w:rsidRPr="007C25BB">
        <w:rPr>
          <w:lang w:val="en-US"/>
        </w:rPr>
        <w:t>779</w:t>
      </w:r>
      <w:r w:rsidR="000579A4" w:rsidRPr="007C25BB">
        <w:rPr>
          <w:lang w:val="en-US"/>
        </w:rPr>
        <w:t>bn</w:t>
      </w:r>
      <w:r w:rsidR="00F84658" w:rsidRPr="007C25BB">
        <w:rPr>
          <w:lang w:val="en-US"/>
        </w:rPr>
        <w:t>. Both are in line with benchmark index standards.</w:t>
      </w:r>
      <w:r w:rsidR="00837B78" w:rsidRPr="007C25BB">
        <w:rPr>
          <w:rStyle w:val="FootnoteReference"/>
          <w:lang w:val="en-US"/>
        </w:rPr>
        <w:footnoteReference w:id="20"/>
      </w:r>
      <w:r w:rsidR="00F84658" w:rsidRPr="007C25BB">
        <w:rPr>
          <w:lang w:val="en-US"/>
        </w:rPr>
        <w:t xml:space="preserve"> </w:t>
      </w:r>
      <w:r w:rsidR="006F4923" w:rsidRPr="007C25BB">
        <w:rPr>
          <w:lang w:val="en-US"/>
        </w:rPr>
        <w:t>44.2</w:t>
      </w:r>
      <w:r w:rsidR="00F84658" w:rsidRPr="007C25BB">
        <w:rPr>
          <w:lang w:val="en-US"/>
        </w:rPr>
        <w:t>% of our sample tranches are part of multi-tranche offers</w:t>
      </w:r>
      <w:r w:rsidRPr="007C25BB">
        <w:rPr>
          <w:lang w:val="en-US"/>
        </w:rPr>
        <w:t xml:space="preserve">. </w:t>
      </w:r>
      <w:r w:rsidR="009B2489" w:rsidRPr="007C25BB">
        <w:rPr>
          <w:lang w:val="en-US"/>
        </w:rPr>
        <w:t>The mean (median) spread between AA and BBB</w:t>
      </w:r>
      <w:r w:rsidR="004C334E" w:rsidRPr="007C25BB">
        <w:rPr>
          <w:lang w:val="en-US"/>
        </w:rPr>
        <w:t>-</w:t>
      </w:r>
      <w:r w:rsidR="009B2489" w:rsidRPr="007C25BB">
        <w:rPr>
          <w:lang w:val="en-US"/>
        </w:rPr>
        <w:t xml:space="preserve">rated bonds is </w:t>
      </w:r>
      <w:r w:rsidR="006F4923" w:rsidRPr="007C25BB">
        <w:rPr>
          <w:lang w:val="en-US"/>
        </w:rPr>
        <w:t>1.263</w:t>
      </w:r>
      <w:r w:rsidR="009B2489" w:rsidRPr="007C25BB">
        <w:rPr>
          <w:lang w:val="en-US"/>
        </w:rPr>
        <w:t>% (</w:t>
      </w:r>
      <w:r w:rsidR="006F4923" w:rsidRPr="007C25BB">
        <w:rPr>
          <w:lang w:val="en-US"/>
        </w:rPr>
        <w:t>1.091</w:t>
      </w:r>
      <w:r w:rsidR="009B2489" w:rsidRPr="007C25BB">
        <w:rPr>
          <w:lang w:val="en-US"/>
        </w:rPr>
        <w:t>%).</w:t>
      </w:r>
      <w:r w:rsidR="00084282" w:rsidRPr="007C25BB">
        <w:rPr>
          <w:rStyle w:val="FootnoteReference"/>
          <w:lang w:val="en-US"/>
        </w:rPr>
        <w:footnoteReference w:id="21"/>
      </w:r>
    </w:p>
    <w:p w14:paraId="107CB468" w14:textId="77777777" w:rsidR="003549A8" w:rsidRPr="00DC68DD" w:rsidRDefault="0080081A" w:rsidP="001D2FC9">
      <w:pPr>
        <w:pStyle w:val="Heading1"/>
        <w:rPr>
          <w:lang w:val="en-US"/>
        </w:rPr>
      </w:pPr>
      <w:r w:rsidRPr="00C677C2">
        <w:rPr>
          <w:lang w:val="en-US"/>
        </w:rPr>
        <w:t>4</w:t>
      </w:r>
      <w:r w:rsidR="00CE79B8" w:rsidRPr="00C677C2">
        <w:rPr>
          <w:lang w:val="en-US"/>
        </w:rPr>
        <w:t xml:space="preserve">. </w:t>
      </w:r>
      <w:r w:rsidR="00FC366E">
        <w:rPr>
          <w:lang w:val="en-US"/>
        </w:rPr>
        <w:t>Empirical</w:t>
      </w:r>
      <w:r w:rsidR="003549A8" w:rsidRPr="00C677C2">
        <w:rPr>
          <w:lang w:val="en-US"/>
        </w:rPr>
        <w:t xml:space="preserve"> analysis</w:t>
      </w:r>
    </w:p>
    <w:p w14:paraId="6C5BD6F8" w14:textId="438A03B1" w:rsidR="00A07B84" w:rsidRDefault="003C2061" w:rsidP="00AF3436">
      <w:pPr>
        <w:spacing w:line="480" w:lineRule="auto"/>
        <w:jc w:val="both"/>
        <w:rPr>
          <w:lang w:val="en-US"/>
        </w:rPr>
      </w:pPr>
      <w:r>
        <w:rPr>
          <w:lang w:val="en-US"/>
        </w:rPr>
        <w:t xml:space="preserve">Our empirical findings are </w:t>
      </w:r>
      <w:r w:rsidR="00A07B84">
        <w:rPr>
          <w:lang w:val="en-US"/>
        </w:rPr>
        <w:t>organized as follows.</w:t>
      </w:r>
      <w:r w:rsidR="00E63985">
        <w:rPr>
          <w:lang w:val="en-US"/>
        </w:rPr>
        <w:t xml:space="preserve"> In 4.1 we present summary statistics of our key bookrunner, bond pricing</w:t>
      </w:r>
      <w:r w:rsidR="004C334E">
        <w:rPr>
          <w:lang w:val="en-US"/>
        </w:rPr>
        <w:t>,</w:t>
      </w:r>
      <w:r w:rsidR="00E63985">
        <w:rPr>
          <w:lang w:val="en-US"/>
        </w:rPr>
        <w:t xml:space="preserve"> and control variables by country. 4.2 discusses our main findings regarding the bookrunner syndicate geographic make-up</w:t>
      </w:r>
      <w:r w:rsidR="00217773">
        <w:rPr>
          <w:lang w:val="en-US"/>
        </w:rPr>
        <w:t>,</w:t>
      </w:r>
      <w:r w:rsidR="00E63985">
        <w:rPr>
          <w:lang w:val="en-US"/>
        </w:rPr>
        <w:t xml:space="preserve"> 4.</w:t>
      </w:r>
      <w:r w:rsidR="00217773">
        <w:rPr>
          <w:lang w:val="en-US"/>
        </w:rPr>
        <w:t>3</w:t>
      </w:r>
      <w:r w:rsidR="00E63985">
        <w:rPr>
          <w:lang w:val="en-US"/>
        </w:rPr>
        <w:t xml:space="preserve"> analys</w:t>
      </w:r>
      <w:r w:rsidR="008518D8">
        <w:rPr>
          <w:lang w:val="en-US"/>
        </w:rPr>
        <w:t>e</w:t>
      </w:r>
      <w:r w:rsidR="00E63985">
        <w:rPr>
          <w:lang w:val="en-US"/>
        </w:rPr>
        <w:t xml:space="preserve">s the </w:t>
      </w:r>
      <w:r w:rsidR="00217773">
        <w:rPr>
          <w:lang w:val="en-US"/>
        </w:rPr>
        <w:t>crisis and non-crisis periods,</w:t>
      </w:r>
      <w:r w:rsidR="00217773" w:rsidRPr="00217773">
        <w:rPr>
          <w:lang w:val="en-US"/>
        </w:rPr>
        <w:t xml:space="preserve"> </w:t>
      </w:r>
      <w:r w:rsidR="00217773">
        <w:rPr>
          <w:lang w:val="en-US"/>
        </w:rPr>
        <w:t>and 4.</w:t>
      </w:r>
      <w:r w:rsidR="00CE29CC">
        <w:rPr>
          <w:lang w:val="en-US"/>
        </w:rPr>
        <w:t>4</w:t>
      </w:r>
      <w:r w:rsidR="00217773">
        <w:rPr>
          <w:lang w:val="en-US"/>
        </w:rPr>
        <w:t xml:space="preserve"> the robustness tests.</w:t>
      </w:r>
    </w:p>
    <w:p w14:paraId="1B21BC2C" w14:textId="4C943255" w:rsidR="00AF3436" w:rsidRPr="00DC68DD" w:rsidRDefault="00AF3436" w:rsidP="001D2FC9">
      <w:pPr>
        <w:pStyle w:val="Heading2"/>
        <w:rPr>
          <w:lang w:val="en-US"/>
        </w:rPr>
      </w:pPr>
      <w:r>
        <w:rPr>
          <w:lang w:val="en-US"/>
        </w:rPr>
        <w:t>4.1</w:t>
      </w:r>
      <w:r w:rsidRPr="00DC68DD">
        <w:rPr>
          <w:lang w:val="en-US"/>
        </w:rPr>
        <w:t xml:space="preserve">. </w:t>
      </w:r>
      <w:r>
        <w:rPr>
          <w:lang w:val="en-US"/>
        </w:rPr>
        <w:t>Summary statistics by issuer country</w:t>
      </w:r>
    </w:p>
    <w:p w14:paraId="783C94E9" w14:textId="16A92269" w:rsidR="000703CB" w:rsidRDefault="00AF3436" w:rsidP="003710D0">
      <w:pPr>
        <w:spacing w:line="480" w:lineRule="auto"/>
        <w:jc w:val="both"/>
        <w:rPr>
          <w:lang w:val="en-US"/>
        </w:rPr>
      </w:pPr>
      <w:r>
        <w:rPr>
          <w:lang w:val="en-US"/>
        </w:rPr>
        <w:t xml:space="preserve">We present summary statistics for key bookrunner, bond pricing, and control variables </w:t>
      </w:r>
      <w:r w:rsidR="005945F7">
        <w:rPr>
          <w:lang w:val="en-US"/>
        </w:rPr>
        <w:t>by</w:t>
      </w:r>
      <w:r>
        <w:rPr>
          <w:lang w:val="en-US"/>
        </w:rPr>
        <w:t xml:space="preserve"> issuer country in Table 3. </w:t>
      </w:r>
      <w:r w:rsidR="000703CB">
        <w:rPr>
          <w:lang w:val="en-US"/>
        </w:rPr>
        <w:t xml:space="preserve">The summary statistics highlight two key issues relevant to our subsequent empirical analysis and </w:t>
      </w:r>
      <w:r w:rsidR="002C4194">
        <w:rPr>
          <w:lang w:val="en-US"/>
        </w:rPr>
        <w:t xml:space="preserve">research </w:t>
      </w:r>
      <w:r w:rsidR="000703CB">
        <w:rPr>
          <w:lang w:val="en-US"/>
        </w:rPr>
        <w:t xml:space="preserve">methods. First, </w:t>
      </w:r>
      <w:r w:rsidR="00EE443E">
        <w:rPr>
          <w:lang w:val="en-US"/>
        </w:rPr>
        <w:t xml:space="preserve">corporate </w:t>
      </w:r>
      <w:r w:rsidR="000703CB">
        <w:rPr>
          <w:lang w:val="en-US"/>
        </w:rPr>
        <w:t>issuers from smaller economies are more likely to use non-domestic bookrunners. French a</w:t>
      </w:r>
      <w:r w:rsidR="00225DAD">
        <w:rPr>
          <w:lang w:val="en-US"/>
        </w:rPr>
        <w:t>nd</w:t>
      </w:r>
      <w:r w:rsidR="000703CB">
        <w:rPr>
          <w:lang w:val="en-US"/>
        </w:rPr>
        <w:t xml:space="preserve"> German firms are the most active issuers in the euro-denominated corporate bond market during our sample period</w:t>
      </w:r>
      <w:r w:rsidR="00D9225E">
        <w:rPr>
          <w:lang w:val="en-US"/>
        </w:rPr>
        <w:t>,</w:t>
      </w:r>
      <w:r w:rsidR="000703CB">
        <w:rPr>
          <w:lang w:val="en-US"/>
        </w:rPr>
        <w:t xml:space="preserve"> </w:t>
      </w:r>
      <w:r w:rsidR="000703CB">
        <w:rPr>
          <w:lang w:val="en-US"/>
        </w:rPr>
        <w:lastRenderedPageBreak/>
        <w:t xml:space="preserve">followed by </w:t>
      </w:r>
      <w:r w:rsidR="004C334E">
        <w:rPr>
          <w:lang w:val="en-US"/>
        </w:rPr>
        <w:t xml:space="preserve">the </w:t>
      </w:r>
      <w:r w:rsidR="000703CB">
        <w:rPr>
          <w:lang w:val="en-US"/>
        </w:rPr>
        <w:t xml:space="preserve">UK and Italian issuers. These are also the only four countries where </w:t>
      </w:r>
      <w:r w:rsidR="00056389">
        <w:rPr>
          <w:lang w:val="en-US"/>
        </w:rPr>
        <w:t>fewer</w:t>
      </w:r>
      <w:r w:rsidR="000703CB">
        <w:rPr>
          <w:lang w:val="en-US"/>
        </w:rPr>
        <w:t xml:space="preserve"> than 75% of </w:t>
      </w:r>
      <w:r w:rsidR="00136C89">
        <w:rPr>
          <w:lang w:val="en-US"/>
        </w:rPr>
        <w:t xml:space="preserve">non-domestic banks make up </w:t>
      </w:r>
      <w:r w:rsidR="000703CB">
        <w:rPr>
          <w:lang w:val="en-US"/>
        </w:rPr>
        <w:t>the bookrunner syndicate</w:t>
      </w:r>
      <w:r w:rsidR="00136C89">
        <w:rPr>
          <w:lang w:val="en-US"/>
        </w:rPr>
        <w:t>.</w:t>
      </w:r>
      <w:r w:rsidR="009145FE">
        <w:rPr>
          <w:lang w:val="en-US"/>
        </w:rPr>
        <w:t xml:space="preserve"> </w:t>
      </w:r>
      <w:r w:rsidR="000703CB">
        <w:rPr>
          <w:lang w:val="en-US"/>
        </w:rPr>
        <w:t xml:space="preserve">This basic relation supports our </w:t>
      </w:r>
      <w:r w:rsidR="00D9225E">
        <w:rPr>
          <w:lang w:val="en-US"/>
        </w:rPr>
        <w:t>use of</w:t>
      </w:r>
      <w:r w:rsidR="000703CB">
        <w:rPr>
          <w:lang w:val="en-US"/>
        </w:rPr>
        <w:t xml:space="preserve"> national bond market size as an instrument to identify the selection of non-domestic bookrunners in the </w:t>
      </w:r>
      <w:r w:rsidR="00847EBB">
        <w:rPr>
          <w:lang w:val="en-US"/>
        </w:rPr>
        <w:t xml:space="preserve">bookrunner </w:t>
      </w:r>
      <w:r w:rsidR="000703CB">
        <w:rPr>
          <w:lang w:val="en-US"/>
        </w:rPr>
        <w:t>syndicate.</w:t>
      </w:r>
      <w:r w:rsidR="000703CB" w:rsidRPr="005945F7">
        <w:rPr>
          <w:lang w:val="en-US"/>
        </w:rPr>
        <w:t xml:space="preserve"> </w:t>
      </w:r>
      <w:r w:rsidR="00C46F0D">
        <w:rPr>
          <w:lang w:val="en-US"/>
        </w:rPr>
        <w:t>There are no obvious patterns in bookrunners having previously acted as mandated lead arranger in the loan market, aside from the limited data points for Austria and Ireland.</w:t>
      </w:r>
    </w:p>
    <w:p w14:paraId="22E9863E" w14:textId="3E80FC80" w:rsidR="00AF3436" w:rsidRPr="00DC68DD" w:rsidRDefault="000703CB" w:rsidP="00E300E4">
      <w:pPr>
        <w:spacing w:line="480" w:lineRule="auto"/>
        <w:ind w:firstLine="709"/>
        <w:jc w:val="both"/>
        <w:rPr>
          <w:lang w:val="en-US"/>
        </w:rPr>
      </w:pPr>
      <w:r>
        <w:rPr>
          <w:lang w:val="en-US"/>
        </w:rPr>
        <w:t xml:space="preserve">Second, issuers from Southern European countries have noticeably higher credit spreads, reflecting their perceived credit risk during the global financial crisis. However, within this group, we do observe variation in the use of non-domestic bookrunners depending on the size of the national bond market. </w:t>
      </w:r>
      <w:r w:rsidRPr="007C25BB">
        <w:rPr>
          <w:lang w:val="en-US"/>
        </w:rPr>
        <w:t xml:space="preserve">For example, Greek </w:t>
      </w:r>
      <w:r w:rsidR="00FD48F8" w:rsidRPr="007C25BB">
        <w:rPr>
          <w:lang w:val="en-US"/>
        </w:rPr>
        <w:t xml:space="preserve">bond </w:t>
      </w:r>
      <w:r w:rsidRPr="007C25BB">
        <w:rPr>
          <w:lang w:val="en-US"/>
        </w:rPr>
        <w:t xml:space="preserve">issuers </w:t>
      </w:r>
      <w:r w:rsidR="00582874" w:rsidRPr="007C25BB">
        <w:rPr>
          <w:lang w:val="en-US"/>
        </w:rPr>
        <w:t>use</w:t>
      </w:r>
      <w:r w:rsidRPr="007C25BB">
        <w:rPr>
          <w:lang w:val="en-US"/>
        </w:rPr>
        <w:t xml:space="preserve"> an average of 91.</w:t>
      </w:r>
      <w:r w:rsidR="00DA0F74" w:rsidRPr="007C25BB">
        <w:rPr>
          <w:lang w:val="en-US"/>
        </w:rPr>
        <w:t>8</w:t>
      </w:r>
      <w:r w:rsidRPr="007C25BB">
        <w:rPr>
          <w:lang w:val="en-US"/>
        </w:rPr>
        <w:t xml:space="preserve">% non-domestic bookrunner </w:t>
      </w:r>
      <w:r w:rsidR="00225DAD" w:rsidRPr="007C25BB">
        <w:rPr>
          <w:lang w:val="en-US"/>
        </w:rPr>
        <w:t>and</w:t>
      </w:r>
      <w:r w:rsidRPr="007C25BB">
        <w:rPr>
          <w:lang w:val="en-US"/>
        </w:rPr>
        <w:t xml:space="preserve"> the corresponding figure for Italian issuers is </w:t>
      </w:r>
      <w:r w:rsidR="00DA0F74" w:rsidRPr="007C25BB">
        <w:rPr>
          <w:lang w:val="en-US"/>
        </w:rPr>
        <w:t>67.9</w:t>
      </w:r>
      <w:r w:rsidRPr="007C25BB">
        <w:rPr>
          <w:lang w:val="en-US"/>
        </w:rPr>
        <w:t xml:space="preserve">%. This suggests that </w:t>
      </w:r>
      <w:r w:rsidR="00D9225E" w:rsidRPr="007C25BB">
        <w:rPr>
          <w:lang w:val="en-US"/>
        </w:rPr>
        <w:t xml:space="preserve">our </w:t>
      </w:r>
      <w:r w:rsidR="00A67514" w:rsidRPr="007C25BB">
        <w:rPr>
          <w:lang w:val="en-US"/>
        </w:rPr>
        <w:t xml:space="preserve">subsequent </w:t>
      </w:r>
      <w:r w:rsidR="00D9225E" w:rsidRPr="007C25BB">
        <w:rPr>
          <w:lang w:val="en-US"/>
        </w:rPr>
        <w:t>findings are not driven solely by tranches issued by firms headquartered in financially distressed Southern European countries</w:t>
      </w:r>
      <w:r w:rsidR="003710D0" w:rsidRPr="007C25BB">
        <w:rPr>
          <w:lang w:val="en-US"/>
        </w:rPr>
        <w:t>.</w:t>
      </w:r>
    </w:p>
    <w:p w14:paraId="73CFBA02" w14:textId="77777777" w:rsidR="00AF3436" w:rsidRPr="00D85821" w:rsidRDefault="00AF3436" w:rsidP="00AF3436">
      <w:pPr>
        <w:spacing w:line="480" w:lineRule="auto"/>
        <w:jc w:val="center"/>
        <w:rPr>
          <w:b/>
          <w:bCs/>
          <w:lang w:val="en-US"/>
        </w:rPr>
      </w:pPr>
      <w:r w:rsidRPr="00D85821">
        <w:rPr>
          <w:b/>
          <w:bCs/>
          <w:lang w:val="en-US"/>
        </w:rPr>
        <w:t>[Insert Table 3 about here]</w:t>
      </w:r>
    </w:p>
    <w:p w14:paraId="031FD57E" w14:textId="77777777" w:rsidR="00AF3436" w:rsidRPr="00761157" w:rsidRDefault="00AF3436" w:rsidP="00390BB0">
      <w:pPr>
        <w:spacing w:line="480" w:lineRule="auto"/>
        <w:jc w:val="both"/>
        <w:rPr>
          <w:lang w:val="en-US"/>
        </w:rPr>
      </w:pPr>
    </w:p>
    <w:p w14:paraId="045D0D65" w14:textId="76A3F3AF" w:rsidR="00AF3436" w:rsidRPr="00D37226" w:rsidRDefault="005945F7" w:rsidP="00D37226">
      <w:pPr>
        <w:spacing w:line="480" w:lineRule="auto"/>
        <w:ind w:firstLine="709"/>
        <w:jc w:val="both"/>
        <w:rPr>
          <w:lang w:eastAsia="en-GB"/>
        </w:rPr>
      </w:pPr>
      <w:r w:rsidRPr="00761157">
        <w:rPr>
          <w:lang w:val="en-US"/>
        </w:rPr>
        <w:t>F</w:t>
      </w:r>
      <w:r w:rsidR="00AF3436" w:rsidRPr="00761157">
        <w:rPr>
          <w:lang w:val="en-US"/>
        </w:rPr>
        <w:t xml:space="preserve">irm and tranche characteristics including firm size, credit rating, </w:t>
      </w:r>
      <w:r w:rsidR="003710D0" w:rsidRPr="00761157">
        <w:rPr>
          <w:lang w:val="en-US"/>
        </w:rPr>
        <w:t xml:space="preserve">and </w:t>
      </w:r>
      <w:r w:rsidR="00AF3436" w:rsidRPr="00761157">
        <w:rPr>
          <w:lang w:val="en-US"/>
        </w:rPr>
        <w:t xml:space="preserve">maturity that affect bond pricing </w:t>
      </w:r>
      <w:r w:rsidRPr="00761157">
        <w:rPr>
          <w:lang w:val="en-US"/>
        </w:rPr>
        <w:t xml:space="preserve">vary </w:t>
      </w:r>
      <w:r w:rsidR="00AF3436" w:rsidRPr="00761157">
        <w:rPr>
          <w:lang w:val="en-US"/>
        </w:rPr>
        <w:t>by issuer domicile</w:t>
      </w:r>
      <w:r w:rsidR="00613C81" w:rsidRPr="00761157">
        <w:rPr>
          <w:lang w:val="en-US"/>
        </w:rPr>
        <w:t xml:space="preserve"> and provide some </w:t>
      </w:r>
      <w:r w:rsidR="00CC38FD">
        <w:rPr>
          <w:lang w:val="en-US"/>
        </w:rPr>
        <w:t xml:space="preserve">initially </w:t>
      </w:r>
      <w:r w:rsidR="00613C81" w:rsidRPr="00761157">
        <w:rPr>
          <w:lang w:val="en-US"/>
        </w:rPr>
        <w:t>surprising results</w:t>
      </w:r>
      <w:r w:rsidR="00AF3436" w:rsidRPr="004D7472">
        <w:rPr>
          <w:color w:val="FF0000"/>
          <w:lang w:val="en-US"/>
        </w:rPr>
        <w:t>.</w:t>
      </w:r>
      <w:r w:rsidR="00AF3436" w:rsidRPr="007C25BB">
        <w:rPr>
          <w:lang w:val="en-US"/>
        </w:rPr>
        <w:t xml:space="preserve"> For example, the median credit rating </w:t>
      </w:r>
      <w:r w:rsidR="003710D0" w:rsidRPr="007C25BB">
        <w:rPr>
          <w:lang w:val="en-US"/>
        </w:rPr>
        <w:t xml:space="preserve">score </w:t>
      </w:r>
      <w:r w:rsidR="00AF3436" w:rsidRPr="007C25BB">
        <w:rPr>
          <w:lang w:val="en-US"/>
        </w:rPr>
        <w:t xml:space="preserve">of </w:t>
      </w:r>
      <w:r w:rsidR="00D85821" w:rsidRPr="007C25BB">
        <w:rPr>
          <w:lang w:val="en-US"/>
        </w:rPr>
        <w:t>7</w:t>
      </w:r>
      <w:r w:rsidR="00AF3436" w:rsidRPr="007C25BB">
        <w:rPr>
          <w:lang w:val="en-US"/>
        </w:rPr>
        <w:t xml:space="preserve"> in Greece, which corresponds to an A</w:t>
      </w:r>
      <w:r w:rsidR="00D85821" w:rsidRPr="007C25BB">
        <w:rPr>
          <w:lang w:val="en-US"/>
        </w:rPr>
        <w:t xml:space="preserve">A </w:t>
      </w:r>
      <w:r w:rsidR="00AF3436" w:rsidRPr="007C25BB">
        <w:rPr>
          <w:lang w:val="en-US"/>
        </w:rPr>
        <w:t xml:space="preserve">rating, is stronger than the A rating for issuers domiciled in the Netherlands. </w:t>
      </w:r>
      <w:r w:rsidR="00517587" w:rsidRPr="005273EF">
        <w:rPr>
          <w:lang w:val="en-US"/>
        </w:rPr>
        <w:t>However, there are plausible reasons why corporate issue</w:t>
      </w:r>
      <w:r w:rsidR="00CC38FD">
        <w:rPr>
          <w:lang w:val="en-US"/>
        </w:rPr>
        <w:t>r</w:t>
      </w:r>
      <w:r w:rsidR="00517587" w:rsidRPr="005273EF">
        <w:rPr>
          <w:lang w:val="en-US"/>
        </w:rPr>
        <w:t xml:space="preserve">s from </w:t>
      </w:r>
      <w:r w:rsidR="00D9225E">
        <w:rPr>
          <w:lang w:val="en-US"/>
        </w:rPr>
        <w:t>low</w:t>
      </w:r>
      <w:r w:rsidR="00517587" w:rsidRPr="005273EF">
        <w:rPr>
          <w:lang w:val="en-US"/>
        </w:rPr>
        <w:t xml:space="preserve"> credit</w:t>
      </w:r>
      <w:r w:rsidR="004C334E">
        <w:rPr>
          <w:lang w:val="en-US"/>
        </w:rPr>
        <w:t>-</w:t>
      </w:r>
      <w:r w:rsidR="00517587" w:rsidRPr="005273EF">
        <w:rPr>
          <w:lang w:val="en-US"/>
        </w:rPr>
        <w:t xml:space="preserve">rated </w:t>
      </w:r>
      <w:r w:rsidR="00CC38FD">
        <w:rPr>
          <w:lang w:val="en-US"/>
        </w:rPr>
        <w:t>countries</w:t>
      </w:r>
      <w:r w:rsidR="00517587" w:rsidRPr="005273EF">
        <w:rPr>
          <w:lang w:val="en-US"/>
        </w:rPr>
        <w:t xml:space="preserve"> have higher </w:t>
      </w:r>
      <w:r w:rsidR="00D9225E">
        <w:rPr>
          <w:lang w:val="en-US"/>
        </w:rPr>
        <w:t xml:space="preserve">tranche credit </w:t>
      </w:r>
      <w:r w:rsidR="00517587" w:rsidRPr="005273EF">
        <w:rPr>
          <w:lang w:val="en-US"/>
        </w:rPr>
        <w:t xml:space="preserve">ratings </w:t>
      </w:r>
      <w:r w:rsidR="00D9225E">
        <w:rPr>
          <w:lang w:val="en-US"/>
        </w:rPr>
        <w:t>than</w:t>
      </w:r>
      <w:r w:rsidR="00BA0E78" w:rsidRPr="005273EF">
        <w:rPr>
          <w:lang w:val="en-US"/>
        </w:rPr>
        <w:t xml:space="preserve"> </w:t>
      </w:r>
      <w:r w:rsidR="00517587" w:rsidRPr="005273EF">
        <w:rPr>
          <w:lang w:val="en-US"/>
        </w:rPr>
        <w:t xml:space="preserve">issuers from </w:t>
      </w:r>
      <w:r w:rsidR="00AC6053">
        <w:rPr>
          <w:lang w:val="en-US"/>
        </w:rPr>
        <w:t xml:space="preserve">some of the </w:t>
      </w:r>
      <w:r w:rsidR="00517587" w:rsidRPr="005273EF">
        <w:rPr>
          <w:lang w:val="en-US"/>
        </w:rPr>
        <w:t>high</w:t>
      </w:r>
      <w:r w:rsidR="00AC6053">
        <w:rPr>
          <w:lang w:val="en-US"/>
        </w:rPr>
        <w:t>ly</w:t>
      </w:r>
      <w:r w:rsidR="004C334E">
        <w:rPr>
          <w:lang w:val="en-US"/>
        </w:rPr>
        <w:t>-</w:t>
      </w:r>
      <w:r w:rsidR="00517587" w:rsidRPr="005273EF">
        <w:rPr>
          <w:lang w:val="en-US"/>
        </w:rPr>
        <w:t xml:space="preserve">rated countries. </w:t>
      </w:r>
      <w:r w:rsidR="00517587" w:rsidRPr="005273EF">
        <w:rPr>
          <w:lang w:eastAsia="en-GB"/>
        </w:rPr>
        <w:t xml:space="preserve">A number of corporate issuers from these </w:t>
      </w:r>
      <w:r w:rsidR="00AC6053">
        <w:rPr>
          <w:lang w:eastAsia="en-GB"/>
        </w:rPr>
        <w:t>lower</w:t>
      </w:r>
      <w:r w:rsidR="004C334E">
        <w:rPr>
          <w:lang w:eastAsia="en-GB"/>
        </w:rPr>
        <w:t>-</w:t>
      </w:r>
      <w:r w:rsidR="00AC6053">
        <w:rPr>
          <w:lang w:eastAsia="en-GB"/>
        </w:rPr>
        <w:t xml:space="preserve">rated </w:t>
      </w:r>
      <w:r w:rsidR="00517587" w:rsidRPr="005273EF">
        <w:rPr>
          <w:lang w:eastAsia="en-GB"/>
        </w:rPr>
        <w:t xml:space="preserve">countries tend to </w:t>
      </w:r>
      <w:r w:rsidR="00CC38FD">
        <w:rPr>
          <w:lang w:eastAsia="en-GB"/>
        </w:rPr>
        <w:t>operate in</w:t>
      </w:r>
      <w:r w:rsidR="00517587" w:rsidRPr="005273EF">
        <w:rPr>
          <w:lang w:eastAsia="en-GB"/>
        </w:rPr>
        <w:t xml:space="preserve"> </w:t>
      </w:r>
      <w:r w:rsidR="00517587">
        <w:rPr>
          <w:lang w:eastAsia="en-GB"/>
        </w:rPr>
        <w:t>regulated industries and/or have</w:t>
      </w:r>
      <w:r w:rsidR="00517587" w:rsidRPr="005273EF">
        <w:rPr>
          <w:lang w:eastAsia="en-GB"/>
        </w:rPr>
        <w:t xml:space="preserve"> a degree of government ownership. </w:t>
      </w:r>
      <w:r w:rsidR="008923EA">
        <w:rPr>
          <w:lang w:eastAsia="en-GB"/>
        </w:rPr>
        <w:t>Countries with higher credit ratings</w:t>
      </w:r>
      <w:r w:rsidR="00517587" w:rsidRPr="005273EF">
        <w:rPr>
          <w:lang w:eastAsia="en-GB"/>
        </w:rPr>
        <w:t xml:space="preserve"> generally </w:t>
      </w:r>
      <w:r w:rsidR="008923EA" w:rsidRPr="005273EF">
        <w:rPr>
          <w:lang w:eastAsia="en-GB"/>
        </w:rPr>
        <w:t xml:space="preserve">have </w:t>
      </w:r>
      <w:r w:rsidR="00517587" w:rsidRPr="005273EF">
        <w:rPr>
          <w:lang w:eastAsia="en-GB"/>
        </w:rPr>
        <w:t xml:space="preserve">larger corporate sectors and hence a broader mix of eligible corporate candidates </w:t>
      </w:r>
      <w:r w:rsidR="00CC38FD">
        <w:rPr>
          <w:lang w:eastAsia="en-GB"/>
        </w:rPr>
        <w:t>for the bond market,</w:t>
      </w:r>
      <w:r w:rsidR="00CC38FD" w:rsidRPr="005273EF">
        <w:rPr>
          <w:lang w:eastAsia="en-GB"/>
        </w:rPr>
        <w:t xml:space="preserve"> </w:t>
      </w:r>
      <w:r w:rsidR="00517587" w:rsidRPr="005273EF">
        <w:rPr>
          <w:lang w:eastAsia="en-GB"/>
        </w:rPr>
        <w:t xml:space="preserve">including more cyclical </w:t>
      </w:r>
      <w:r w:rsidR="00CC38FD">
        <w:rPr>
          <w:lang w:eastAsia="en-GB"/>
        </w:rPr>
        <w:t>and</w:t>
      </w:r>
      <w:r w:rsidR="00517587" w:rsidRPr="005273EF">
        <w:rPr>
          <w:lang w:eastAsia="en-GB"/>
        </w:rPr>
        <w:t xml:space="preserve"> weaker rated firms. T</w:t>
      </w:r>
      <w:r w:rsidR="00517587">
        <w:rPr>
          <w:lang w:eastAsia="en-GB"/>
        </w:rPr>
        <w:t>he t</w:t>
      </w:r>
      <w:r w:rsidR="00517587" w:rsidRPr="005273EF">
        <w:rPr>
          <w:lang w:eastAsia="en-GB"/>
        </w:rPr>
        <w:t xml:space="preserve">hreshold to access the corporate bond </w:t>
      </w:r>
      <w:r w:rsidR="00517587" w:rsidRPr="005273EF">
        <w:rPr>
          <w:lang w:eastAsia="en-GB"/>
        </w:rPr>
        <w:lastRenderedPageBreak/>
        <w:t xml:space="preserve">market </w:t>
      </w:r>
      <w:r w:rsidR="00137887">
        <w:rPr>
          <w:lang w:eastAsia="en-GB"/>
        </w:rPr>
        <w:t>could</w:t>
      </w:r>
      <w:r w:rsidR="00517587" w:rsidRPr="005273EF">
        <w:rPr>
          <w:lang w:eastAsia="en-GB"/>
        </w:rPr>
        <w:t xml:space="preserve"> also be lower for companies from larger countries given </w:t>
      </w:r>
      <w:r w:rsidR="00517587">
        <w:rPr>
          <w:lang w:eastAsia="en-GB"/>
        </w:rPr>
        <w:t>they could be more familiar to</w:t>
      </w:r>
      <w:r w:rsidR="00517587" w:rsidRPr="005273EF">
        <w:rPr>
          <w:lang w:eastAsia="en-GB"/>
        </w:rPr>
        <w:t xml:space="preserve"> a larger investor base </w:t>
      </w:r>
      <w:r w:rsidR="00CC38FD" w:rsidRPr="00DC68DD">
        <w:rPr>
          <w:lang w:val="en-US"/>
        </w:rPr>
        <w:t>(Kang and Stulz, 1997</w:t>
      </w:r>
      <w:r w:rsidR="00BA0E78">
        <w:rPr>
          <w:lang w:val="en-US"/>
        </w:rPr>
        <w:t xml:space="preserve">; Massa and </w:t>
      </w:r>
      <w:r w:rsidR="00BB35EB">
        <w:rPr>
          <w:lang w:val="en-US"/>
        </w:rPr>
        <w:t>Zaldokas</w:t>
      </w:r>
      <w:r w:rsidR="00BA0E78">
        <w:rPr>
          <w:lang w:val="en-US"/>
        </w:rPr>
        <w:t>, 2014</w:t>
      </w:r>
      <w:r w:rsidR="00CC38FD" w:rsidRPr="00DC68DD">
        <w:rPr>
          <w:lang w:val="en-US"/>
        </w:rPr>
        <w:t>)</w:t>
      </w:r>
      <w:r w:rsidR="00517587" w:rsidRPr="005273EF">
        <w:rPr>
          <w:lang w:eastAsia="en-GB"/>
        </w:rPr>
        <w:t>.</w:t>
      </w:r>
      <w:r w:rsidR="006E6F80">
        <w:rPr>
          <w:lang w:eastAsia="en-GB"/>
        </w:rPr>
        <w:t xml:space="preserve"> </w:t>
      </w:r>
    </w:p>
    <w:p w14:paraId="00D78DAC" w14:textId="569E45E4" w:rsidR="003549A8" w:rsidRPr="00DC68DD" w:rsidRDefault="0080081A" w:rsidP="00555663">
      <w:pPr>
        <w:pStyle w:val="Heading2"/>
        <w:jc w:val="both"/>
        <w:rPr>
          <w:rFonts w:cs="Times New Roman"/>
          <w:b/>
          <w:i w:val="0"/>
          <w:szCs w:val="24"/>
          <w:lang w:val="en-US"/>
        </w:rPr>
      </w:pPr>
      <w:bookmarkStart w:id="6" w:name="_Hlk529358676"/>
      <w:r>
        <w:rPr>
          <w:rFonts w:cs="Times New Roman"/>
          <w:color w:val="000000" w:themeColor="text1"/>
          <w:lang w:val="en-US"/>
        </w:rPr>
        <w:t>4</w:t>
      </w:r>
      <w:r w:rsidR="00AF3436">
        <w:rPr>
          <w:rFonts w:cs="Times New Roman"/>
          <w:color w:val="000000" w:themeColor="text1"/>
          <w:lang w:val="en-US"/>
        </w:rPr>
        <w:t>.2</w:t>
      </w:r>
      <w:r w:rsidR="00837B78" w:rsidRPr="00DC68DD">
        <w:rPr>
          <w:rFonts w:cs="Times New Roman"/>
          <w:color w:val="000000" w:themeColor="text1"/>
          <w:lang w:val="en-US"/>
        </w:rPr>
        <w:t xml:space="preserve">. </w:t>
      </w:r>
      <w:r w:rsidR="00F21C62">
        <w:rPr>
          <w:rFonts w:cs="Times New Roman"/>
          <w:color w:val="000000" w:themeColor="text1"/>
          <w:lang w:val="en-US"/>
        </w:rPr>
        <w:t xml:space="preserve">The impact of bookrunner geography on </w:t>
      </w:r>
      <w:r w:rsidR="00FD3B48">
        <w:rPr>
          <w:rFonts w:cs="Times New Roman"/>
          <w:color w:val="000000" w:themeColor="text1"/>
          <w:lang w:val="en-US"/>
        </w:rPr>
        <w:t xml:space="preserve">the </w:t>
      </w:r>
      <w:r w:rsidR="00F21C62">
        <w:rPr>
          <w:rFonts w:cs="Times New Roman"/>
          <w:color w:val="000000" w:themeColor="text1"/>
          <w:lang w:val="en-US"/>
        </w:rPr>
        <w:t>quality of service</w:t>
      </w:r>
      <w:bookmarkEnd w:id="6"/>
    </w:p>
    <w:p w14:paraId="6862B8E1" w14:textId="7F4991DB" w:rsidR="00F21C62" w:rsidRDefault="00C02E95" w:rsidP="00834C23">
      <w:pPr>
        <w:spacing w:line="480" w:lineRule="auto"/>
        <w:jc w:val="both"/>
        <w:rPr>
          <w:lang w:val="en-US"/>
        </w:rPr>
      </w:pPr>
      <w:r w:rsidRPr="00DC68DD">
        <w:rPr>
          <w:lang w:val="en-US"/>
        </w:rPr>
        <w:t xml:space="preserve">In this </w:t>
      </w:r>
      <w:r w:rsidR="005945F7" w:rsidRPr="00DC68DD">
        <w:rPr>
          <w:lang w:val="en-US"/>
        </w:rPr>
        <w:t>section,</w:t>
      </w:r>
      <w:r w:rsidRPr="00DC68DD">
        <w:rPr>
          <w:lang w:val="en-US"/>
        </w:rPr>
        <w:t xml:space="preserve"> we </w:t>
      </w:r>
      <w:r w:rsidR="00AF053E" w:rsidRPr="00DC68DD">
        <w:rPr>
          <w:lang w:val="en-US"/>
        </w:rPr>
        <w:t xml:space="preserve">report </w:t>
      </w:r>
      <w:r w:rsidR="00F21C62">
        <w:rPr>
          <w:lang w:val="en-US"/>
        </w:rPr>
        <w:t>our main</w:t>
      </w:r>
      <w:r w:rsidR="00F21C62" w:rsidRPr="00DC68DD">
        <w:rPr>
          <w:lang w:val="en-US"/>
        </w:rPr>
        <w:t xml:space="preserve"> </w:t>
      </w:r>
      <w:r w:rsidRPr="00DC68DD">
        <w:rPr>
          <w:lang w:val="en-US"/>
        </w:rPr>
        <w:t xml:space="preserve">findings </w:t>
      </w:r>
      <w:r w:rsidR="00F21C62">
        <w:rPr>
          <w:lang w:val="en-US"/>
        </w:rPr>
        <w:t>on</w:t>
      </w:r>
      <w:r w:rsidR="00F21C62" w:rsidRPr="00DC68DD">
        <w:rPr>
          <w:lang w:val="en-US"/>
        </w:rPr>
        <w:t xml:space="preserve"> </w:t>
      </w:r>
      <w:r w:rsidRPr="00DC68DD">
        <w:rPr>
          <w:lang w:val="en-US"/>
        </w:rPr>
        <w:t xml:space="preserve">the </w:t>
      </w:r>
      <w:r w:rsidR="00F21C62">
        <w:rPr>
          <w:lang w:val="en-US"/>
        </w:rPr>
        <w:t xml:space="preserve">relation between </w:t>
      </w:r>
      <w:r w:rsidR="00350C10">
        <w:rPr>
          <w:lang w:val="en-US"/>
        </w:rPr>
        <w:t>the proportion of non-domestic bookrunners in the issuing syndicate</w:t>
      </w:r>
      <w:r w:rsidR="00F21C62">
        <w:rPr>
          <w:lang w:val="en-US"/>
        </w:rPr>
        <w:t xml:space="preserve"> and at-issue credit spreads</w:t>
      </w:r>
      <w:r w:rsidRPr="00DC68DD">
        <w:rPr>
          <w:lang w:val="en-US"/>
        </w:rPr>
        <w:t>.</w:t>
      </w:r>
      <w:r w:rsidR="008923EA">
        <w:rPr>
          <w:rStyle w:val="FootnoteReference"/>
          <w:lang w:val="en-US"/>
        </w:rPr>
        <w:footnoteReference w:id="22"/>
      </w:r>
      <w:r w:rsidRPr="00DC68DD">
        <w:rPr>
          <w:lang w:val="en-US"/>
        </w:rPr>
        <w:t xml:space="preserve"> </w:t>
      </w:r>
      <w:r w:rsidR="006D0AEE">
        <w:rPr>
          <w:lang w:val="en-US"/>
        </w:rPr>
        <w:t xml:space="preserve">Here, and in all subsequent models, we estimate </w:t>
      </w:r>
      <w:r w:rsidR="006D0AEE" w:rsidRPr="00DC68DD">
        <w:rPr>
          <w:lang w:val="en-US"/>
        </w:rPr>
        <w:t xml:space="preserve">regressions with standard errors clustered at </w:t>
      </w:r>
      <w:r w:rsidR="00B00E3A">
        <w:rPr>
          <w:lang w:val="en-US"/>
        </w:rPr>
        <w:t xml:space="preserve">both </w:t>
      </w:r>
      <w:r w:rsidR="006D0AEE" w:rsidRPr="00DC68DD">
        <w:rPr>
          <w:lang w:val="en-US"/>
        </w:rPr>
        <w:t xml:space="preserve">the </w:t>
      </w:r>
      <w:r w:rsidR="00A70020">
        <w:rPr>
          <w:lang w:val="en-US"/>
        </w:rPr>
        <w:t>firm</w:t>
      </w:r>
      <w:r w:rsidR="00B00E3A">
        <w:rPr>
          <w:lang w:val="en-US"/>
        </w:rPr>
        <w:t xml:space="preserve"> and year</w:t>
      </w:r>
      <w:r w:rsidR="00A70020" w:rsidRPr="00DC68DD">
        <w:rPr>
          <w:lang w:val="en-US"/>
        </w:rPr>
        <w:t xml:space="preserve"> </w:t>
      </w:r>
      <w:r w:rsidR="006D0AEE" w:rsidRPr="00DC68DD">
        <w:rPr>
          <w:lang w:val="en-US"/>
        </w:rPr>
        <w:t>level</w:t>
      </w:r>
      <w:r w:rsidR="00F21C62" w:rsidRPr="00DC68DD">
        <w:rPr>
          <w:lang w:val="en-US"/>
        </w:rPr>
        <w:t>.</w:t>
      </w:r>
      <w:r w:rsidR="007F1461">
        <w:rPr>
          <w:lang w:val="en-US"/>
        </w:rPr>
        <w:t xml:space="preserve"> We conduct our </w:t>
      </w:r>
      <w:r w:rsidR="00B00E3A">
        <w:rPr>
          <w:lang w:val="en-US"/>
        </w:rPr>
        <w:t xml:space="preserve">regression </w:t>
      </w:r>
      <w:r w:rsidR="007F1461">
        <w:rPr>
          <w:lang w:val="en-US"/>
        </w:rPr>
        <w:t xml:space="preserve">analysis </w:t>
      </w:r>
      <w:r w:rsidR="00B00E3A">
        <w:rPr>
          <w:lang w:val="en-US"/>
        </w:rPr>
        <w:t>at the</w:t>
      </w:r>
      <w:r w:rsidR="007F1461">
        <w:rPr>
          <w:lang w:val="en-US"/>
        </w:rPr>
        <w:t xml:space="preserve"> tranche level in order to take into account th</w:t>
      </w:r>
      <w:r w:rsidR="004C334E">
        <w:rPr>
          <w:lang w:val="en-US"/>
        </w:rPr>
        <w:t>e</w:t>
      </w:r>
      <w:r w:rsidR="007F1461">
        <w:rPr>
          <w:lang w:val="en-US"/>
        </w:rPr>
        <w:t xml:space="preserve"> expected influence of tranche variables</w:t>
      </w:r>
      <w:r w:rsidR="002E1D8A">
        <w:rPr>
          <w:lang w:val="en-US"/>
        </w:rPr>
        <w:t>, such</w:t>
      </w:r>
      <w:r w:rsidR="007F1461">
        <w:rPr>
          <w:lang w:val="en-US"/>
        </w:rPr>
        <w:t xml:space="preserve"> as tenor and size</w:t>
      </w:r>
      <w:r w:rsidR="002E1D8A">
        <w:rPr>
          <w:lang w:val="en-US"/>
        </w:rPr>
        <w:t>,</w:t>
      </w:r>
      <w:r w:rsidR="007F1461">
        <w:rPr>
          <w:lang w:val="en-US"/>
        </w:rPr>
        <w:t xml:space="preserve"> on the at-issue credit spread.</w:t>
      </w:r>
      <w:r w:rsidR="007F1461">
        <w:rPr>
          <w:rStyle w:val="FootnoteReference"/>
          <w:lang w:val="en-US"/>
        </w:rPr>
        <w:footnoteReference w:id="23"/>
      </w:r>
    </w:p>
    <w:p w14:paraId="5A25CF8E" w14:textId="11A2C043" w:rsidR="009B1513" w:rsidRPr="007C25BB" w:rsidRDefault="00350C10" w:rsidP="00610643">
      <w:pPr>
        <w:spacing w:line="480" w:lineRule="auto"/>
        <w:ind w:firstLine="709"/>
        <w:jc w:val="both"/>
        <w:rPr>
          <w:lang w:val="en-US"/>
        </w:rPr>
      </w:pPr>
      <w:r>
        <w:rPr>
          <w:lang w:val="en-US"/>
        </w:rPr>
        <w:t xml:space="preserve">Model 1 </w:t>
      </w:r>
      <w:r w:rsidR="00C607B5">
        <w:rPr>
          <w:lang w:val="en-US"/>
        </w:rPr>
        <w:t xml:space="preserve">of Table 4 </w:t>
      </w:r>
      <w:r>
        <w:rPr>
          <w:lang w:val="en-US"/>
        </w:rPr>
        <w:t xml:space="preserve">presents our baseline regression </w:t>
      </w:r>
      <w:r w:rsidR="001B3211">
        <w:rPr>
          <w:lang w:val="en-US"/>
        </w:rPr>
        <w:t xml:space="preserve">of </w:t>
      </w:r>
      <w:r>
        <w:rPr>
          <w:lang w:val="en-US"/>
        </w:rPr>
        <w:t xml:space="preserve">the </w:t>
      </w:r>
      <w:r w:rsidR="00A70020">
        <w:rPr>
          <w:lang w:val="en-US"/>
        </w:rPr>
        <w:t xml:space="preserve">proportion </w:t>
      </w:r>
      <w:r>
        <w:rPr>
          <w:lang w:val="en-US"/>
        </w:rPr>
        <w:t>of non-domestic bookrunners.</w:t>
      </w:r>
      <w:r w:rsidR="00C607B5">
        <w:rPr>
          <w:lang w:val="en-US"/>
        </w:rPr>
        <w:t xml:space="preserve"> </w:t>
      </w:r>
      <w:r w:rsidR="009B1513" w:rsidRPr="007C25BB">
        <w:rPr>
          <w:lang w:val="en-US"/>
        </w:rPr>
        <w:t>Our instrumental variable measuring the size of the local bond market is significant and negatively related to the use of non-domestic bookrunners</w:t>
      </w:r>
      <w:r w:rsidR="00352E71" w:rsidRPr="007C25BB">
        <w:rPr>
          <w:lang w:val="en-US"/>
        </w:rPr>
        <w:t>, at the 1% level</w:t>
      </w:r>
      <w:r w:rsidR="009B1513" w:rsidRPr="007C25BB">
        <w:rPr>
          <w:lang w:val="en-US"/>
        </w:rPr>
        <w:t xml:space="preserve">. Issuers domiciled in larger capital markets hire a larger proportion of domestic bookrunners. This </w:t>
      </w:r>
      <w:r w:rsidR="00352E71" w:rsidRPr="007C25BB">
        <w:rPr>
          <w:lang w:val="en-US"/>
        </w:rPr>
        <w:t>can arise</w:t>
      </w:r>
      <w:r w:rsidR="009B1513" w:rsidRPr="007C25BB">
        <w:rPr>
          <w:lang w:val="en-US"/>
        </w:rPr>
        <w:t xml:space="preserve"> where larger domestic bond markets encourage a greater number of banks to incorporate in the domestic economy and to offer bookrunner services to local issuing firms.</w:t>
      </w:r>
    </w:p>
    <w:p w14:paraId="04B766DA" w14:textId="271AE7A1" w:rsidR="004D558D" w:rsidRPr="00DC68DD" w:rsidRDefault="00C607B5" w:rsidP="00E300E4">
      <w:pPr>
        <w:spacing w:line="480" w:lineRule="auto"/>
        <w:ind w:firstLine="709"/>
        <w:jc w:val="both"/>
        <w:rPr>
          <w:lang w:val="en-US"/>
        </w:rPr>
      </w:pPr>
      <w:r w:rsidRPr="007C25BB">
        <w:rPr>
          <w:lang w:val="en-US"/>
        </w:rPr>
        <w:t xml:space="preserve">Our results </w:t>
      </w:r>
      <w:r w:rsidR="009B1513" w:rsidRPr="007C25BB">
        <w:rPr>
          <w:lang w:val="en-US"/>
        </w:rPr>
        <w:t xml:space="preserve">for control variables </w:t>
      </w:r>
      <w:r w:rsidRPr="007C25BB">
        <w:rPr>
          <w:lang w:val="en-US"/>
        </w:rPr>
        <w:t xml:space="preserve">show that issues by larger firms and those issued as part of a multi-tranche offering </w:t>
      </w:r>
      <w:r w:rsidR="00137887" w:rsidRPr="007C25BB">
        <w:rPr>
          <w:lang w:val="en-US"/>
        </w:rPr>
        <w:t>use</w:t>
      </w:r>
      <w:r w:rsidRPr="007C25BB">
        <w:rPr>
          <w:lang w:val="en-US"/>
        </w:rPr>
        <w:t xml:space="preserve"> a higher </w:t>
      </w:r>
      <w:r>
        <w:rPr>
          <w:lang w:val="en-US"/>
        </w:rPr>
        <w:t xml:space="preserve">proportion of non-domestic bookrunners in the sponsoring syndicate. </w:t>
      </w:r>
      <w:r w:rsidR="002A1692">
        <w:rPr>
          <w:lang w:val="en-US"/>
        </w:rPr>
        <w:t xml:space="preserve">We find a </w:t>
      </w:r>
      <w:r w:rsidR="00E60114">
        <w:rPr>
          <w:lang w:val="en-US"/>
        </w:rPr>
        <w:t xml:space="preserve">negative correlation between </w:t>
      </w:r>
      <w:r>
        <w:rPr>
          <w:lang w:val="en-US"/>
        </w:rPr>
        <w:t xml:space="preserve">majority government ownership </w:t>
      </w:r>
      <w:r w:rsidR="00E60114">
        <w:rPr>
          <w:lang w:val="en-US"/>
        </w:rPr>
        <w:t>and</w:t>
      </w:r>
      <w:r>
        <w:rPr>
          <w:lang w:val="en-US"/>
        </w:rPr>
        <w:t xml:space="preserve"> the use of non-domestic bookrunners</w:t>
      </w:r>
      <w:r w:rsidR="00DE5EA6">
        <w:rPr>
          <w:lang w:val="en-US"/>
        </w:rPr>
        <w:t xml:space="preserve">. This </w:t>
      </w:r>
      <w:r w:rsidR="000A35BA">
        <w:rPr>
          <w:lang w:val="en-US"/>
        </w:rPr>
        <w:t xml:space="preserve">could </w:t>
      </w:r>
      <w:r>
        <w:rPr>
          <w:lang w:val="en-US"/>
        </w:rPr>
        <w:t xml:space="preserve">suggest that </w:t>
      </w:r>
      <w:r w:rsidR="00362DDA">
        <w:rPr>
          <w:lang w:val="en-US"/>
        </w:rPr>
        <w:t>political connections enable domestic bookrunners to win more business from local firms</w:t>
      </w:r>
      <w:r w:rsidR="00E60114">
        <w:rPr>
          <w:lang w:val="en-US"/>
        </w:rPr>
        <w:t xml:space="preserve"> and/or that governments coerce closely</w:t>
      </w:r>
      <w:r w:rsidR="004C334E">
        <w:rPr>
          <w:lang w:val="en-US"/>
        </w:rPr>
        <w:t>-</w:t>
      </w:r>
      <w:r w:rsidR="00E60114">
        <w:rPr>
          <w:lang w:val="en-US"/>
        </w:rPr>
        <w:t>held issuing firms to give business to locally domiciled bookrunners</w:t>
      </w:r>
      <w:r w:rsidR="00362DDA">
        <w:rPr>
          <w:lang w:val="en-US"/>
        </w:rPr>
        <w:t xml:space="preserve"> (</w:t>
      </w:r>
      <w:r w:rsidR="00E60114">
        <w:rPr>
          <w:lang w:val="en-US"/>
        </w:rPr>
        <w:t>Bor</w:t>
      </w:r>
      <w:r w:rsidR="00943130">
        <w:rPr>
          <w:lang w:val="en-US"/>
        </w:rPr>
        <w:t>isova et al., 2015; Chen et al., 2017</w:t>
      </w:r>
      <w:r w:rsidR="00362DDA">
        <w:rPr>
          <w:lang w:val="en-US"/>
        </w:rPr>
        <w:t>)</w:t>
      </w:r>
      <w:r>
        <w:rPr>
          <w:lang w:val="en-US"/>
        </w:rPr>
        <w:t xml:space="preserve">. </w:t>
      </w:r>
      <w:r w:rsidR="00A70020">
        <w:rPr>
          <w:lang w:val="en-US"/>
        </w:rPr>
        <w:t>The coefficient on the AAA</w:t>
      </w:r>
      <w:r w:rsidR="004C334E">
        <w:rPr>
          <w:lang w:val="en-US"/>
        </w:rPr>
        <w:t>-</w:t>
      </w:r>
      <w:r w:rsidR="00A70020">
        <w:rPr>
          <w:lang w:val="en-US"/>
        </w:rPr>
        <w:t xml:space="preserve">rated dummy is </w:t>
      </w:r>
      <w:r w:rsidR="0026637E">
        <w:rPr>
          <w:lang w:val="en-US"/>
        </w:rPr>
        <w:t xml:space="preserve">significantly </w:t>
      </w:r>
      <w:r w:rsidR="00A70020">
        <w:rPr>
          <w:lang w:val="en-US"/>
        </w:rPr>
        <w:t xml:space="preserve">negative, </w:t>
      </w:r>
      <w:r w:rsidR="00A70020">
        <w:rPr>
          <w:lang w:val="en-US"/>
        </w:rPr>
        <w:lastRenderedPageBreak/>
        <w:t>suggesting that the highest</w:t>
      </w:r>
      <w:r w:rsidR="004C334E">
        <w:rPr>
          <w:lang w:val="en-US"/>
        </w:rPr>
        <w:t>-</w:t>
      </w:r>
      <w:r w:rsidR="00A70020">
        <w:rPr>
          <w:lang w:val="en-US"/>
        </w:rPr>
        <w:t>rated bonds employ more domestic bookrunners</w:t>
      </w:r>
      <w:r w:rsidR="00704516">
        <w:rPr>
          <w:lang w:val="en-US"/>
        </w:rPr>
        <w:t>. However, t</w:t>
      </w:r>
      <w:r w:rsidR="00A70020">
        <w:rPr>
          <w:lang w:val="en-US"/>
        </w:rPr>
        <w:t xml:space="preserve">he coefficients for some of the remaining rating classes are positive and significant against the omitted </w:t>
      </w:r>
      <w:r w:rsidR="00704516">
        <w:rPr>
          <w:lang w:val="en-US"/>
        </w:rPr>
        <w:t xml:space="preserve">group of </w:t>
      </w:r>
      <w:r w:rsidR="00A70020">
        <w:rPr>
          <w:lang w:val="en-US"/>
        </w:rPr>
        <w:t>unrated tranches.</w:t>
      </w:r>
      <w:r w:rsidR="00704516">
        <w:rPr>
          <w:lang w:val="en-US"/>
        </w:rPr>
        <w:t xml:space="preserve"> Our finding here is mixed with respect to prior literature. Butler (2008) finds no relation between </w:t>
      </w:r>
      <w:r w:rsidR="00B04201">
        <w:rPr>
          <w:lang w:val="en-US"/>
        </w:rPr>
        <w:t xml:space="preserve">municipality </w:t>
      </w:r>
      <w:r w:rsidR="00704516">
        <w:rPr>
          <w:lang w:val="en-US"/>
        </w:rPr>
        <w:t xml:space="preserve">credit rating and the likelihood </w:t>
      </w:r>
      <w:r w:rsidR="00B04201">
        <w:rPr>
          <w:lang w:val="en-US"/>
        </w:rPr>
        <w:t xml:space="preserve">of </w:t>
      </w:r>
      <w:r w:rsidR="00704516">
        <w:rPr>
          <w:lang w:val="en-US"/>
        </w:rPr>
        <w:t>appo</w:t>
      </w:r>
      <w:r w:rsidR="00352E71">
        <w:rPr>
          <w:lang w:val="en-US"/>
        </w:rPr>
        <w:t>inting a local bookrunner, and</w:t>
      </w:r>
      <w:r w:rsidR="00704516">
        <w:rPr>
          <w:lang w:val="en-US"/>
        </w:rPr>
        <w:t xml:space="preserve"> Lau and Yu (2010) find that weaker rated </w:t>
      </w:r>
      <w:r w:rsidR="00B04201">
        <w:rPr>
          <w:lang w:val="en-US"/>
        </w:rPr>
        <w:t xml:space="preserve">corporate bond </w:t>
      </w:r>
      <w:r w:rsidR="00704516">
        <w:rPr>
          <w:lang w:val="en-US"/>
        </w:rPr>
        <w:t xml:space="preserve">issuers are more likely to appoint </w:t>
      </w:r>
      <w:r w:rsidR="00B04201">
        <w:rPr>
          <w:lang w:val="en-US"/>
        </w:rPr>
        <w:t xml:space="preserve">a </w:t>
      </w:r>
      <w:r w:rsidR="00704516">
        <w:rPr>
          <w:lang w:val="en-US"/>
        </w:rPr>
        <w:t xml:space="preserve">local </w:t>
      </w:r>
      <w:r w:rsidR="00B04201">
        <w:rPr>
          <w:lang w:val="en-US"/>
        </w:rPr>
        <w:t>lead underwriter</w:t>
      </w:r>
      <w:r w:rsidR="00704516">
        <w:rPr>
          <w:lang w:val="en-US"/>
        </w:rPr>
        <w:t>.</w:t>
      </w:r>
    </w:p>
    <w:p w14:paraId="0AF176A4" w14:textId="77777777" w:rsidR="00834C23" w:rsidRPr="002A5481" w:rsidRDefault="00834C23" w:rsidP="00834C23">
      <w:pPr>
        <w:spacing w:line="480" w:lineRule="auto"/>
        <w:jc w:val="center"/>
        <w:rPr>
          <w:b/>
          <w:bCs/>
          <w:lang w:val="en-US"/>
        </w:rPr>
      </w:pPr>
      <w:r w:rsidRPr="002A5481">
        <w:rPr>
          <w:b/>
          <w:bCs/>
          <w:lang w:val="en-US"/>
        </w:rPr>
        <w:t>[Insert Table 4 about here]</w:t>
      </w:r>
    </w:p>
    <w:p w14:paraId="6C6122F4" w14:textId="77777777" w:rsidR="00834C23" w:rsidRPr="00DC68DD" w:rsidRDefault="00834C23" w:rsidP="00834C23">
      <w:pPr>
        <w:spacing w:line="480" w:lineRule="auto"/>
        <w:jc w:val="center"/>
        <w:rPr>
          <w:lang w:val="en-US"/>
        </w:rPr>
      </w:pPr>
    </w:p>
    <w:p w14:paraId="604C69C0" w14:textId="172BD3B7" w:rsidR="00B04201" w:rsidRDefault="00F21C62" w:rsidP="00847EBB">
      <w:pPr>
        <w:spacing w:line="480" w:lineRule="auto"/>
        <w:ind w:firstLine="709"/>
        <w:jc w:val="both"/>
        <w:rPr>
          <w:lang w:val="en-US"/>
        </w:rPr>
      </w:pPr>
      <w:r>
        <w:rPr>
          <w:lang w:val="en-US"/>
        </w:rPr>
        <w:t>In Model 2,</w:t>
      </w:r>
      <w:r w:rsidR="00BD666F">
        <w:rPr>
          <w:lang w:val="en-US"/>
        </w:rPr>
        <w:t xml:space="preserve"> </w:t>
      </w:r>
      <w:r w:rsidR="008F171A" w:rsidRPr="00DC68DD">
        <w:rPr>
          <w:lang w:val="en-US"/>
        </w:rPr>
        <w:t xml:space="preserve">we present </w:t>
      </w:r>
      <w:r w:rsidR="008B3220" w:rsidRPr="00DC68DD">
        <w:rPr>
          <w:lang w:val="en-US"/>
        </w:rPr>
        <w:t>t</w:t>
      </w:r>
      <w:r w:rsidR="00C75C49" w:rsidRPr="00DC68DD">
        <w:rPr>
          <w:lang w:val="en-US"/>
        </w:rPr>
        <w:t xml:space="preserve">he results for </w:t>
      </w:r>
      <w:r w:rsidR="00834C23" w:rsidRPr="00DC68DD">
        <w:rPr>
          <w:lang w:val="en-US"/>
        </w:rPr>
        <w:t xml:space="preserve">second stage </w:t>
      </w:r>
      <w:r w:rsidR="00C61853" w:rsidRPr="00DC68DD">
        <w:rPr>
          <w:lang w:val="en-US"/>
        </w:rPr>
        <w:t xml:space="preserve">regressions </w:t>
      </w:r>
      <w:r w:rsidR="00834C23" w:rsidRPr="00DC68DD">
        <w:rPr>
          <w:lang w:val="en-US"/>
        </w:rPr>
        <w:t xml:space="preserve">of the </w:t>
      </w:r>
      <w:r w:rsidR="00D34A01">
        <w:rPr>
          <w:lang w:val="en-US"/>
        </w:rPr>
        <w:t>relation between bookrunner geography and quality of service</w:t>
      </w:r>
      <w:r w:rsidR="00094EEE" w:rsidRPr="00DC68DD">
        <w:rPr>
          <w:lang w:val="en-US"/>
        </w:rPr>
        <w:t xml:space="preserve">. </w:t>
      </w:r>
      <w:r w:rsidR="005A181B">
        <w:rPr>
          <w:lang w:val="en-US"/>
        </w:rPr>
        <w:t>A</w:t>
      </w:r>
      <w:r w:rsidR="00C12B34" w:rsidRPr="00DC68DD">
        <w:rPr>
          <w:lang w:val="en-US"/>
        </w:rPr>
        <w:t>fter controlling for</w:t>
      </w:r>
      <w:r w:rsidR="00094EEE" w:rsidRPr="00DC68DD">
        <w:rPr>
          <w:lang w:val="en-US"/>
        </w:rPr>
        <w:t xml:space="preserve"> </w:t>
      </w:r>
      <w:r w:rsidR="00C12B34" w:rsidRPr="00DC68DD">
        <w:rPr>
          <w:lang w:val="en-US"/>
        </w:rPr>
        <w:t>issuer-</w:t>
      </w:r>
      <w:r w:rsidR="00094EEE" w:rsidRPr="00DC68DD">
        <w:rPr>
          <w:lang w:val="en-US"/>
        </w:rPr>
        <w:t xml:space="preserve">bookrunner </w:t>
      </w:r>
      <w:r w:rsidR="00C12B34" w:rsidRPr="00DC68DD">
        <w:rPr>
          <w:lang w:val="en-US"/>
        </w:rPr>
        <w:t>matching</w:t>
      </w:r>
      <w:r w:rsidR="00094EEE" w:rsidRPr="00DC68DD">
        <w:rPr>
          <w:lang w:val="en-US"/>
        </w:rPr>
        <w:t xml:space="preserve">, we find </w:t>
      </w:r>
      <w:r w:rsidR="009120C6">
        <w:rPr>
          <w:lang w:val="en-US"/>
        </w:rPr>
        <w:t xml:space="preserve">a </w:t>
      </w:r>
      <w:r w:rsidR="00DD116D">
        <w:rPr>
          <w:lang w:val="en-US"/>
        </w:rPr>
        <w:t xml:space="preserve">significant </w:t>
      </w:r>
      <w:r w:rsidR="009120C6">
        <w:rPr>
          <w:lang w:val="en-US"/>
        </w:rPr>
        <w:t xml:space="preserve">positive relation between </w:t>
      </w:r>
      <w:r w:rsidR="00A0251E">
        <w:rPr>
          <w:lang w:val="en-US"/>
        </w:rPr>
        <w:t xml:space="preserve">the proportion of non-domestic bookrunners </w:t>
      </w:r>
      <w:r w:rsidR="009120C6">
        <w:rPr>
          <w:lang w:val="en-US"/>
        </w:rPr>
        <w:t xml:space="preserve">and </w:t>
      </w:r>
      <w:r w:rsidR="00A0251E">
        <w:rPr>
          <w:lang w:val="en-US"/>
        </w:rPr>
        <w:t>at-issue credit spread</w:t>
      </w:r>
      <w:r w:rsidR="009120C6">
        <w:rPr>
          <w:lang w:val="en-US"/>
        </w:rPr>
        <w:t>s</w:t>
      </w:r>
      <w:r w:rsidR="00352E71" w:rsidRPr="007C25BB">
        <w:rPr>
          <w:lang w:val="en-US"/>
        </w:rPr>
        <w:t xml:space="preserve">, at the </w:t>
      </w:r>
      <w:r w:rsidR="002A5481" w:rsidRPr="007C25BB">
        <w:rPr>
          <w:lang w:val="en-US"/>
        </w:rPr>
        <w:t>1</w:t>
      </w:r>
      <w:r w:rsidR="00352E71" w:rsidRPr="007C25BB">
        <w:rPr>
          <w:lang w:val="en-US"/>
        </w:rPr>
        <w:t>% level</w:t>
      </w:r>
      <w:r w:rsidR="00094EEE" w:rsidRPr="007C25BB">
        <w:rPr>
          <w:lang w:val="en-US"/>
        </w:rPr>
        <w:t xml:space="preserve">. </w:t>
      </w:r>
      <w:r w:rsidR="009120C6" w:rsidRPr="007C25BB">
        <w:rPr>
          <w:lang w:val="en-US"/>
        </w:rPr>
        <w:t xml:space="preserve">This </w:t>
      </w:r>
      <w:r w:rsidR="00B25FD2">
        <w:rPr>
          <w:lang w:val="en-US"/>
        </w:rPr>
        <w:t xml:space="preserve">suggests a benefit to </w:t>
      </w:r>
      <w:r w:rsidR="00352E71">
        <w:rPr>
          <w:lang w:val="en-US"/>
        </w:rPr>
        <w:t>us</w:t>
      </w:r>
      <w:r w:rsidR="00D9366A">
        <w:rPr>
          <w:lang w:val="en-US"/>
        </w:rPr>
        <w:t xml:space="preserve">ing domestic </w:t>
      </w:r>
      <w:r w:rsidR="00B25FD2">
        <w:rPr>
          <w:lang w:val="en-US"/>
        </w:rPr>
        <w:t xml:space="preserve">bookrunners and </w:t>
      </w:r>
      <w:r w:rsidR="009120C6">
        <w:rPr>
          <w:lang w:val="en-US"/>
        </w:rPr>
        <w:t xml:space="preserve">supports </w:t>
      </w:r>
      <w:r w:rsidR="00352E71">
        <w:rPr>
          <w:lang w:val="en-US"/>
        </w:rPr>
        <w:t>our view</w:t>
      </w:r>
      <w:r w:rsidR="009120C6" w:rsidRPr="00DC68DD">
        <w:rPr>
          <w:lang w:val="en-US"/>
        </w:rPr>
        <w:t xml:space="preserve"> that </w:t>
      </w:r>
      <w:r w:rsidR="00B04201">
        <w:rPr>
          <w:lang w:val="en-US"/>
        </w:rPr>
        <w:t xml:space="preserve">a syndicate skewed towards </w:t>
      </w:r>
      <w:r w:rsidR="00847EBB">
        <w:rPr>
          <w:lang w:val="en-US"/>
        </w:rPr>
        <w:t>domestic bookrunners provide</w:t>
      </w:r>
      <w:r w:rsidR="00B04201">
        <w:rPr>
          <w:lang w:val="en-US"/>
        </w:rPr>
        <w:t>s</w:t>
      </w:r>
      <w:r w:rsidR="00847EBB">
        <w:rPr>
          <w:lang w:val="en-US"/>
        </w:rPr>
        <w:t xml:space="preserve"> </w:t>
      </w:r>
      <w:r w:rsidR="00A07B84">
        <w:rPr>
          <w:lang w:val="en-US"/>
        </w:rPr>
        <w:t xml:space="preserve">a </w:t>
      </w:r>
      <w:r w:rsidR="00847EBB">
        <w:rPr>
          <w:lang w:val="en-US"/>
        </w:rPr>
        <w:t xml:space="preserve">higher quality of service </w:t>
      </w:r>
      <w:r w:rsidR="009120C6" w:rsidRPr="00DC68DD">
        <w:rPr>
          <w:lang w:val="en-US"/>
        </w:rPr>
        <w:t>(Drucker and Puri, 2005).</w:t>
      </w:r>
      <w:r w:rsidR="009120C6">
        <w:rPr>
          <w:lang w:val="en-US"/>
        </w:rPr>
        <w:t xml:space="preserve"> </w:t>
      </w:r>
    </w:p>
    <w:p w14:paraId="7A86DB8D" w14:textId="5C886D9F" w:rsidR="00157B98" w:rsidRDefault="00157B98" w:rsidP="00847EBB">
      <w:pPr>
        <w:spacing w:line="480" w:lineRule="auto"/>
        <w:ind w:firstLine="709"/>
        <w:jc w:val="both"/>
        <w:rPr>
          <w:lang w:val="en-US"/>
        </w:rPr>
      </w:pPr>
      <w:r>
        <w:rPr>
          <w:lang w:val="en-US"/>
        </w:rPr>
        <w:t>Our control variables in our main models in Table 4 are generally consistent with prior findings on bond pricing determinants (Andres et al., 2014; Gande et al., 1999; Puri, 1996). We find that credit spreads are higher in larger offerings and increase with leverage, which we attribute to their correlation with default risk. As expected, at-issue credit spreads are generally lower for higher</w:t>
      </w:r>
      <w:r w:rsidR="004C334E">
        <w:rPr>
          <w:lang w:val="en-US"/>
        </w:rPr>
        <w:t>-</w:t>
      </w:r>
      <w:r>
        <w:rPr>
          <w:lang w:val="en-US"/>
        </w:rPr>
        <w:t>rated bonds. We find that larger and more profitable firms pay lower credit spreads on bond tranches, again supporting credit risk arguments, and there is weak evidence that firms with stronger growth opportunities pay lower spreads on newly issued bonds.</w:t>
      </w:r>
    </w:p>
    <w:p w14:paraId="7B5AADA5" w14:textId="5C398B8E" w:rsidR="00157B98" w:rsidRDefault="00610738" w:rsidP="00E300E4">
      <w:pPr>
        <w:spacing w:line="480" w:lineRule="auto"/>
        <w:ind w:firstLine="709"/>
        <w:jc w:val="both"/>
        <w:rPr>
          <w:lang w:val="en-US"/>
        </w:rPr>
      </w:pPr>
      <w:r>
        <w:rPr>
          <w:lang w:val="en-US"/>
        </w:rPr>
        <w:t xml:space="preserve">Considering the range of bookrunner functions, we assess several possible drivers of the observed higher quality of service provided by syndicates dominated by domestic bookrunners. </w:t>
      </w:r>
      <w:r w:rsidR="001A14EE">
        <w:rPr>
          <w:lang w:val="en-US"/>
        </w:rPr>
        <w:t>In following sections</w:t>
      </w:r>
      <w:r w:rsidR="004D5011">
        <w:rPr>
          <w:lang w:val="en-US"/>
        </w:rPr>
        <w:t xml:space="preserve">, we examine the </w:t>
      </w:r>
      <w:r w:rsidR="001A14EE">
        <w:rPr>
          <w:lang w:val="en-US"/>
        </w:rPr>
        <w:t>role of active bookrunners</w:t>
      </w:r>
      <w:r w:rsidR="009900D7">
        <w:rPr>
          <w:lang w:val="en-US"/>
        </w:rPr>
        <w:t xml:space="preserve">, </w:t>
      </w:r>
      <w:r w:rsidR="004D5011">
        <w:rPr>
          <w:lang w:val="en-US"/>
        </w:rPr>
        <w:t xml:space="preserve">the size of </w:t>
      </w:r>
      <w:r w:rsidR="004C334E">
        <w:rPr>
          <w:lang w:val="en-US"/>
        </w:rPr>
        <w:t xml:space="preserve">the </w:t>
      </w:r>
      <w:r w:rsidR="004D5011">
        <w:rPr>
          <w:lang w:val="en-US"/>
        </w:rPr>
        <w:t>investor network</w:t>
      </w:r>
      <w:r w:rsidR="009900D7">
        <w:rPr>
          <w:lang w:val="en-US"/>
        </w:rPr>
        <w:t>, investors allocation, and oversubscription</w:t>
      </w:r>
      <w:r w:rsidR="004D5011">
        <w:rPr>
          <w:lang w:val="en-US"/>
        </w:rPr>
        <w:t>.</w:t>
      </w:r>
    </w:p>
    <w:p w14:paraId="6AABB1F2" w14:textId="77777777" w:rsidR="00FB7AFD" w:rsidRPr="0030353C" w:rsidRDefault="00FB7AFD" w:rsidP="00FB7AFD">
      <w:pPr>
        <w:pStyle w:val="Heading3"/>
        <w:rPr>
          <w:i w:val="0"/>
          <w:lang w:val="en-US"/>
        </w:rPr>
      </w:pPr>
      <w:r w:rsidRPr="0030353C">
        <w:rPr>
          <w:lang w:val="en-US"/>
        </w:rPr>
        <w:lastRenderedPageBreak/>
        <w:t>4.2.</w:t>
      </w:r>
      <w:r>
        <w:rPr>
          <w:lang w:val="en-US"/>
        </w:rPr>
        <w:t>1.</w:t>
      </w:r>
      <w:r w:rsidRPr="0030353C">
        <w:rPr>
          <w:lang w:val="en-US"/>
        </w:rPr>
        <w:t xml:space="preserve"> </w:t>
      </w:r>
      <w:r>
        <w:rPr>
          <w:lang w:val="en-US"/>
        </w:rPr>
        <w:t>Active bookrunners</w:t>
      </w:r>
    </w:p>
    <w:p w14:paraId="57D68846" w14:textId="77777777" w:rsidR="00FB7AFD" w:rsidRDefault="00FB7AFD" w:rsidP="00FB7AFD">
      <w:pPr>
        <w:spacing w:line="480" w:lineRule="auto"/>
        <w:jc w:val="both"/>
        <w:rPr>
          <w:lang w:val="en-US"/>
        </w:rPr>
      </w:pPr>
      <w:r w:rsidRPr="00915BBF">
        <w:rPr>
          <w:lang w:val="en-US"/>
        </w:rPr>
        <w:t xml:space="preserve">Our main model controls for the proportion of bookrunners who have a prior lending relationship with the firm and are hence arguably </w:t>
      </w:r>
      <w:r>
        <w:rPr>
          <w:lang w:val="en-US"/>
        </w:rPr>
        <w:t xml:space="preserve">the </w:t>
      </w:r>
      <w:r w:rsidRPr="00915BBF">
        <w:rPr>
          <w:lang w:val="en-US"/>
        </w:rPr>
        <w:t>best placed to be evaluators</w:t>
      </w:r>
      <w:r>
        <w:rPr>
          <w:lang w:val="en-US"/>
        </w:rPr>
        <w:t xml:space="preserve"> of the riskiness of the firm</w:t>
      </w:r>
      <w:r w:rsidRPr="00915BBF">
        <w:rPr>
          <w:lang w:val="en-US"/>
        </w:rPr>
        <w:t xml:space="preserve">. In addition </w:t>
      </w:r>
      <w:r>
        <w:rPr>
          <w:lang w:val="en-US"/>
        </w:rPr>
        <w:t xml:space="preserve">to this test, </w:t>
      </w:r>
      <w:r w:rsidRPr="00915BBF">
        <w:rPr>
          <w:lang w:val="en-US"/>
        </w:rPr>
        <w:t>in Model 1 of Table 5</w:t>
      </w:r>
      <w:r>
        <w:rPr>
          <w:lang w:val="en-US"/>
        </w:rPr>
        <w:t>,</w:t>
      </w:r>
      <w:r w:rsidRPr="00915BBF">
        <w:rPr>
          <w:lang w:val="en-US"/>
        </w:rPr>
        <w:t xml:space="preserve"> we consider only the proportion of active non-domestic bookrunners, thereby excluding the passive bookrunners. Our</w:t>
      </w:r>
      <w:r>
        <w:rPr>
          <w:lang w:val="en-US"/>
        </w:rPr>
        <w:t xml:space="preserve"> main result on the significantly positive relation with % of non-domestic bookrunners</w:t>
      </w:r>
      <w:r w:rsidRPr="00915BBF">
        <w:rPr>
          <w:lang w:val="en-US"/>
        </w:rPr>
        <w:t xml:space="preserve"> </w:t>
      </w:r>
      <w:r>
        <w:rPr>
          <w:lang w:val="en-US"/>
        </w:rPr>
        <w:t xml:space="preserve">in Table 4 </w:t>
      </w:r>
      <w:r w:rsidRPr="00915BBF">
        <w:rPr>
          <w:lang w:val="en-US"/>
        </w:rPr>
        <w:t>continue</w:t>
      </w:r>
      <w:r>
        <w:rPr>
          <w:lang w:val="en-US"/>
        </w:rPr>
        <w:t>s</w:t>
      </w:r>
      <w:r w:rsidRPr="00915BBF">
        <w:rPr>
          <w:lang w:val="en-US"/>
        </w:rPr>
        <w:t xml:space="preserve"> to hold.</w:t>
      </w:r>
    </w:p>
    <w:p w14:paraId="5C36CCD4" w14:textId="77777777" w:rsidR="00FB7AFD" w:rsidRPr="004D5011" w:rsidRDefault="00FB7AFD" w:rsidP="00FB7AFD">
      <w:pPr>
        <w:spacing w:line="480" w:lineRule="auto"/>
        <w:ind w:firstLine="709"/>
        <w:jc w:val="center"/>
        <w:rPr>
          <w:b/>
          <w:bCs/>
          <w:lang w:val="en-US"/>
        </w:rPr>
      </w:pPr>
      <w:r w:rsidRPr="004D5011">
        <w:rPr>
          <w:b/>
          <w:bCs/>
          <w:lang w:val="en-US"/>
        </w:rPr>
        <w:t>[Insert Table 5 about here]</w:t>
      </w:r>
    </w:p>
    <w:p w14:paraId="28004F08" w14:textId="43C1FD93" w:rsidR="00157B98" w:rsidRPr="002926A0" w:rsidRDefault="00157B98" w:rsidP="001D2FC9">
      <w:pPr>
        <w:pStyle w:val="Heading3"/>
        <w:rPr>
          <w:lang w:val="en-US"/>
        </w:rPr>
      </w:pPr>
      <w:r w:rsidRPr="002926A0">
        <w:rPr>
          <w:lang w:val="en-US"/>
        </w:rPr>
        <w:t>4.2.</w:t>
      </w:r>
      <w:r>
        <w:rPr>
          <w:lang w:val="en-US"/>
        </w:rPr>
        <w:t>2.</w:t>
      </w:r>
      <w:r w:rsidRPr="002926A0">
        <w:rPr>
          <w:lang w:val="en-US"/>
        </w:rPr>
        <w:t xml:space="preserve"> </w:t>
      </w:r>
      <w:r>
        <w:rPr>
          <w:lang w:val="en-US"/>
        </w:rPr>
        <w:t>Size of investor network</w:t>
      </w:r>
    </w:p>
    <w:p w14:paraId="04D83597" w14:textId="25672F93" w:rsidR="00B04201" w:rsidRDefault="004D5011" w:rsidP="00610738">
      <w:pPr>
        <w:spacing w:line="480" w:lineRule="auto"/>
        <w:jc w:val="both"/>
        <w:rPr>
          <w:lang w:val="en-US"/>
        </w:rPr>
      </w:pPr>
      <w:r>
        <w:rPr>
          <w:lang w:val="en-US"/>
        </w:rPr>
        <w:t>Next,</w:t>
      </w:r>
      <w:r w:rsidR="008518D8">
        <w:rPr>
          <w:lang w:val="en-US"/>
        </w:rPr>
        <w:t xml:space="preserve"> we consider whether domestic bookrunners offer higher placement benefits. The</w:t>
      </w:r>
      <w:r w:rsidR="00FF08E0">
        <w:rPr>
          <w:lang w:val="en-US"/>
        </w:rPr>
        <w:t xml:space="preserve"> interpretation </w:t>
      </w:r>
      <w:r w:rsidR="00506EBC">
        <w:rPr>
          <w:lang w:val="en-US"/>
        </w:rPr>
        <w:t>c</w:t>
      </w:r>
      <w:r w:rsidR="008518D8">
        <w:rPr>
          <w:lang w:val="en-US"/>
        </w:rPr>
        <w:t xml:space="preserve">ould </w:t>
      </w:r>
      <w:r w:rsidR="00FF08E0">
        <w:rPr>
          <w:lang w:val="en-US"/>
        </w:rPr>
        <w:t xml:space="preserve">be that </w:t>
      </w:r>
      <w:r w:rsidR="008518D8">
        <w:rPr>
          <w:lang w:val="en-US"/>
        </w:rPr>
        <w:t xml:space="preserve">our </w:t>
      </w:r>
      <w:r w:rsidR="00B04201">
        <w:rPr>
          <w:lang w:val="en-US"/>
        </w:rPr>
        <w:t xml:space="preserve">results </w:t>
      </w:r>
      <w:r w:rsidR="007D7B0A">
        <w:rPr>
          <w:lang w:val="en-US"/>
        </w:rPr>
        <w:t xml:space="preserve">reflect the </w:t>
      </w:r>
      <w:r w:rsidR="00AE55D2">
        <w:rPr>
          <w:lang w:val="en-US"/>
        </w:rPr>
        <w:t xml:space="preserve">domestic information advantage </w:t>
      </w:r>
      <w:r w:rsidR="007D7B0A">
        <w:rPr>
          <w:lang w:val="en-US"/>
        </w:rPr>
        <w:t>of domestic bookrunners in the largest European economies (</w:t>
      </w:r>
      <w:r w:rsidR="007D7B0A" w:rsidRPr="009F7639">
        <w:rPr>
          <w:lang w:val="en-US"/>
        </w:rPr>
        <w:t>Chemmanur and Krishnan, 2012</w:t>
      </w:r>
      <w:r w:rsidR="007D7B0A">
        <w:rPr>
          <w:lang w:val="en-US"/>
        </w:rPr>
        <w:t xml:space="preserve">), </w:t>
      </w:r>
      <w:r w:rsidR="00AE55D2">
        <w:rPr>
          <w:lang w:val="en-US"/>
        </w:rPr>
        <w:t xml:space="preserve">namely </w:t>
      </w:r>
      <w:r w:rsidR="004C334E">
        <w:rPr>
          <w:lang w:val="en-US"/>
        </w:rPr>
        <w:t xml:space="preserve">the </w:t>
      </w:r>
      <w:r w:rsidR="007D7B0A">
        <w:rPr>
          <w:lang w:val="en-US"/>
        </w:rPr>
        <w:t>UK, France</w:t>
      </w:r>
      <w:r w:rsidR="004C334E">
        <w:rPr>
          <w:lang w:val="en-US"/>
        </w:rPr>
        <w:t>,</w:t>
      </w:r>
      <w:r w:rsidR="007D7B0A">
        <w:rPr>
          <w:lang w:val="en-US"/>
        </w:rPr>
        <w:t xml:space="preserve"> and Germany. These </w:t>
      </w:r>
      <w:r w:rsidR="008518D8">
        <w:rPr>
          <w:lang w:val="en-US"/>
        </w:rPr>
        <w:t xml:space="preserve">countries </w:t>
      </w:r>
      <w:r w:rsidR="007D7B0A">
        <w:rPr>
          <w:lang w:val="en-US"/>
        </w:rPr>
        <w:t xml:space="preserve">are home to most of the largest European banks, </w:t>
      </w:r>
      <w:r w:rsidR="008518D8">
        <w:rPr>
          <w:lang w:val="en-US"/>
        </w:rPr>
        <w:t xml:space="preserve">constitute </w:t>
      </w:r>
      <w:r w:rsidRPr="004E06C1">
        <w:rPr>
          <w:lang w:val="en-US"/>
        </w:rPr>
        <w:t>69.8</w:t>
      </w:r>
      <w:r w:rsidR="007D7B0A" w:rsidRPr="004E06C1">
        <w:rPr>
          <w:lang w:val="en-US"/>
        </w:rPr>
        <w:t xml:space="preserve">% </w:t>
      </w:r>
      <w:r w:rsidR="007D7B0A">
        <w:rPr>
          <w:lang w:val="en-US"/>
        </w:rPr>
        <w:t>of our sample</w:t>
      </w:r>
      <w:r w:rsidR="004C334E">
        <w:rPr>
          <w:lang w:val="en-US"/>
        </w:rPr>
        <w:t>,</w:t>
      </w:r>
      <w:r w:rsidR="007D7B0A">
        <w:rPr>
          <w:lang w:val="en-US"/>
        </w:rPr>
        <w:t xml:space="preserve"> and </w:t>
      </w:r>
      <w:r w:rsidR="008518D8">
        <w:rPr>
          <w:lang w:val="en-US"/>
        </w:rPr>
        <w:t xml:space="preserve">are characterized by syndicates with a higher </w:t>
      </w:r>
      <w:r w:rsidR="001A14EE">
        <w:rPr>
          <w:lang w:val="en-US"/>
        </w:rPr>
        <w:t xml:space="preserve">proportion </w:t>
      </w:r>
      <w:r w:rsidR="008518D8">
        <w:rPr>
          <w:lang w:val="en-US"/>
        </w:rPr>
        <w:t xml:space="preserve">of </w:t>
      </w:r>
      <w:r w:rsidR="007D7B0A">
        <w:rPr>
          <w:lang w:val="en-US"/>
        </w:rPr>
        <w:t>domestic bookrunners. Hence</w:t>
      </w:r>
      <w:r w:rsidR="00FB7AFD">
        <w:rPr>
          <w:lang w:val="en-US"/>
        </w:rPr>
        <w:t>,</w:t>
      </w:r>
      <w:r w:rsidR="007D7B0A">
        <w:rPr>
          <w:lang w:val="en-US"/>
        </w:rPr>
        <w:t xml:space="preserve"> the “better quality” service of domestic bookrunners could simply reflect the ability of higher reputation bookrunners from major economies to </w:t>
      </w:r>
      <w:r w:rsidR="000B2F72">
        <w:rPr>
          <w:lang w:val="en-US"/>
        </w:rPr>
        <w:t xml:space="preserve">pressure </w:t>
      </w:r>
      <w:r w:rsidR="007D7B0A">
        <w:rPr>
          <w:lang w:val="en-US"/>
        </w:rPr>
        <w:t>more investors</w:t>
      </w:r>
      <w:r w:rsidR="000B2F72">
        <w:rPr>
          <w:lang w:val="en-US"/>
        </w:rPr>
        <w:t xml:space="preserve"> into buying their offerings</w:t>
      </w:r>
      <w:r w:rsidR="007D7B0A">
        <w:rPr>
          <w:lang w:val="en-US"/>
        </w:rPr>
        <w:t>.</w:t>
      </w:r>
    </w:p>
    <w:p w14:paraId="0998F175" w14:textId="348F24CC" w:rsidR="008518D8" w:rsidRDefault="006E21E3" w:rsidP="00E95C61">
      <w:pPr>
        <w:spacing w:line="480" w:lineRule="auto"/>
        <w:ind w:firstLine="709"/>
        <w:jc w:val="both"/>
        <w:rPr>
          <w:lang w:val="en-US"/>
        </w:rPr>
      </w:pPr>
      <w:r>
        <w:rPr>
          <w:lang w:val="en-US"/>
        </w:rPr>
        <w:t xml:space="preserve">In Model 2, we consider the impact of the proportion of non-domestic active bookrunners with a top 10 league table position. Appendix </w:t>
      </w:r>
      <w:r w:rsidR="001F0E54">
        <w:rPr>
          <w:lang w:val="en-US"/>
        </w:rPr>
        <w:t>A</w:t>
      </w:r>
      <w:r>
        <w:rPr>
          <w:lang w:val="en-US"/>
        </w:rPr>
        <w:t xml:space="preserve"> gives the detail of the top bookrunners during our sample period. </w:t>
      </w:r>
      <w:r w:rsidR="001F0E54">
        <w:rPr>
          <w:lang w:val="en-US"/>
        </w:rPr>
        <w:t xml:space="preserve">The findings show a positive </w:t>
      </w:r>
      <w:r w:rsidR="00DE31A3">
        <w:rPr>
          <w:lang w:val="en-US"/>
        </w:rPr>
        <w:t xml:space="preserve">impact </w:t>
      </w:r>
      <w:r w:rsidR="001F0E54">
        <w:rPr>
          <w:lang w:val="en-US"/>
        </w:rPr>
        <w:t xml:space="preserve">on the </w:t>
      </w:r>
      <w:r w:rsidR="00DE31A3">
        <w:rPr>
          <w:lang w:val="en-US"/>
        </w:rPr>
        <w:t>credit</w:t>
      </w:r>
      <w:r w:rsidR="001F0E54">
        <w:rPr>
          <w:lang w:val="en-US"/>
        </w:rPr>
        <w:t xml:space="preserve"> spreads</w:t>
      </w:r>
      <w:r w:rsidR="00766146">
        <w:rPr>
          <w:lang w:val="en-US"/>
        </w:rPr>
        <w:t xml:space="preserve">. </w:t>
      </w:r>
      <w:r w:rsidR="000B2F72">
        <w:rPr>
          <w:lang w:val="en-US"/>
        </w:rPr>
        <w:t xml:space="preserve">This shows </w:t>
      </w:r>
      <w:r w:rsidR="00DE31A3">
        <w:rPr>
          <w:lang w:val="en-US"/>
        </w:rPr>
        <w:t xml:space="preserve">that the market power of the top non-domestic active bookrunners does not result in a </w:t>
      </w:r>
      <w:r w:rsidR="000B2F72">
        <w:rPr>
          <w:lang w:val="en-US"/>
        </w:rPr>
        <w:t xml:space="preserve">better at-issue </w:t>
      </w:r>
      <w:r w:rsidR="00DE31A3">
        <w:rPr>
          <w:lang w:val="en-US"/>
        </w:rPr>
        <w:t>spread</w:t>
      </w:r>
      <w:r w:rsidR="000B2F72">
        <w:rPr>
          <w:lang w:val="en-US"/>
        </w:rPr>
        <w:t xml:space="preserve">. </w:t>
      </w:r>
      <w:r w:rsidR="00DE31A3">
        <w:rPr>
          <w:lang w:val="en-US"/>
        </w:rPr>
        <w:t>I</w:t>
      </w:r>
      <w:r w:rsidR="007C6B2D">
        <w:rPr>
          <w:lang w:val="en-US"/>
        </w:rPr>
        <w:t xml:space="preserve">n Model </w:t>
      </w:r>
      <w:r w:rsidR="00506EBC" w:rsidRPr="00915BBF">
        <w:rPr>
          <w:lang w:val="en-US"/>
        </w:rPr>
        <w:t>3</w:t>
      </w:r>
      <w:r w:rsidR="007C6B2D">
        <w:rPr>
          <w:lang w:val="en-US"/>
        </w:rPr>
        <w:t>, our main explanatory variable is</w:t>
      </w:r>
      <w:r w:rsidR="007C6B2D" w:rsidRPr="009120C6">
        <w:rPr>
          <w:lang w:val="en-US"/>
        </w:rPr>
        <w:t xml:space="preserve"> the </w:t>
      </w:r>
      <w:r w:rsidR="007C6B2D">
        <w:rPr>
          <w:lang w:val="en-US"/>
        </w:rPr>
        <w:t>proportion</w:t>
      </w:r>
      <w:r w:rsidR="007C6B2D" w:rsidRPr="009120C6">
        <w:rPr>
          <w:lang w:val="en-US"/>
        </w:rPr>
        <w:t xml:space="preserve"> of non-domestic bookrunners </w:t>
      </w:r>
      <w:r w:rsidR="007C6B2D">
        <w:rPr>
          <w:lang w:val="en-US"/>
        </w:rPr>
        <w:t>headquartered</w:t>
      </w:r>
      <w:r w:rsidR="007C6B2D" w:rsidRPr="009120C6">
        <w:rPr>
          <w:lang w:val="en-US"/>
        </w:rPr>
        <w:t xml:space="preserve"> in the la</w:t>
      </w:r>
      <w:r w:rsidR="007C6B2D">
        <w:rPr>
          <w:lang w:val="en-US"/>
        </w:rPr>
        <w:t xml:space="preserve">rgest three European economies of </w:t>
      </w:r>
      <w:r w:rsidR="007C6B2D" w:rsidRPr="009120C6">
        <w:rPr>
          <w:lang w:val="en-US"/>
        </w:rPr>
        <w:t>France, Germany</w:t>
      </w:r>
      <w:r w:rsidR="004C334E">
        <w:rPr>
          <w:lang w:val="en-US"/>
        </w:rPr>
        <w:t>,</w:t>
      </w:r>
      <w:r w:rsidR="007C6B2D" w:rsidRPr="009120C6">
        <w:rPr>
          <w:lang w:val="en-US"/>
        </w:rPr>
        <w:t xml:space="preserve"> and the UK. Bookrunners domiciled in these countries should </w:t>
      </w:r>
      <w:r w:rsidR="007C6B2D">
        <w:rPr>
          <w:lang w:val="en-US"/>
        </w:rPr>
        <w:t>provide</w:t>
      </w:r>
      <w:r w:rsidR="007C6B2D" w:rsidRPr="009120C6">
        <w:rPr>
          <w:lang w:val="en-US"/>
        </w:rPr>
        <w:t xml:space="preserve"> access to investors in the </w:t>
      </w:r>
      <w:r w:rsidR="007C6B2D">
        <w:rPr>
          <w:lang w:val="en-US"/>
        </w:rPr>
        <w:t>largest</w:t>
      </w:r>
      <w:r w:rsidR="007C6B2D" w:rsidRPr="009120C6">
        <w:rPr>
          <w:lang w:val="en-US"/>
        </w:rPr>
        <w:t xml:space="preserve"> European capital markets</w:t>
      </w:r>
      <w:r w:rsidR="007C6B2D">
        <w:rPr>
          <w:lang w:val="en-US"/>
        </w:rPr>
        <w:t xml:space="preserve"> and </w:t>
      </w:r>
      <w:r w:rsidR="007C6B2D" w:rsidRPr="009120C6">
        <w:rPr>
          <w:lang w:val="en-US"/>
        </w:rPr>
        <w:t xml:space="preserve">offer the most meaningful search benefits </w:t>
      </w:r>
      <w:r w:rsidR="007C6B2D">
        <w:rPr>
          <w:lang w:val="en-US"/>
        </w:rPr>
        <w:lastRenderedPageBreak/>
        <w:t>to the employment of non-domestic bookrunners</w:t>
      </w:r>
      <w:r w:rsidR="007C6B2D" w:rsidRPr="009120C6">
        <w:rPr>
          <w:lang w:val="en-US"/>
        </w:rPr>
        <w:t>.</w:t>
      </w:r>
      <w:r w:rsidR="007C6B2D">
        <w:rPr>
          <w:lang w:val="en-US"/>
        </w:rPr>
        <w:t xml:space="preserve"> </w:t>
      </w:r>
      <w:r w:rsidR="005921D9">
        <w:rPr>
          <w:lang w:val="en-US"/>
        </w:rPr>
        <w:t xml:space="preserve">The positive relation with the at-issue credit spread remains </w:t>
      </w:r>
      <w:r w:rsidR="008518D8">
        <w:rPr>
          <w:lang w:val="en-US"/>
        </w:rPr>
        <w:t xml:space="preserve">with </w:t>
      </w:r>
      <w:r w:rsidR="005921D9">
        <w:rPr>
          <w:lang w:val="en-US"/>
        </w:rPr>
        <w:t xml:space="preserve">a </w:t>
      </w:r>
      <w:r w:rsidR="004D5011">
        <w:rPr>
          <w:lang w:val="en-US"/>
        </w:rPr>
        <w:t>1</w:t>
      </w:r>
      <w:r w:rsidR="008518D8">
        <w:rPr>
          <w:lang w:val="en-US"/>
        </w:rPr>
        <w:t>% level of significance.</w:t>
      </w:r>
    </w:p>
    <w:p w14:paraId="151B6A7A" w14:textId="1075D901" w:rsidR="007C6B2D" w:rsidRPr="007C25BB" w:rsidRDefault="005921D9" w:rsidP="00E95C61">
      <w:pPr>
        <w:spacing w:line="480" w:lineRule="auto"/>
        <w:ind w:firstLine="709"/>
        <w:jc w:val="both"/>
        <w:rPr>
          <w:lang w:val="en-US"/>
        </w:rPr>
      </w:pPr>
      <w:r w:rsidRPr="00506EBC">
        <w:rPr>
          <w:lang w:val="en-US"/>
        </w:rPr>
        <w:t xml:space="preserve">In </w:t>
      </w:r>
      <w:r w:rsidR="00766146" w:rsidRPr="00506EBC">
        <w:rPr>
          <w:lang w:val="en-US"/>
        </w:rPr>
        <w:t xml:space="preserve">Model </w:t>
      </w:r>
      <w:r w:rsidR="00506EBC" w:rsidRPr="00915BBF">
        <w:rPr>
          <w:lang w:val="en-US"/>
        </w:rPr>
        <w:t>4</w:t>
      </w:r>
      <w:r w:rsidR="00506EBC" w:rsidRPr="00506EBC">
        <w:rPr>
          <w:lang w:val="en-US"/>
        </w:rPr>
        <w:t xml:space="preserve"> </w:t>
      </w:r>
      <w:r w:rsidR="00766146" w:rsidRPr="00506EBC">
        <w:rPr>
          <w:lang w:val="en-US"/>
        </w:rPr>
        <w:t xml:space="preserve">we </w:t>
      </w:r>
      <w:r w:rsidRPr="00506EBC">
        <w:rPr>
          <w:lang w:val="en-US"/>
        </w:rPr>
        <w:t xml:space="preserve">keep the same explanatory variable as Model </w:t>
      </w:r>
      <w:r w:rsidR="00506EBC" w:rsidRPr="00506EBC">
        <w:rPr>
          <w:lang w:val="en-US"/>
        </w:rPr>
        <w:t>2</w:t>
      </w:r>
      <w:r>
        <w:rPr>
          <w:lang w:val="en-US"/>
        </w:rPr>
        <w:t xml:space="preserve"> and focus only on</w:t>
      </w:r>
      <w:r w:rsidR="00766146">
        <w:rPr>
          <w:lang w:val="en-US"/>
        </w:rPr>
        <w:t xml:space="preserve"> tranches where there is no domestic top 10 bookrunner. </w:t>
      </w:r>
      <w:r w:rsidR="007C6B2D" w:rsidRPr="002D71BF">
        <w:t xml:space="preserve">This </w:t>
      </w:r>
      <w:r w:rsidR="007C6B2D">
        <w:t>could</w:t>
      </w:r>
      <w:r w:rsidR="007C6B2D" w:rsidRPr="002D71BF">
        <w:t xml:space="preserve"> </w:t>
      </w:r>
      <w:r w:rsidR="00506EBC">
        <w:t xml:space="preserve">reflect </w:t>
      </w:r>
      <w:r w:rsidR="00A25FAB">
        <w:t xml:space="preserve">an </w:t>
      </w:r>
      <w:r w:rsidR="007C6B2D">
        <w:t xml:space="preserve">issuer’s </w:t>
      </w:r>
      <w:r w:rsidR="00A25FAB">
        <w:t xml:space="preserve">preference for sub-top 10 bookrunners </w:t>
      </w:r>
      <w:r w:rsidR="007C6B2D">
        <w:t xml:space="preserve">or </w:t>
      </w:r>
      <w:r w:rsidR="00A25FAB">
        <w:t xml:space="preserve">be </w:t>
      </w:r>
      <w:r w:rsidR="007C6B2D">
        <w:t>the result of the issuer’s home location, with countries such as Belgium, Greece, and Switzerland not being home to a Top 10 bookrunner</w:t>
      </w:r>
      <w:r w:rsidR="007C6B2D" w:rsidRPr="002D71BF">
        <w:t xml:space="preserve">. </w:t>
      </w:r>
      <w:r w:rsidR="007C6B2D" w:rsidRPr="00397AF7">
        <w:rPr>
          <w:lang w:val="en-US"/>
        </w:rPr>
        <w:t xml:space="preserve">If </w:t>
      </w:r>
      <w:r w:rsidR="007C6B2D">
        <w:rPr>
          <w:lang w:val="en-US"/>
        </w:rPr>
        <w:t>market power</w:t>
      </w:r>
      <w:r w:rsidR="007C6B2D" w:rsidRPr="00397AF7">
        <w:rPr>
          <w:lang w:val="en-US"/>
        </w:rPr>
        <w:t xml:space="preserve"> effects are the primary drivers of bookrunner syndicate selection</w:t>
      </w:r>
      <w:r w:rsidR="007C6B2D">
        <w:rPr>
          <w:lang w:val="en-US"/>
        </w:rPr>
        <w:t>,</w:t>
      </w:r>
      <w:r w:rsidR="007C6B2D" w:rsidRPr="00397AF7">
        <w:rPr>
          <w:lang w:val="en-US"/>
        </w:rPr>
        <w:t xml:space="preserve"> the benefit of a non-domestic top</w:t>
      </w:r>
      <w:r w:rsidR="004C334E">
        <w:rPr>
          <w:lang w:val="en-US"/>
        </w:rPr>
        <w:t>-</w:t>
      </w:r>
      <w:r w:rsidR="007C6B2D" w:rsidRPr="00397AF7">
        <w:rPr>
          <w:lang w:val="en-US"/>
        </w:rPr>
        <w:t xml:space="preserve">tier bookrunner </w:t>
      </w:r>
      <w:r w:rsidR="004C334E">
        <w:rPr>
          <w:lang w:val="en-US"/>
        </w:rPr>
        <w:t>is</w:t>
      </w:r>
      <w:r w:rsidR="007C6B2D" w:rsidRPr="00397AF7">
        <w:rPr>
          <w:lang w:val="en-US"/>
        </w:rPr>
        <w:t xml:space="preserve"> most acute for </w:t>
      </w:r>
      <w:r w:rsidR="007C6B2D">
        <w:rPr>
          <w:lang w:val="en-US"/>
        </w:rPr>
        <w:t xml:space="preserve">these issuers. </w:t>
      </w:r>
      <w:r w:rsidR="004D5011" w:rsidRPr="007C25BB">
        <w:rPr>
          <w:lang w:val="en-US"/>
        </w:rPr>
        <w:t>However, we do not</w:t>
      </w:r>
      <w:r w:rsidR="007C6B2D" w:rsidRPr="007C25BB">
        <w:rPr>
          <w:lang w:val="en-US"/>
        </w:rPr>
        <w:t xml:space="preserve"> find a significant relation</w:t>
      </w:r>
      <w:r w:rsidR="004C334E" w:rsidRPr="007C25BB">
        <w:rPr>
          <w:lang w:val="en-US"/>
        </w:rPr>
        <w:t>ship</w:t>
      </w:r>
      <w:r w:rsidR="007C6B2D" w:rsidRPr="007C25BB">
        <w:rPr>
          <w:lang w:val="en-US"/>
        </w:rPr>
        <w:t xml:space="preserve"> between the proportion of non-domestic active Top 10 bookrunners and the at-issue credit spread. This </w:t>
      </w:r>
      <w:r w:rsidR="004D5011" w:rsidRPr="007C25BB">
        <w:rPr>
          <w:lang w:val="en-US"/>
        </w:rPr>
        <w:t>suggests</w:t>
      </w:r>
      <w:r w:rsidR="007C6B2D" w:rsidRPr="007C25BB">
        <w:rPr>
          <w:lang w:val="en-US"/>
        </w:rPr>
        <w:t xml:space="preserve"> that those issuers </w:t>
      </w:r>
      <w:r w:rsidR="004D5011" w:rsidRPr="007C25BB">
        <w:rPr>
          <w:lang w:val="en-US"/>
        </w:rPr>
        <w:t>who do not have</w:t>
      </w:r>
      <w:r w:rsidR="007C6B2D" w:rsidRPr="007C25BB">
        <w:rPr>
          <w:lang w:val="en-US"/>
        </w:rPr>
        <w:t xml:space="preserve"> access to a high reputation domestic bookrunner</w:t>
      </w:r>
      <w:r w:rsidR="004A6DA2" w:rsidRPr="007C25BB">
        <w:rPr>
          <w:lang w:val="en-US"/>
        </w:rPr>
        <w:t xml:space="preserve"> do not have any preference for either domestic or non-domestic </w:t>
      </w:r>
      <w:r w:rsidR="004C334E" w:rsidRPr="007C25BB">
        <w:rPr>
          <w:lang w:val="en-US"/>
        </w:rPr>
        <w:t xml:space="preserve">active </w:t>
      </w:r>
      <w:r w:rsidR="004A6DA2" w:rsidRPr="007C25BB">
        <w:rPr>
          <w:lang w:val="en-US"/>
        </w:rPr>
        <w:t>bookrunners in the sponsoring syndicate.</w:t>
      </w:r>
    </w:p>
    <w:p w14:paraId="721270F0" w14:textId="77777777" w:rsidR="009900D7" w:rsidRPr="007C25BB" w:rsidRDefault="009900D7" w:rsidP="009900D7">
      <w:pPr>
        <w:pStyle w:val="Heading3"/>
        <w:rPr>
          <w:lang w:val="en-US"/>
        </w:rPr>
      </w:pPr>
      <w:r w:rsidRPr="007C25BB">
        <w:rPr>
          <w:lang w:val="en-US"/>
        </w:rPr>
        <w:t>4.2.3. Investor allocation and bond demand</w:t>
      </w:r>
    </w:p>
    <w:p w14:paraId="6A5F0EC7" w14:textId="3B060E79" w:rsidR="00C4637D" w:rsidRPr="009900D7" w:rsidRDefault="000B2F72" w:rsidP="009900D7">
      <w:pPr>
        <w:spacing w:line="480" w:lineRule="auto"/>
        <w:jc w:val="both"/>
        <w:rPr>
          <w:lang w:val="en-US"/>
        </w:rPr>
      </w:pPr>
      <w:r w:rsidRPr="009900D7">
        <w:rPr>
          <w:lang w:val="en-US"/>
        </w:rPr>
        <w:t>Our subsample</w:t>
      </w:r>
      <w:r w:rsidR="00E10E62" w:rsidRPr="009900D7">
        <w:rPr>
          <w:lang w:val="en-US"/>
        </w:rPr>
        <w:t>s</w:t>
      </w:r>
      <w:r w:rsidRPr="009900D7">
        <w:rPr>
          <w:lang w:val="en-US"/>
        </w:rPr>
        <w:t xml:space="preserve"> of allocation </w:t>
      </w:r>
      <w:r w:rsidR="00E10E62" w:rsidRPr="009900D7">
        <w:rPr>
          <w:lang w:val="en-US"/>
        </w:rPr>
        <w:t xml:space="preserve">and bond demand </w:t>
      </w:r>
      <w:r w:rsidRPr="009900D7">
        <w:rPr>
          <w:lang w:val="en-US"/>
        </w:rPr>
        <w:t xml:space="preserve">data allow us to </w:t>
      </w:r>
      <w:r w:rsidR="00270810" w:rsidRPr="009900D7">
        <w:rPr>
          <w:lang w:val="en-US"/>
        </w:rPr>
        <w:t xml:space="preserve">do additional, direct testing of </w:t>
      </w:r>
      <w:r w:rsidRPr="009900D7">
        <w:rPr>
          <w:lang w:val="en-US"/>
        </w:rPr>
        <w:t xml:space="preserve">the effectiveness of the placement function. In </w:t>
      </w:r>
      <w:r w:rsidR="00FF08E0" w:rsidRPr="009900D7">
        <w:rPr>
          <w:lang w:val="en-US"/>
        </w:rPr>
        <w:t xml:space="preserve">Table </w:t>
      </w:r>
      <w:r w:rsidR="00A25FAB" w:rsidRPr="009900D7">
        <w:rPr>
          <w:lang w:val="en-US"/>
        </w:rPr>
        <w:t>6</w:t>
      </w:r>
      <w:r w:rsidR="009900D7">
        <w:rPr>
          <w:lang w:val="en-US"/>
        </w:rPr>
        <w:t>,</w:t>
      </w:r>
      <w:r w:rsidR="00A25FAB" w:rsidRPr="009900D7">
        <w:rPr>
          <w:lang w:val="en-US"/>
        </w:rPr>
        <w:t xml:space="preserve"> </w:t>
      </w:r>
      <w:r w:rsidRPr="009900D7">
        <w:rPr>
          <w:lang w:val="en-US"/>
        </w:rPr>
        <w:t>w</w:t>
      </w:r>
      <w:r w:rsidR="00157B98" w:rsidRPr="009900D7">
        <w:rPr>
          <w:lang w:val="en-US"/>
        </w:rPr>
        <w:t>e present O</w:t>
      </w:r>
      <w:r w:rsidR="001A1A15" w:rsidRPr="009900D7">
        <w:rPr>
          <w:lang w:val="en-US"/>
        </w:rPr>
        <w:t xml:space="preserve">LS regressions of %Domestic and </w:t>
      </w:r>
      <w:r w:rsidR="00157B98" w:rsidRPr="009900D7">
        <w:rPr>
          <w:lang w:val="en-US"/>
        </w:rPr>
        <w:t xml:space="preserve">oversubscription levels. </w:t>
      </w:r>
      <w:r w:rsidR="00EF34D1" w:rsidRPr="009900D7">
        <w:rPr>
          <w:lang w:val="en-US"/>
        </w:rPr>
        <w:t>In Model 1</w:t>
      </w:r>
      <w:r w:rsidR="009900D7">
        <w:rPr>
          <w:lang w:val="en-US"/>
        </w:rPr>
        <w:t>,</w:t>
      </w:r>
      <w:r w:rsidR="00EF34D1" w:rsidRPr="009900D7">
        <w:rPr>
          <w:lang w:val="en-US"/>
        </w:rPr>
        <w:t xml:space="preserve"> we find a negative relation between non-domestic bookrunner use and %</w:t>
      </w:r>
      <w:r w:rsidR="00C4637D" w:rsidRPr="009900D7">
        <w:rPr>
          <w:lang w:val="en-US"/>
        </w:rPr>
        <w:t xml:space="preserve"> of d</w:t>
      </w:r>
      <w:r w:rsidR="00EF34D1" w:rsidRPr="009900D7">
        <w:rPr>
          <w:lang w:val="en-US"/>
        </w:rPr>
        <w:t>omestic</w:t>
      </w:r>
      <w:r w:rsidR="00E10E62" w:rsidRPr="009900D7">
        <w:rPr>
          <w:lang w:val="en-US"/>
        </w:rPr>
        <w:t xml:space="preserve"> </w:t>
      </w:r>
      <w:r w:rsidR="00C4637D" w:rsidRPr="009900D7">
        <w:rPr>
          <w:lang w:val="en-US"/>
        </w:rPr>
        <w:t xml:space="preserve">investor allocations, </w:t>
      </w:r>
      <w:r w:rsidR="00E10E62" w:rsidRPr="009900D7">
        <w:rPr>
          <w:lang w:val="en-US"/>
        </w:rPr>
        <w:t xml:space="preserve">significant at the </w:t>
      </w:r>
      <w:r w:rsidR="009900D7">
        <w:rPr>
          <w:lang w:val="en-US"/>
        </w:rPr>
        <w:t>1</w:t>
      </w:r>
      <w:r w:rsidR="00183420" w:rsidRPr="009900D7">
        <w:rPr>
          <w:lang w:val="en-US"/>
        </w:rPr>
        <w:t>% level</w:t>
      </w:r>
      <w:r w:rsidR="00EF34D1" w:rsidRPr="009900D7">
        <w:rPr>
          <w:lang w:val="en-US"/>
        </w:rPr>
        <w:t xml:space="preserve">. </w:t>
      </w:r>
      <w:r w:rsidR="009900D7">
        <w:rPr>
          <w:lang w:val="en-US"/>
        </w:rPr>
        <w:t>However, i</w:t>
      </w:r>
      <w:r w:rsidR="00157B98" w:rsidRPr="009900D7">
        <w:rPr>
          <w:lang w:val="en-US"/>
        </w:rPr>
        <w:t>n Model 2</w:t>
      </w:r>
      <w:r w:rsidR="009900D7">
        <w:rPr>
          <w:lang w:val="en-US"/>
        </w:rPr>
        <w:t>,</w:t>
      </w:r>
      <w:r w:rsidR="00157B98" w:rsidRPr="009900D7">
        <w:rPr>
          <w:lang w:val="en-US"/>
        </w:rPr>
        <w:t xml:space="preserve"> we </w:t>
      </w:r>
      <w:r w:rsidR="009900D7">
        <w:rPr>
          <w:lang w:val="en-US"/>
        </w:rPr>
        <w:t xml:space="preserve">do not </w:t>
      </w:r>
      <w:r w:rsidR="00157B98" w:rsidRPr="009900D7">
        <w:rPr>
          <w:lang w:val="en-US"/>
        </w:rPr>
        <w:t xml:space="preserve">find that appointing more non-domestic bookrunners is associated with higher oversubscription levels. </w:t>
      </w:r>
    </w:p>
    <w:p w14:paraId="7E17993F" w14:textId="77777777" w:rsidR="00C4637D" w:rsidRPr="00BF3F39" w:rsidRDefault="00C4637D" w:rsidP="00C4637D">
      <w:pPr>
        <w:spacing w:line="480" w:lineRule="auto"/>
        <w:ind w:firstLine="709"/>
        <w:jc w:val="center"/>
        <w:rPr>
          <w:b/>
          <w:bCs/>
          <w:lang w:val="en-US"/>
        </w:rPr>
      </w:pPr>
      <w:r w:rsidRPr="00BF3F39">
        <w:rPr>
          <w:b/>
          <w:bCs/>
          <w:lang w:val="en-US"/>
        </w:rPr>
        <w:t>[Insert Table 6 about here]</w:t>
      </w:r>
    </w:p>
    <w:p w14:paraId="3EAC9687" w14:textId="77777777" w:rsidR="00C4637D" w:rsidRDefault="00C4637D">
      <w:pPr>
        <w:spacing w:line="480" w:lineRule="auto"/>
        <w:ind w:firstLine="709"/>
        <w:jc w:val="both"/>
        <w:rPr>
          <w:lang w:val="en-US"/>
        </w:rPr>
      </w:pPr>
    </w:p>
    <w:p w14:paraId="5F6CAB0A" w14:textId="7AF58254" w:rsidR="0056390E" w:rsidRDefault="00EF34D1" w:rsidP="00EF34D1">
      <w:pPr>
        <w:tabs>
          <w:tab w:val="left" w:pos="4962"/>
        </w:tabs>
        <w:spacing w:line="480" w:lineRule="auto"/>
        <w:ind w:firstLine="709"/>
        <w:jc w:val="both"/>
        <w:rPr>
          <w:lang w:val="en-US"/>
        </w:rPr>
      </w:pPr>
      <w:r>
        <w:rPr>
          <w:lang w:val="en-US"/>
        </w:rPr>
        <w:t>For control variables</w:t>
      </w:r>
      <w:r w:rsidR="000B2F72">
        <w:rPr>
          <w:lang w:val="en-US"/>
        </w:rPr>
        <w:t xml:space="preserve"> in this subsample research</w:t>
      </w:r>
      <w:r w:rsidR="00BC5931">
        <w:rPr>
          <w:lang w:val="en-US"/>
        </w:rPr>
        <w:t>,</w:t>
      </w:r>
      <w:r>
        <w:rPr>
          <w:lang w:val="en-US"/>
        </w:rPr>
        <w:t xml:space="preserve"> we find that majority government</w:t>
      </w:r>
      <w:r w:rsidR="00BC5931">
        <w:rPr>
          <w:lang w:val="en-US"/>
        </w:rPr>
        <w:t>-</w:t>
      </w:r>
      <w:r>
        <w:rPr>
          <w:lang w:val="en-US"/>
        </w:rPr>
        <w:t>owned firms allocate a higher proportion of their bonds to domestic investors and that a higher proportion of longer tenor bonds are placed with non-domestic investors. Government</w:t>
      </w:r>
      <w:r w:rsidR="00BC5931">
        <w:rPr>
          <w:lang w:val="en-US"/>
        </w:rPr>
        <w:t>-</w:t>
      </w:r>
      <w:r>
        <w:rPr>
          <w:lang w:val="en-US"/>
        </w:rPr>
        <w:t xml:space="preserve">backed firms may be pressed </w:t>
      </w:r>
      <w:r w:rsidR="00BC5931">
        <w:rPr>
          <w:lang w:val="en-US"/>
        </w:rPr>
        <w:t xml:space="preserve">to </w:t>
      </w:r>
      <w:r>
        <w:rPr>
          <w:lang w:val="en-US"/>
        </w:rPr>
        <w:t xml:space="preserve">favor domestic investors in allocations, while long-term bonds are </w:t>
      </w:r>
      <w:r>
        <w:rPr>
          <w:lang w:val="en-US"/>
        </w:rPr>
        <w:lastRenderedPageBreak/>
        <w:t>attractive only to a sub-set of long-term investors such as pension funds and must be marketed internationally to attract sufficient demand from these investor groups.</w:t>
      </w:r>
      <w:r w:rsidR="00183420">
        <w:rPr>
          <w:lang w:val="en-US"/>
        </w:rPr>
        <w:t xml:space="preserve"> </w:t>
      </w:r>
    </w:p>
    <w:p w14:paraId="4D40A7CE" w14:textId="072A78A5" w:rsidR="0056390E" w:rsidRDefault="00183420" w:rsidP="00EF34D1">
      <w:pPr>
        <w:tabs>
          <w:tab w:val="left" w:pos="4962"/>
        </w:tabs>
        <w:spacing w:line="480" w:lineRule="auto"/>
        <w:ind w:firstLine="709"/>
        <w:jc w:val="both"/>
        <w:rPr>
          <w:lang w:val="en-US"/>
        </w:rPr>
      </w:pPr>
      <w:r>
        <w:rPr>
          <w:lang w:val="en-US"/>
        </w:rPr>
        <w:t xml:space="preserve">We also observe that </w:t>
      </w:r>
      <w:r w:rsidR="0056390E">
        <w:rPr>
          <w:lang w:val="en-US"/>
        </w:rPr>
        <w:t xml:space="preserve">bookrunners with an existing lending relationship attract larger orderbooks. This likely reflects that they have acted as bookrunner for the issuer before, so are more experienced in marketing </w:t>
      </w:r>
      <w:r w:rsidR="00BC5931">
        <w:rPr>
          <w:lang w:val="en-US"/>
        </w:rPr>
        <w:t>their</w:t>
      </w:r>
      <w:r w:rsidR="0056390E">
        <w:rPr>
          <w:lang w:val="en-US"/>
        </w:rPr>
        <w:t xml:space="preserve"> debt securities. In </w:t>
      </w:r>
      <w:r w:rsidR="00CA18A7">
        <w:rPr>
          <w:lang w:val="en-US"/>
        </w:rPr>
        <w:t>addition,</w:t>
      </w:r>
      <w:r w:rsidR="0056390E">
        <w:rPr>
          <w:lang w:val="en-US"/>
        </w:rPr>
        <w:t xml:space="preserve"> larger firms and less levered firms are associated with lower oversubscription levels. The somewhat surprising firm size relationship is probably the result of investor exposure concerns, as larger firms tend to have more existing public debt outstanding. Smaller tranches and longer</w:t>
      </w:r>
      <w:r w:rsidR="00BC5931">
        <w:rPr>
          <w:lang w:val="en-US"/>
        </w:rPr>
        <w:t>-</w:t>
      </w:r>
      <w:r w:rsidR="0056390E">
        <w:rPr>
          <w:lang w:val="en-US"/>
        </w:rPr>
        <w:t xml:space="preserve">dated tranches </w:t>
      </w:r>
      <w:r w:rsidR="00270810">
        <w:rPr>
          <w:lang w:val="en-US"/>
        </w:rPr>
        <w:t>also have a weakly positive relationship with oversubscription levels. The latter is likely the result of short</w:t>
      </w:r>
      <w:r w:rsidR="00BC5931">
        <w:rPr>
          <w:lang w:val="en-US"/>
        </w:rPr>
        <w:t>-</w:t>
      </w:r>
      <w:r w:rsidR="00270810">
        <w:rPr>
          <w:lang w:val="en-US"/>
        </w:rPr>
        <w:t>dated tranches tend to be less appealing to institutional bond investors such as pension funds and insurers.</w:t>
      </w:r>
    </w:p>
    <w:p w14:paraId="6C90D38D" w14:textId="6EC5CF98" w:rsidR="00FF08E0" w:rsidRDefault="000B2F72" w:rsidP="00C4637D">
      <w:pPr>
        <w:spacing w:line="480" w:lineRule="auto"/>
        <w:ind w:firstLine="709"/>
        <w:jc w:val="both"/>
        <w:rPr>
          <w:lang w:val="en-US"/>
        </w:rPr>
      </w:pPr>
      <w:r>
        <w:rPr>
          <w:lang w:val="en-US"/>
        </w:rPr>
        <w:t xml:space="preserve">In summary, we find that syndicates with a higher proportion of domestic bookrunners achieve lower at-issue credit spreads, even though they are not associated with meaningful improvements in certification or investor </w:t>
      </w:r>
      <w:r w:rsidR="00161CE5">
        <w:rPr>
          <w:lang w:val="en-US"/>
        </w:rPr>
        <w:t>subscription</w:t>
      </w:r>
      <w:r>
        <w:rPr>
          <w:lang w:val="en-US"/>
        </w:rPr>
        <w:t>. Considering the combination of bookrunner functions we set out in Section 2, this</w:t>
      </w:r>
      <w:r w:rsidR="00025932">
        <w:rPr>
          <w:lang w:val="en-US"/>
        </w:rPr>
        <w:t xml:space="preserve"> lends </w:t>
      </w:r>
      <w:r>
        <w:rPr>
          <w:lang w:val="en-US"/>
        </w:rPr>
        <w:t>credence</w:t>
      </w:r>
      <w:r w:rsidR="00E95C61">
        <w:rPr>
          <w:lang w:val="en-US"/>
        </w:rPr>
        <w:t xml:space="preserve"> to our view</w:t>
      </w:r>
      <w:r w:rsidR="00025932">
        <w:rPr>
          <w:lang w:val="en-US"/>
        </w:rPr>
        <w:t xml:space="preserve"> that domestic bookrunners run a higher quality </w:t>
      </w:r>
      <w:r w:rsidR="00161CE5">
        <w:rPr>
          <w:lang w:val="en-US"/>
        </w:rPr>
        <w:t>placement</w:t>
      </w:r>
      <w:r>
        <w:rPr>
          <w:lang w:val="en-US"/>
        </w:rPr>
        <w:t xml:space="preserve">. Their </w:t>
      </w:r>
      <w:r w:rsidR="00161CE5">
        <w:rPr>
          <w:lang w:val="en-US"/>
        </w:rPr>
        <w:t>soft information advantage</w:t>
      </w:r>
      <w:r>
        <w:rPr>
          <w:lang w:val="en-US"/>
        </w:rPr>
        <w:t xml:space="preserve"> converts more prospective investors </w:t>
      </w:r>
      <w:r w:rsidR="00025932">
        <w:rPr>
          <w:lang w:val="en-US"/>
        </w:rPr>
        <w:t xml:space="preserve">into </w:t>
      </w:r>
      <w:r>
        <w:rPr>
          <w:lang w:val="en-US"/>
        </w:rPr>
        <w:t xml:space="preserve">committed, </w:t>
      </w:r>
      <w:r w:rsidR="00025932">
        <w:rPr>
          <w:lang w:val="en-US"/>
        </w:rPr>
        <w:t>price-competitive buyers.</w:t>
      </w:r>
    </w:p>
    <w:p w14:paraId="7365E25B" w14:textId="7161C6BF" w:rsidR="007F16E9" w:rsidRPr="00327F2C" w:rsidRDefault="007F16E9" w:rsidP="007F16E9">
      <w:pPr>
        <w:pStyle w:val="Heading2"/>
        <w:rPr>
          <w:b/>
          <w:lang w:val="en-US"/>
        </w:rPr>
      </w:pPr>
      <w:r w:rsidRPr="00327F2C">
        <w:rPr>
          <w:lang w:val="en-US"/>
        </w:rPr>
        <w:t>4.</w:t>
      </w:r>
      <w:r w:rsidR="00217773" w:rsidRPr="00327F2C">
        <w:rPr>
          <w:lang w:val="en-US"/>
        </w:rPr>
        <w:t>3</w:t>
      </w:r>
      <w:r w:rsidRPr="00327F2C">
        <w:rPr>
          <w:lang w:val="en-US"/>
        </w:rPr>
        <w:t>. Impact of the cris</w:t>
      </w:r>
      <w:r w:rsidR="00535883" w:rsidRPr="00327F2C">
        <w:rPr>
          <w:lang w:val="en-US"/>
        </w:rPr>
        <w:t>e</w:t>
      </w:r>
      <w:r w:rsidRPr="00327F2C">
        <w:rPr>
          <w:lang w:val="en-US"/>
        </w:rPr>
        <w:t>s on bookrunner syndicates and at-issue credit spreads</w:t>
      </w:r>
    </w:p>
    <w:p w14:paraId="26A9B386" w14:textId="35B9E811" w:rsidR="007F16E9" w:rsidRPr="00327F2C" w:rsidRDefault="007F16E9" w:rsidP="007F16E9">
      <w:pPr>
        <w:tabs>
          <w:tab w:val="left" w:pos="4962"/>
        </w:tabs>
        <w:spacing w:line="480" w:lineRule="auto"/>
        <w:jc w:val="both"/>
        <w:rPr>
          <w:lang w:val="en-US"/>
        </w:rPr>
      </w:pPr>
      <w:r w:rsidRPr="00327F2C">
        <w:rPr>
          <w:lang w:val="en-US"/>
        </w:rPr>
        <w:t>We view the financial cris</w:t>
      </w:r>
      <w:r w:rsidR="00535883" w:rsidRPr="00327F2C">
        <w:rPr>
          <w:lang w:val="en-US"/>
        </w:rPr>
        <w:t>e</w:t>
      </w:r>
      <w:r w:rsidRPr="00327F2C">
        <w:rPr>
          <w:lang w:val="en-US"/>
        </w:rPr>
        <w:t xml:space="preserve">s as an exogenous shock to financial markets that affected (i) the incentives of investors to rely on bond market bookrunners to inform them about the quality of the issuing firms and, (ii) the importance of bookrunner </w:t>
      </w:r>
      <w:r w:rsidR="00161CE5">
        <w:rPr>
          <w:lang w:val="en-US"/>
        </w:rPr>
        <w:t>location advantage</w:t>
      </w:r>
      <w:r w:rsidRPr="00327F2C">
        <w:rPr>
          <w:lang w:val="en-US"/>
        </w:rPr>
        <w:t xml:space="preserve"> in ensuring a competitive placement of bonds. We</w:t>
      </w:r>
      <w:r w:rsidR="00BC5931" w:rsidRPr="00327F2C">
        <w:rPr>
          <w:lang w:val="en-US"/>
        </w:rPr>
        <w:t>, therefore,</w:t>
      </w:r>
      <w:r w:rsidRPr="00327F2C">
        <w:rPr>
          <w:lang w:val="en-US"/>
        </w:rPr>
        <w:t xml:space="preserve"> examine whether and how the relation</w:t>
      </w:r>
      <w:r w:rsidR="00BC5931" w:rsidRPr="00327F2C">
        <w:rPr>
          <w:lang w:val="en-US"/>
        </w:rPr>
        <w:t>ship</w:t>
      </w:r>
      <w:r w:rsidRPr="00327F2C">
        <w:rPr>
          <w:lang w:val="en-US"/>
        </w:rPr>
        <w:t xml:space="preserve"> between bookrunner geography and at-issue credit spreads has changed surrounding the global financial crisis</w:t>
      </w:r>
      <w:r w:rsidR="00D009FE" w:rsidRPr="00327F2C">
        <w:rPr>
          <w:lang w:val="en-US"/>
        </w:rPr>
        <w:t xml:space="preserve"> and eurozone crisis periods</w:t>
      </w:r>
      <w:r w:rsidRPr="00327F2C">
        <w:rPr>
          <w:lang w:val="en-US"/>
        </w:rPr>
        <w:t xml:space="preserve">. </w:t>
      </w:r>
    </w:p>
    <w:p w14:paraId="5758D5E6" w14:textId="6E8D3520" w:rsidR="007F16E9" w:rsidRPr="00F855A7" w:rsidRDefault="007F16E9" w:rsidP="007F16E9">
      <w:pPr>
        <w:tabs>
          <w:tab w:val="left" w:pos="4962"/>
        </w:tabs>
        <w:spacing w:line="480" w:lineRule="auto"/>
        <w:ind w:firstLine="709"/>
        <w:jc w:val="both"/>
        <w:rPr>
          <w:lang w:val="en-US"/>
        </w:rPr>
      </w:pPr>
      <w:r w:rsidRPr="00327F2C">
        <w:rPr>
          <w:lang w:val="en-US"/>
        </w:rPr>
        <w:lastRenderedPageBreak/>
        <w:t>To highlight the structural changes in the euro-denominated bond market over the sample period, Figure 1 presents quarterly data on the number of bond tranches issued and the average at-issue credit spread. Spreads decline initially and reach a minimum between 2003 and 2007 as banks compete with bond investors to offer lower</w:t>
      </w:r>
      <w:r w:rsidR="00BC5931" w:rsidRPr="00327F2C">
        <w:rPr>
          <w:lang w:val="en-US"/>
        </w:rPr>
        <w:t>-</w:t>
      </w:r>
      <w:r w:rsidRPr="00327F2C">
        <w:rPr>
          <w:lang w:val="en-US"/>
        </w:rPr>
        <w:t>cost financing. As expected, we see a sharp spike in credit spreads in Q3 2008. Although spreads decline after this point</w:t>
      </w:r>
      <w:r w:rsidR="00E7326A" w:rsidRPr="00327F2C">
        <w:rPr>
          <w:lang w:val="en-US"/>
        </w:rPr>
        <w:t xml:space="preserve">, we see a slight rise in the credit spreads </w:t>
      </w:r>
      <w:r w:rsidR="00036E81" w:rsidRPr="00327F2C">
        <w:rPr>
          <w:lang w:val="en-US"/>
        </w:rPr>
        <w:t>during the eurozone crisis periods. T</w:t>
      </w:r>
      <w:r w:rsidRPr="00327F2C">
        <w:rPr>
          <w:lang w:val="en-US"/>
        </w:rPr>
        <w:t xml:space="preserve">he average value remains higher than at any stage in the pre-crisis </w:t>
      </w:r>
      <w:r w:rsidRPr="00F855A7">
        <w:rPr>
          <w:lang w:val="en-US"/>
        </w:rPr>
        <w:t xml:space="preserve">period. This clear demarcation point in the data supports a focus on </w:t>
      </w:r>
      <w:r w:rsidR="00036E81" w:rsidRPr="00F855A7">
        <w:rPr>
          <w:lang w:val="en-US"/>
        </w:rPr>
        <w:t>four sub-periods</w:t>
      </w:r>
      <w:r w:rsidR="00207A02" w:rsidRPr="00F855A7">
        <w:rPr>
          <w:lang w:val="en-US"/>
        </w:rPr>
        <w:t xml:space="preserve"> </w:t>
      </w:r>
      <w:r w:rsidR="00207A02" w:rsidRPr="00F855A7">
        <w:rPr>
          <w:lang w:eastAsia="en-GB"/>
        </w:rPr>
        <w:t>based on Petmezas and Santamaria (2014):</w:t>
      </w:r>
      <w:r w:rsidR="00036E81" w:rsidRPr="00F855A7">
        <w:rPr>
          <w:lang w:val="en-US"/>
        </w:rPr>
        <w:t xml:space="preserve"> </w:t>
      </w:r>
      <w:r w:rsidR="00036E81" w:rsidRPr="00F855A7">
        <w:rPr>
          <w:lang w:eastAsia="en-GB"/>
        </w:rPr>
        <w:t>(i) Pre-</w:t>
      </w:r>
      <w:r w:rsidR="00594046" w:rsidRPr="00F855A7">
        <w:rPr>
          <w:lang w:eastAsia="en-GB"/>
        </w:rPr>
        <w:t xml:space="preserve"> </w:t>
      </w:r>
      <w:r w:rsidR="00161CE5" w:rsidRPr="00F855A7">
        <w:rPr>
          <w:lang w:eastAsia="en-GB"/>
        </w:rPr>
        <w:t xml:space="preserve">Financial Crisis </w:t>
      </w:r>
      <w:r w:rsidR="00036E81" w:rsidRPr="00F855A7">
        <w:rPr>
          <w:lang w:eastAsia="en-GB"/>
        </w:rPr>
        <w:t xml:space="preserve">period (January 2001-November 2006), (ii) </w:t>
      </w:r>
      <w:r w:rsidR="00161CE5" w:rsidRPr="00F855A7">
        <w:rPr>
          <w:lang w:eastAsia="en-GB"/>
        </w:rPr>
        <w:t xml:space="preserve">Financial Crisis </w:t>
      </w:r>
      <w:r w:rsidR="00036E81" w:rsidRPr="00F855A7">
        <w:rPr>
          <w:lang w:eastAsia="en-GB"/>
        </w:rPr>
        <w:t xml:space="preserve">period (December 2006 – October 2009), (iii) </w:t>
      </w:r>
      <w:r w:rsidR="00161CE5" w:rsidRPr="00F855A7">
        <w:rPr>
          <w:lang w:eastAsia="en-GB"/>
        </w:rPr>
        <w:t xml:space="preserve">Eurozone Crisis </w:t>
      </w:r>
      <w:r w:rsidR="00036E81" w:rsidRPr="00F855A7">
        <w:rPr>
          <w:lang w:eastAsia="en-GB"/>
        </w:rPr>
        <w:t>period (November 2009-September 2012), and (iv) Post-</w:t>
      </w:r>
      <w:r w:rsidR="00161CE5" w:rsidRPr="00F855A7">
        <w:rPr>
          <w:lang w:eastAsia="en-GB"/>
        </w:rPr>
        <w:t xml:space="preserve">Financial and Eurozone </w:t>
      </w:r>
      <w:r w:rsidR="00036E81" w:rsidRPr="00F855A7">
        <w:rPr>
          <w:lang w:eastAsia="en-GB"/>
        </w:rPr>
        <w:t>crisis period (October 2012-December 2020)</w:t>
      </w:r>
      <w:r w:rsidR="00207A02" w:rsidRPr="00F855A7">
        <w:rPr>
          <w:lang w:eastAsia="en-GB"/>
        </w:rPr>
        <w:t>.</w:t>
      </w:r>
      <w:r w:rsidRPr="00F855A7">
        <w:rPr>
          <w:lang w:val="en-US"/>
        </w:rPr>
        <w:t xml:space="preserve"> </w:t>
      </w:r>
    </w:p>
    <w:p w14:paraId="0612B791" w14:textId="77777777" w:rsidR="007F16E9" w:rsidRPr="00327F2C" w:rsidRDefault="007F16E9" w:rsidP="007F16E9">
      <w:pPr>
        <w:spacing w:line="480" w:lineRule="auto"/>
        <w:jc w:val="center"/>
        <w:rPr>
          <w:b/>
          <w:bCs/>
          <w:lang w:val="en-US"/>
        </w:rPr>
      </w:pPr>
      <w:r w:rsidRPr="00F855A7">
        <w:rPr>
          <w:b/>
          <w:bCs/>
          <w:lang w:val="en-US"/>
        </w:rPr>
        <w:t>[Insert Figure 1 about here]</w:t>
      </w:r>
    </w:p>
    <w:p w14:paraId="1718F571" w14:textId="77777777" w:rsidR="007F16E9" w:rsidRPr="00327F2C" w:rsidRDefault="007F16E9" w:rsidP="007F16E9">
      <w:pPr>
        <w:tabs>
          <w:tab w:val="left" w:pos="4962"/>
        </w:tabs>
        <w:spacing w:line="480" w:lineRule="auto"/>
        <w:jc w:val="both"/>
        <w:rPr>
          <w:lang w:val="en-US"/>
        </w:rPr>
      </w:pPr>
    </w:p>
    <w:p w14:paraId="338CB9A2" w14:textId="3A3BFFA4" w:rsidR="007F16E9" w:rsidRPr="00327F2C" w:rsidRDefault="007F16E9" w:rsidP="007F16E9">
      <w:pPr>
        <w:tabs>
          <w:tab w:val="left" w:pos="4962"/>
        </w:tabs>
        <w:spacing w:line="480" w:lineRule="auto"/>
        <w:ind w:firstLine="709"/>
        <w:jc w:val="both"/>
        <w:rPr>
          <w:lang w:val="en-US"/>
        </w:rPr>
      </w:pPr>
      <w:r w:rsidRPr="00327F2C">
        <w:rPr>
          <w:lang w:val="en-US"/>
        </w:rPr>
        <w:t xml:space="preserve">Table </w:t>
      </w:r>
      <w:r w:rsidR="002F1BFE" w:rsidRPr="00327F2C">
        <w:rPr>
          <w:lang w:val="en-US"/>
        </w:rPr>
        <w:t>7</w:t>
      </w:r>
      <w:r w:rsidRPr="00327F2C">
        <w:rPr>
          <w:lang w:val="en-US"/>
        </w:rPr>
        <w:t xml:space="preserve"> reports mean comparisons for bookrunner syndicate characteristics</w:t>
      </w:r>
      <w:r w:rsidR="00D14269" w:rsidRPr="00327F2C">
        <w:rPr>
          <w:lang w:val="en-US"/>
        </w:rPr>
        <w:t xml:space="preserve">, </w:t>
      </w:r>
      <w:r w:rsidRPr="00327F2C">
        <w:rPr>
          <w:lang w:val="en-US"/>
        </w:rPr>
        <w:t>instrumental</w:t>
      </w:r>
      <w:r w:rsidR="00D14269" w:rsidRPr="00327F2C">
        <w:rPr>
          <w:lang w:val="en-US"/>
        </w:rPr>
        <w:t>,</w:t>
      </w:r>
      <w:r w:rsidRPr="00327F2C">
        <w:rPr>
          <w:lang w:val="en-US"/>
        </w:rPr>
        <w:t xml:space="preserve"> and tranche variables. The mean (median) at-issue credit spread is 0.70</w:t>
      </w:r>
      <w:r w:rsidR="00D14269" w:rsidRPr="00327F2C">
        <w:rPr>
          <w:lang w:val="en-US"/>
        </w:rPr>
        <w:t>5</w:t>
      </w:r>
      <w:r w:rsidRPr="00327F2C">
        <w:rPr>
          <w:lang w:val="en-US"/>
        </w:rPr>
        <w:t>% in the pre-crisis period, which increases significantly to 1.9</w:t>
      </w:r>
      <w:r w:rsidR="00D14269" w:rsidRPr="00327F2C">
        <w:rPr>
          <w:lang w:val="en-US"/>
        </w:rPr>
        <w:t>40</w:t>
      </w:r>
      <w:r w:rsidRPr="00327F2C">
        <w:rPr>
          <w:lang w:val="en-US"/>
        </w:rPr>
        <w:t>%</w:t>
      </w:r>
      <w:r w:rsidR="008738D7" w:rsidRPr="00327F2C">
        <w:rPr>
          <w:lang w:val="en-US"/>
        </w:rPr>
        <w:t xml:space="preserve"> in the crisis period and to 1.632</w:t>
      </w:r>
      <w:r w:rsidR="00207A02">
        <w:rPr>
          <w:lang w:val="en-US"/>
        </w:rPr>
        <w:t>%</w:t>
      </w:r>
      <w:r w:rsidR="008738D7" w:rsidRPr="00327F2C">
        <w:rPr>
          <w:lang w:val="en-US"/>
        </w:rPr>
        <w:t xml:space="preserve"> in the eurozone crisis period</w:t>
      </w:r>
      <w:r w:rsidR="00D14269" w:rsidRPr="00327F2C">
        <w:rPr>
          <w:lang w:val="en-US"/>
        </w:rPr>
        <w:t>.</w:t>
      </w:r>
      <w:r w:rsidRPr="00327F2C">
        <w:rPr>
          <w:lang w:val="en-US"/>
        </w:rPr>
        <w:t xml:space="preserve"> The mean syndicate size </w:t>
      </w:r>
      <w:r w:rsidR="00D14269" w:rsidRPr="00327F2C">
        <w:rPr>
          <w:lang w:val="en-US"/>
        </w:rPr>
        <w:t xml:space="preserve">also </w:t>
      </w:r>
      <w:r w:rsidRPr="00327F2C">
        <w:rPr>
          <w:lang w:val="en-US"/>
        </w:rPr>
        <w:t xml:space="preserve">increases </w:t>
      </w:r>
      <w:r w:rsidR="00D14269" w:rsidRPr="00327F2C">
        <w:rPr>
          <w:lang w:val="en-US"/>
        </w:rPr>
        <w:t xml:space="preserve">significantly </w:t>
      </w:r>
      <w:r w:rsidRPr="00327F2C">
        <w:rPr>
          <w:lang w:val="en-US"/>
        </w:rPr>
        <w:t>from 3.</w:t>
      </w:r>
      <w:r w:rsidR="00D14269" w:rsidRPr="00327F2C">
        <w:rPr>
          <w:lang w:val="en-US"/>
        </w:rPr>
        <w:t>179</w:t>
      </w:r>
      <w:r w:rsidRPr="00327F2C">
        <w:rPr>
          <w:lang w:val="en-US"/>
        </w:rPr>
        <w:t xml:space="preserve"> to </w:t>
      </w:r>
      <w:r w:rsidR="00D14269" w:rsidRPr="00327F2C">
        <w:rPr>
          <w:lang w:val="en-US"/>
        </w:rPr>
        <w:t>3.913</w:t>
      </w:r>
      <w:r w:rsidR="008738D7" w:rsidRPr="00327F2C">
        <w:rPr>
          <w:lang w:val="en-US"/>
        </w:rPr>
        <w:t xml:space="preserve"> in </w:t>
      </w:r>
      <w:r w:rsidR="00207A02">
        <w:rPr>
          <w:lang w:val="en-US"/>
        </w:rPr>
        <w:t xml:space="preserve">the </w:t>
      </w:r>
      <w:r w:rsidR="008738D7" w:rsidRPr="00327F2C">
        <w:rPr>
          <w:lang w:val="en-US"/>
        </w:rPr>
        <w:t>crisis period and to 5.089 in the eurozone crisis period. Likewise,</w:t>
      </w:r>
      <w:r w:rsidRPr="00327F2C">
        <w:rPr>
          <w:lang w:val="en-US"/>
        </w:rPr>
        <w:t xml:space="preserve"> the </w:t>
      </w:r>
      <w:r w:rsidR="00D14269" w:rsidRPr="00327F2C">
        <w:rPr>
          <w:lang w:val="en-US"/>
        </w:rPr>
        <w:t>mean</w:t>
      </w:r>
      <w:r w:rsidRPr="00327F2C">
        <w:rPr>
          <w:lang w:val="en-US"/>
        </w:rPr>
        <w:t xml:space="preserve"> fraction of Top 10 active non-domestic bookrunners increases</w:t>
      </w:r>
      <w:r w:rsidR="00D14269" w:rsidRPr="00327F2C">
        <w:rPr>
          <w:lang w:val="en-US"/>
        </w:rPr>
        <w:t xml:space="preserve"> significantly</w:t>
      </w:r>
      <w:r w:rsidRPr="00327F2C">
        <w:rPr>
          <w:lang w:val="en-US"/>
        </w:rPr>
        <w:t xml:space="preserve"> from 40.</w:t>
      </w:r>
      <w:r w:rsidR="00D14269" w:rsidRPr="00327F2C">
        <w:rPr>
          <w:lang w:val="en-US"/>
        </w:rPr>
        <w:t>1</w:t>
      </w:r>
      <w:r w:rsidRPr="00327F2C">
        <w:rPr>
          <w:lang w:val="en-US"/>
        </w:rPr>
        <w:t>% to 50.</w:t>
      </w:r>
      <w:r w:rsidR="00D14269" w:rsidRPr="00327F2C">
        <w:rPr>
          <w:lang w:val="en-US"/>
        </w:rPr>
        <w:t>6</w:t>
      </w:r>
      <w:r w:rsidRPr="00327F2C">
        <w:rPr>
          <w:lang w:val="en-US"/>
        </w:rPr>
        <w:t>% in the crisis period</w:t>
      </w:r>
      <w:r w:rsidR="008738D7" w:rsidRPr="00327F2C">
        <w:rPr>
          <w:lang w:val="en-US"/>
        </w:rPr>
        <w:t xml:space="preserve"> and it remains at </w:t>
      </w:r>
      <w:r w:rsidR="00BC5931" w:rsidRPr="00327F2C">
        <w:rPr>
          <w:lang w:val="en-US"/>
        </w:rPr>
        <w:t xml:space="preserve">the </w:t>
      </w:r>
      <w:r w:rsidR="008738D7" w:rsidRPr="00327F2C">
        <w:rPr>
          <w:lang w:val="en-US"/>
        </w:rPr>
        <w:t xml:space="preserve">pre-crisis level in </w:t>
      </w:r>
      <w:r w:rsidR="00BC5931" w:rsidRPr="00327F2C">
        <w:rPr>
          <w:lang w:val="en-US"/>
        </w:rPr>
        <w:t xml:space="preserve">the </w:t>
      </w:r>
      <w:r w:rsidR="008738D7" w:rsidRPr="00327F2C">
        <w:rPr>
          <w:lang w:val="en-US"/>
        </w:rPr>
        <w:t>eurozone crisis</w:t>
      </w:r>
      <w:r w:rsidRPr="00327F2C">
        <w:rPr>
          <w:lang w:val="en-US"/>
        </w:rPr>
        <w:t>. Th</w:t>
      </w:r>
      <w:r w:rsidR="00B15C17" w:rsidRPr="00327F2C">
        <w:rPr>
          <w:lang w:val="en-US"/>
        </w:rPr>
        <w:t>ese results</w:t>
      </w:r>
      <w:r w:rsidRPr="00327F2C">
        <w:rPr>
          <w:lang w:val="en-US"/>
        </w:rPr>
        <w:t xml:space="preserve"> provide</w:t>
      </w:r>
      <w:r w:rsidR="00B15C17" w:rsidRPr="00327F2C">
        <w:rPr>
          <w:lang w:val="en-US"/>
        </w:rPr>
        <w:t xml:space="preserve"> some</w:t>
      </w:r>
      <w:r w:rsidRPr="00327F2C">
        <w:rPr>
          <w:lang w:val="en-US"/>
        </w:rPr>
        <w:t xml:space="preserve"> evidence that issuers have increased syndicate size by employing more high reputation non-domestic active bookrunners in the crisis period. </w:t>
      </w:r>
      <w:r w:rsidR="008738D7" w:rsidRPr="00327F2C">
        <w:rPr>
          <w:lang w:val="en-US"/>
        </w:rPr>
        <w:t xml:space="preserve">We find similar evidence comparing the pre-crisis and eurozone crisis periods. </w:t>
      </w:r>
    </w:p>
    <w:p w14:paraId="38BA3D90" w14:textId="713FB09D" w:rsidR="007F16E9" w:rsidRPr="00327F2C" w:rsidRDefault="007F16E9" w:rsidP="007F16E9">
      <w:pPr>
        <w:spacing w:line="480" w:lineRule="auto"/>
        <w:jc w:val="center"/>
        <w:rPr>
          <w:b/>
          <w:bCs/>
          <w:lang w:val="en-US"/>
        </w:rPr>
      </w:pPr>
      <w:r w:rsidRPr="00327F2C">
        <w:rPr>
          <w:b/>
          <w:bCs/>
          <w:lang w:val="en-US"/>
        </w:rPr>
        <w:t xml:space="preserve">[Insert Table </w:t>
      </w:r>
      <w:r w:rsidR="002F1BFE" w:rsidRPr="00327F2C">
        <w:rPr>
          <w:b/>
          <w:bCs/>
          <w:lang w:val="en-US"/>
        </w:rPr>
        <w:t>7</w:t>
      </w:r>
      <w:r w:rsidRPr="00327F2C">
        <w:rPr>
          <w:b/>
          <w:bCs/>
          <w:lang w:val="en-US"/>
        </w:rPr>
        <w:t xml:space="preserve"> about here]</w:t>
      </w:r>
    </w:p>
    <w:p w14:paraId="5BD8A29D" w14:textId="77777777" w:rsidR="007F16E9" w:rsidRPr="00327F2C" w:rsidRDefault="007F16E9" w:rsidP="007F16E9">
      <w:pPr>
        <w:tabs>
          <w:tab w:val="left" w:pos="4962"/>
        </w:tabs>
        <w:spacing w:line="480" w:lineRule="auto"/>
        <w:jc w:val="both"/>
        <w:rPr>
          <w:lang w:val="en-US"/>
        </w:rPr>
      </w:pPr>
    </w:p>
    <w:p w14:paraId="20E3510E" w14:textId="207A9AA5" w:rsidR="007F16E9" w:rsidRPr="00327F2C" w:rsidRDefault="007F16E9" w:rsidP="007F16E9">
      <w:pPr>
        <w:tabs>
          <w:tab w:val="left" w:pos="4962"/>
        </w:tabs>
        <w:spacing w:line="480" w:lineRule="auto"/>
        <w:ind w:firstLine="709"/>
        <w:jc w:val="both"/>
        <w:rPr>
          <w:lang w:val="en-US"/>
        </w:rPr>
      </w:pPr>
      <w:r w:rsidRPr="00327F2C">
        <w:rPr>
          <w:lang w:val="en-US"/>
        </w:rPr>
        <w:lastRenderedPageBreak/>
        <w:t xml:space="preserve">For tranche characteristics, we find a reduction of </w:t>
      </w:r>
      <w:r w:rsidR="00B15C17" w:rsidRPr="00327F2C">
        <w:rPr>
          <w:lang w:val="en-US"/>
        </w:rPr>
        <w:t>a</w:t>
      </w:r>
      <w:r w:rsidRPr="00327F2C">
        <w:rPr>
          <w:lang w:val="en-US"/>
        </w:rPr>
        <w:t xml:space="preserve"> grade in the mean credit rating for tranches issued </w:t>
      </w:r>
      <w:r w:rsidR="00B15C17" w:rsidRPr="00327F2C">
        <w:rPr>
          <w:lang w:val="en-US"/>
        </w:rPr>
        <w:t>during the financial crisis and eurozone crisis</w:t>
      </w:r>
      <w:r w:rsidRPr="00327F2C">
        <w:rPr>
          <w:lang w:val="en-US"/>
        </w:rPr>
        <w:t xml:space="preserve">, suggesting a reduction in credit quality. This is significant and supported by a reduction in </w:t>
      </w:r>
      <w:r w:rsidR="00BC5931" w:rsidRPr="00327F2C">
        <w:rPr>
          <w:lang w:val="en-US"/>
        </w:rPr>
        <w:t xml:space="preserve">the </w:t>
      </w:r>
      <w:r w:rsidRPr="00327F2C">
        <w:rPr>
          <w:lang w:val="en-US"/>
        </w:rPr>
        <w:t>frequency of multi-tranche offerings post-</w:t>
      </w:r>
      <w:r w:rsidR="00B15C17" w:rsidRPr="00327F2C">
        <w:rPr>
          <w:lang w:val="en-US"/>
        </w:rPr>
        <w:t xml:space="preserve">financial and eurozone </w:t>
      </w:r>
      <w:r w:rsidRPr="00327F2C">
        <w:rPr>
          <w:lang w:val="en-US"/>
        </w:rPr>
        <w:t>cris</w:t>
      </w:r>
      <w:r w:rsidR="00BC5931" w:rsidRPr="00327F2C">
        <w:rPr>
          <w:lang w:val="en-US"/>
        </w:rPr>
        <w:t>e</w:t>
      </w:r>
      <w:r w:rsidRPr="00327F2C">
        <w:rPr>
          <w:lang w:val="en-US"/>
        </w:rPr>
        <w:t xml:space="preserve">s. </w:t>
      </w:r>
    </w:p>
    <w:p w14:paraId="4BA94EC4" w14:textId="1A8B7453" w:rsidR="007F16E9" w:rsidRPr="00327F2C" w:rsidRDefault="007F16E9" w:rsidP="007F16E9">
      <w:pPr>
        <w:tabs>
          <w:tab w:val="left" w:pos="4962"/>
        </w:tabs>
        <w:spacing w:line="480" w:lineRule="auto"/>
        <w:ind w:firstLine="709"/>
        <w:jc w:val="both"/>
        <w:rPr>
          <w:lang w:val="en-US"/>
        </w:rPr>
      </w:pPr>
      <w:r w:rsidRPr="00327F2C">
        <w:rPr>
          <w:lang w:val="en-US"/>
        </w:rPr>
        <w:t xml:space="preserve">The absence of underlying economic demand for increased syndicate size provides some support to our explanation that during the </w:t>
      </w:r>
      <w:r w:rsidR="009D3B21" w:rsidRPr="00327F2C">
        <w:rPr>
          <w:lang w:val="en-US"/>
        </w:rPr>
        <w:t xml:space="preserve">financial and eurozone </w:t>
      </w:r>
      <w:r w:rsidRPr="00327F2C">
        <w:rPr>
          <w:lang w:val="en-US"/>
        </w:rPr>
        <w:t>crisis period bookrunners use provision of bank loans to win bookrunner mandates, which leads to an increase in syndicate size (</w:t>
      </w:r>
      <w:r w:rsidRPr="00327F2C">
        <w:rPr>
          <w:lang w:val="en-US" w:eastAsia="en-GB"/>
        </w:rPr>
        <w:t xml:space="preserve">Kaya and Meyer, 2013; </w:t>
      </w:r>
      <w:r w:rsidRPr="00327F2C">
        <w:rPr>
          <w:lang w:val="en-US"/>
        </w:rPr>
        <w:t xml:space="preserve">Stothard, 2013), even if this leads to otherwise higher costs in the bond market. We examine the impact of the financial crisis on the relation between bookrunner syndicates and at-issue credit spreads in Table </w:t>
      </w:r>
      <w:r w:rsidR="002F1BFE" w:rsidRPr="00327F2C">
        <w:rPr>
          <w:lang w:val="en-US"/>
        </w:rPr>
        <w:t>8</w:t>
      </w:r>
      <w:r w:rsidRPr="00327F2C">
        <w:rPr>
          <w:lang w:val="en-US"/>
        </w:rPr>
        <w:t>.</w:t>
      </w:r>
    </w:p>
    <w:p w14:paraId="393F9663" w14:textId="202E9014" w:rsidR="007F16E9" w:rsidRPr="00327F2C" w:rsidRDefault="007F16E9" w:rsidP="007F16E9">
      <w:pPr>
        <w:spacing w:line="480" w:lineRule="auto"/>
        <w:jc w:val="center"/>
        <w:rPr>
          <w:b/>
          <w:bCs/>
          <w:lang w:val="en-US"/>
        </w:rPr>
      </w:pPr>
      <w:r w:rsidRPr="00327F2C">
        <w:rPr>
          <w:b/>
          <w:bCs/>
          <w:lang w:val="en-US"/>
        </w:rPr>
        <w:t xml:space="preserve">[Insert Table </w:t>
      </w:r>
      <w:r w:rsidR="002F1BFE" w:rsidRPr="00327F2C">
        <w:rPr>
          <w:b/>
          <w:bCs/>
          <w:lang w:val="en-US"/>
        </w:rPr>
        <w:t>8</w:t>
      </w:r>
      <w:r w:rsidRPr="00327F2C">
        <w:rPr>
          <w:b/>
          <w:bCs/>
          <w:lang w:val="en-US"/>
        </w:rPr>
        <w:t xml:space="preserve"> about here]</w:t>
      </w:r>
    </w:p>
    <w:p w14:paraId="57791DFE" w14:textId="77777777" w:rsidR="007F16E9" w:rsidRPr="00327F2C" w:rsidRDefault="007F16E9" w:rsidP="007F16E9">
      <w:pPr>
        <w:tabs>
          <w:tab w:val="left" w:pos="4962"/>
        </w:tabs>
        <w:spacing w:line="480" w:lineRule="auto"/>
        <w:ind w:firstLine="709"/>
        <w:jc w:val="both"/>
        <w:rPr>
          <w:lang w:val="en-US"/>
        </w:rPr>
      </w:pPr>
    </w:p>
    <w:p w14:paraId="5C8084CB" w14:textId="00702111" w:rsidR="007F16E9" w:rsidRPr="00327F2C" w:rsidRDefault="007F16E9" w:rsidP="007F16E9">
      <w:pPr>
        <w:tabs>
          <w:tab w:val="left" w:pos="4962"/>
        </w:tabs>
        <w:spacing w:line="480" w:lineRule="auto"/>
        <w:ind w:firstLine="709"/>
        <w:jc w:val="both"/>
        <w:rPr>
          <w:lang w:val="en-US"/>
        </w:rPr>
      </w:pPr>
      <w:r w:rsidRPr="00327F2C">
        <w:rPr>
          <w:lang w:val="en-US"/>
        </w:rPr>
        <w:t xml:space="preserve">In </w:t>
      </w:r>
      <w:r w:rsidR="00E80383" w:rsidRPr="00327F2C">
        <w:rPr>
          <w:lang w:val="en-US"/>
        </w:rPr>
        <w:t>m</w:t>
      </w:r>
      <w:r w:rsidRPr="00327F2C">
        <w:rPr>
          <w:lang w:val="en-US"/>
        </w:rPr>
        <w:t>odel</w:t>
      </w:r>
      <w:r w:rsidR="00615847" w:rsidRPr="00327F2C">
        <w:rPr>
          <w:lang w:val="en-US"/>
        </w:rPr>
        <w:t xml:space="preserve">s </w:t>
      </w:r>
      <w:r w:rsidR="00E80383" w:rsidRPr="00327F2C">
        <w:rPr>
          <w:lang w:val="en-US"/>
        </w:rPr>
        <w:t xml:space="preserve">1 to 4, </w:t>
      </w:r>
      <w:r w:rsidRPr="00327F2C">
        <w:rPr>
          <w:lang w:val="en-US"/>
        </w:rPr>
        <w:t xml:space="preserve">we replace year dummies in first and second stage regressions with a dummy set equal to one for all tranches issued </w:t>
      </w:r>
      <w:r w:rsidR="00615847" w:rsidRPr="00327F2C">
        <w:rPr>
          <w:lang w:val="en-US"/>
        </w:rPr>
        <w:t>during the four sub-periods</w:t>
      </w:r>
      <w:r w:rsidRPr="00327F2C">
        <w:rPr>
          <w:lang w:val="en-US"/>
        </w:rPr>
        <w:t xml:space="preserve">. As </w:t>
      </w:r>
      <w:r w:rsidR="00615847" w:rsidRPr="00327F2C">
        <w:rPr>
          <w:lang w:val="en-US"/>
        </w:rPr>
        <w:t>expected,</w:t>
      </w:r>
      <w:r w:rsidRPr="00327F2C">
        <w:rPr>
          <w:lang w:val="en-US"/>
        </w:rPr>
        <w:t xml:space="preserve"> the </w:t>
      </w:r>
      <w:r w:rsidR="00615847" w:rsidRPr="00327F2C">
        <w:rPr>
          <w:lang w:val="en-US"/>
        </w:rPr>
        <w:t>pre-</w:t>
      </w:r>
      <w:r w:rsidR="00161CE5">
        <w:rPr>
          <w:lang w:val="en-US"/>
        </w:rPr>
        <w:t xml:space="preserve">financial </w:t>
      </w:r>
      <w:r w:rsidR="00615847" w:rsidRPr="00327F2C">
        <w:rPr>
          <w:lang w:val="en-US"/>
        </w:rPr>
        <w:t>crisis and the post-</w:t>
      </w:r>
      <w:r w:rsidR="00161CE5">
        <w:rPr>
          <w:lang w:val="en-US"/>
        </w:rPr>
        <w:t xml:space="preserve">financial and eurozone </w:t>
      </w:r>
      <w:r w:rsidR="00615847" w:rsidRPr="00327F2C">
        <w:rPr>
          <w:lang w:val="en-US"/>
        </w:rPr>
        <w:t>crisis variable</w:t>
      </w:r>
      <w:r w:rsidRPr="00327F2C">
        <w:rPr>
          <w:lang w:val="en-US"/>
        </w:rPr>
        <w:t xml:space="preserve"> </w:t>
      </w:r>
      <w:r w:rsidR="00615847" w:rsidRPr="00327F2C">
        <w:rPr>
          <w:lang w:val="en-US"/>
        </w:rPr>
        <w:t>are</w:t>
      </w:r>
      <w:r w:rsidRPr="00327F2C">
        <w:rPr>
          <w:lang w:val="en-US"/>
        </w:rPr>
        <w:t xml:space="preserve"> highly significant and </w:t>
      </w:r>
      <w:r w:rsidR="00615847" w:rsidRPr="00327F2C">
        <w:rPr>
          <w:lang w:val="en-US"/>
        </w:rPr>
        <w:t>negatively</w:t>
      </w:r>
      <w:r w:rsidRPr="00327F2C">
        <w:rPr>
          <w:lang w:val="en-US"/>
        </w:rPr>
        <w:t xml:space="preserve"> related to at-issue credit spreads</w:t>
      </w:r>
      <w:r w:rsidR="00615847" w:rsidRPr="00327F2C">
        <w:rPr>
          <w:lang w:val="en-US"/>
        </w:rPr>
        <w:t xml:space="preserve">, whereas the </w:t>
      </w:r>
      <w:r w:rsidR="00161CE5">
        <w:rPr>
          <w:lang w:val="en-US"/>
        </w:rPr>
        <w:t xml:space="preserve">financial </w:t>
      </w:r>
      <w:r w:rsidR="00615847" w:rsidRPr="00327F2C">
        <w:rPr>
          <w:lang w:val="en-US"/>
        </w:rPr>
        <w:t>crisis and the eurozone crisis variable are highly significant and positively related to at-issue credit spread</w:t>
      </w:r>
      <w:r w:rsidRPr="00327F2C">
        <w:rPr>
          <w:lang w:val="en-US"/>
        </w:rPr>
        <w:t xml:space="preserve">. However, </w:t>
      </w:r>
      <w:r w:rsidR="00BC5931" w:rsidRPr="00327F2C">
        <w:rPr>
          <w:lang w:val="en-US"/>
        </w:rPr>
        <w:t xml:space="preserve">the </w:t>
      </w:r>
      <w:r w:rsidRPr="00327F2C">
        <w:rPr>
          <w:lang w:val="en-US"/>
        </w:rPr>
        <w:t>inclusion of this variable does not affect the significant and positive relation between non-domestic bookrunners and at-issue spreads.</w:t>
      </w:r>
    </w:p>
    <w:p w14:paraId="497352B0" w14:textId="2ACB0986" w:rsidR="007F16E9" w:rsidRPr="00327F2C" w:rsidRDefault="007F16E9" w:rsidP="007F16E9">
      <w:pPr>
        <w:tabs>
          <w:tab w:val="left" w:pos="4962"/>
        </w:tabs>
        <w:spacing w:line="480" w:lineRule="auto"/>
        <w:ind w:firstLine="709"/>
        <w:jc w:val="both"/>
        <w:rPr>
          <w:lang w:val="en-US"/>
        </w:rPr>
      </w:pPr>
      <w:r w:rsidRPr="00327F2C">
        <w:rPr>
          <w:lang w:val="en-US"/>
        </w:rPr>
        <w:t xml:space="preserve">To examine the impact of the crisis in more detail, we estimate separate regressions for the </w:t>
      </w:r>
      <w:r w:rsidR="00615847" w:rsidRPr="00327F2C">
        <w:rPr>
          <w:lang w:val="en-US"/>
        </w:rPr>
        <w:t>sub-</w:t>
      </w:r>
      <w:r w:rsidRPr="00327F2C">
        <w:rPr>
          <w:lang w:val="en-US"/>
        </w:rPr>
        <w:t>periods</w:t>
      </w:r>
      <w:r w:rsidR="00615847" w:rsidRPr="00327F2C">
        <w:rPr>
          <w:lang w:val="en-US"/>
        </w:rPr>
        <w:t xml:space="preserve"> in m</w:t>
      </w:r>
      <w:r w:rsidRPr="00327F2C">
        <w:rPr>
          <w:lang w:val="en-US"/>
        </w:rPr>
        <w:t>odel</w:t>
      </w:r>
      <w:r w:rsidR="00615847" w:rsidRPr="00327F2C">
        <w:rPr>
          <w:lang w:val="en-US"/>
        </w:rPr>
        <w:t>s</w:t>
      </w:r>
      <w:r w:rsidRPr="00327F2C">
        <w:rPr>
          <w:lang w:val="en-US"/>
        </w:rPr>
        <w:t xml:space="preserve"> </w:t>
      </w:r>
      <w:r w:rsidR="00E80383" w:rsidRPr="00327F2C">
        <w:rPr>
          <w:lang w:val="en-US"/>
        </w:rPr>
        <w:t>5 to 8</w:t>
      </w:r>
      <w:r w:rsidRPr="00327F2C">
        <w:rPr>
          <w:lang w:val="en-US"/>
        </w:rPr>
        <w:t xml:space="preserve">. </w:t>
      </w:r>
      <w:r w:rsidR="00615847" w:rsidRPr="00327F2C">
        <w:rPr>
          <w:lang w:val="en-US"/>
        </w:rPr>
        <w:t>Consistent with our prediction, t</w:t>
      </w:r>
      <w:r w:rsidRPr="00327F2C">
        <w:rPr>
          <w:lang w:val="en-US"/>
        </w:rPr>
        <w:t xml:space="preserve">he results highlight that a significant relation between bookrunner geography and at-issue credit spreads during the </w:t>
      </w:r>
      <w:r w:rsidR="00161CE5">
        <w:rPr>
          <w:lang w:val="en-US"/>
        </w:rPr>
        <w:t xml:space="preserve">financial </w:t>
      </w:r>
      <w:r w:rsidR="00615847" w:rsidRPr="00327F2C">
        <w:rPr>
          <w:lang w:val="en-US"/>
        </w:rPr>
        <w:t xml:space="preserve">and the eurozone crisis period </w:t>
      </w:r>
      <w:r w:rsidRPr="00327F2C">
        <w:rPr>
          <w:lang w:val="en-US"/>
        </w:rPr>
        <w:t xml:space="preserve">drives our main findings. Prior to the financial crisis </w:t>
      </w:r>
      <w:r w:rsidR="00615847" w:rsidRPr="00327F2C">
        <w:rPr>
          <w:lang w:val="en-US"/>
        </w:rPr>
        <w:t xml:space="preserve">and post the </w:t>
      </w:r>
      <w:r w:rsidR="00161CE5">
        <w:rPr>
          <w:lang w:val="en-US"/>
        </w:rPr>
        <w:t xml:space="preserve">financial and the </w:t>
      </w:r>
      <w:r w:rsidR="00615847" w:rsidRPr="00327F2C">
        <w:rPr>
          <w:lang w:val="en-US"/>
        </w:rPr>
        <w:t xml:space="preserve">eurozone crisis, </w:t>
      </w:r>
      <w:r w:rsidRPr="00327F2C">
        <w:rPr>
          <w:lang w:val="en-US"/>
        </w:rPr>
        <w:t>bookrunner geography is unrelated to bond pricing</w:t>
      </w:r>
      <w:r w:rsidR="00615847" w:rsidRPr="00327F2C">
        <w:rPr>
          <w:lang w:val="en-US"/>
        </w:rPr>
        <w:t>.</w:t>
      </w:r>
    </w:p>
    <w:p w14:paraId="45DF1305" w14:textId="52CAC3CD" w:rsidR="007F16E9" w:rsidRDefault="007F16E9" w:rsidP="003A2405">
      <w:pPr>
        <w:tabs>
          <w:tab w:val="left" w:pos="4962"/>
        </w:tabs>
        <w:spacing w:line="480" w:lineRule="auto"/>
        <w:ind w:firstLine="709"/>
        <w:jc w:val="both"/>
        <w:rPr>
          <w:lang w:val="en-US"/>
        </w:rPr>
      </w:pPr>
      <w:r w:rsidRPr="00327F2C">
        <w:rPr>
          <w:lang w:val="en-US"/>
        </w:rPr>
        <w:lastRenderedPageBreak/>
        <w:t>Our results contrast with those of Shivdasani and Song (2011), who find that bookrunner characteristics are more closely associated with quality of service during a stock market boom</w:t>
      </w:r>
      <w:r w:rsidR="00CD4A44">
        <w:rPr>
          <w:lang w:val="en-US"/>
        </w:rPr>
        <w:t>, as compared to a bust period</w:t>
      </w:r>
      <w:r w:rsidRPr="00327F2C">
        <w:rPr>
          <w:lang w:val="en-US"/>
        </w:rPr>
        <w:t>. Our contrasting findings most likely reflect the international focus of our sample and our focus on investment</w:t>
      </w:r>
      <w:r w:rsidR="00BC5931" w:rsidRPr="00327F2C">
        <w:rPr>
          <w:lang w:val="en-US"/>
        </w:rPr>
        <w:t>-</w:t>
      </w:r>
      <w:r w:rsidRPr="00327F2C">
        <w:rPr>
          <w:lang w:val="en-US"/>
        </w:rPr>
        <w:t>grade securities. Investors relied heavily on credit rating agencies to certify the value of these securities prior to the financial crisis. We propose that reduced trust in credit rating agencies during the post-crisis period (Krylova, 2016), leads investors to place greater reliance on the type of soft information that is more likely to be available to domestic bookrunners.</w:t>
      </w:r>
      <w:r w:rsidR="003A2405">
        <w:rPr>
          <w:rStyle w:val="FootnoteReference"/>
          <w:lang w:val="en-US"/>
        </w:rPr>
        <w:footnoteReference w:id="24"/>
      </w:r>
    </w:p>
    <w:p w14:paraId="47C68124" w14:textId="77777777" w:rsidR="00BD7788" w:rsidRPr="00327F2C" w:rsidRDefault="00BD7788" w:rsidP="003A2405">
      <w:pPr>
        <w:tabs>
          <w:tab w:val="left" w:pos="4962"/>
        </w:tabs>
        <w:spacing w:line="480" w:lineRule="auto"/>
        <w:ind w:firstLine="709"/>
        <w:jc w:val="both"/>
        <w:rPr>
          <w:lang w:val="en-US"/>
        </w:rPr>
      </w:pPr>
    </w:p>
    <w:p w14:paraId="167FD638" w14:textId="721160C3" w:rsidR="008C1E5C" w:rsidRPr="008C1E5C" w:rsidRDefault="00F21C62">
      <w:pPr>
        <w:pStyle w:val="Heading2"/>
        <w:spacing w:before="0" w:line="480" w:lineRule="auto"/>
        <w:jc w:val="both"/>
        <w:rPr>
          <w:lang w:val="en-US"/>
        </w:rPr>
      </w:pPr>
      <w:r>
        <w:rPr>
          <w:szCs w:val="24"/>
          <w:lang w:val="en-US"/>
        </w:rPr>
        <w:t>4</w:t>
      </w:r>
      <w:r w:rsidRPr="009120C6">
        <w:rPr>
          <w:szCs w:val="24"/>
          <w:lang w:val="en-US"/>
        </w:rPr>
        <w:t>.</w:t>
      </w:r>
      <w:r w:rsidR="00BD7788">
        <w:rPr>
          <w:szCs w:val="24"/>
          <w:lang w:val="en-US"/>
        </w:rPr>
        <w:t>4</w:t>
      </w:r>
      <w:r w:rsidRPr="009120C6">
        <w:rPr>
          <w:szCs w:val="24"/>
          <w:lang w:val="en-US"/>
        </w:rPr>
        <w:t xml:space="preserve">. </w:t>
      </w:r>
      <w:r w:rsidR="00280F99">
        <w:rPr>
          <w:szCs w:val="24"/>
          <w:lang w:val="en-US"/>
        </w:rPr>
        <w:t xml:space="preserve">Robustness </w:t>
      </w:r>
      <w:r w:rsidR="001A1A15">
        <w:rPr>
          <w:szCs w:val="24"/>
          <w:lang w:val="en-US"/>
        </w:rPr>
        <w:t>tests</w:t>
      </w:r>
    </w:p>
    <w:p w14:paraId="16DE21F5" w14:textId="3E79EE1C" w:rsidR="00FA5C6E" w:rsidRDefault="00FA5C6E" w:rsidP="001D2FC9">
      <w:pPr>
        <w:pStyle w:val="Heading3"/>
        <w:rPr>
          <w:b/>
          <w:lang w:val="en-US"/>
        </w:rPr>
      </w:pPr>
      <w:r>
        <w:rPr>
          <w:lang w:val="en-US"/>
        </w:rPr>
        <w:t>4</w:t>
      </w:r>
      <w:r w:rsidRPr="009120C6">
        <w:rPr>
          <w:lang w:val="en-US"/>
        </w:rPr>
        <w:t>.</w:t>
      </w:r>
      <w:r w:rsidR="00BD7788">
        <w:rPr>
          <w:lang w:val="en-US"/>
        </w:rPr>
        <w:t>4</w:t>
      </w:r>
      <w:r w:rsidRPr="009120C6">
        <w:rPr>
          <w:lang w:val="en-US"/>
        </w:rPr>
        <w:t>.</w:t>
      </w:r>
      <w:r>
        <w:rPr>
          <w:lang w:val="en-US"/>
        </w:rPr>
        <w:t>1.</w:t>
      </w:r>
      <w:r w:rsidRPr="009120C6">
        <w:rPr>
          <w:lang w:val="en-US"/>
        </w:rPr>
        <w:t xml:space="preserve"> </w:t>
      </w:r>
      <w:r>
        <w:rPr>
          <w:lang w:val="en-US"/>
        </w:rPr>
        <w:t xml:space="preserve">Sample exclusions </w:t>
      </w:r>
    </w:p>
    <w:p w14:paraId="2DE96F8F" w14:textId="55E5250A" w:rsidR="00C4637D" w:rsidRDefault="008C1E5C" w:rsidP="00F3622A">
      <w:pPr>
        <w:spacing w:line="480" w:lineRule="auto"/>
        <w:jc w:val="both"/>
        <w:rPr>
          <w:lang w:val="en-US"/>
        </w:rPr>
      </w:pPr>
      <w:r>
        <w:rPr>
          <w:lang w:val="en-US"/>
        </w:rPr>
        <w:t>In this section, we set out a number of robustness tests to our main finding</w:t>
      </w:r>
      <w:r w:rsidR="00024A84">
        <w:rPr>
          <w:lang w:val="en-US"/>
        </w:rPr>
        <w:t xml:space="preserve"> in Table 4</w:t>
      </w:r>
      <w:r>
        <w:rPr>
          <w:lang w:val="en-US"/>
        </w:rPr>
        <w:t>. We address concerns that our findings are driven by a small number of tranches issued by firms headquartered in specific European capital markets</w:t>
      </w:r>
      <w:r w:rsidR="000B2F72">
        <w:rPr>
          <w:lang w:val="en-US"/>
        </w:rPr>
        <w:t xml:space="preserve"> through sample exclusion tests</w:t>
      </w:r>
      <w:r>
        <w:rPr>
          <w:lang w:val="en-US"/>
        </w:rPr>
        <w:t xml:space="preserve">. </w:t>
      </w:r>
      <w:r w:rsidR="004B0DD7">
        <w:rPr>
          <w:lang w:val="en-US"/>
        </w:rPr>
        <w:t xml:space="preserve">We present these results in Table </w:t>
      </w:r>
      <w:r w:rsidR="00BD7788">
        <w:rPr>
          <w:lang w:val="en-US"/>
        </w:rPr>
        <w:t>9</w:t>
      </w:r>
      <w:r w:rsidR="004B0DD7">
        <w:rPr>
          <w:lang w:val="en-US"/>
        </w:rPr>
        <w:t>.</w:t>
      </w:r>
    </w:p>
    <w:p w14:paraId="2C9A1376" w14:textId="6B6970AE" w:rsidR="00C4637D" w:rsidRPr="005820F5" w:rsidRDefault="00C4637D" w:rsidP="00C4637D">
      <w:pPr>
        <w:spacing w:line="480" w:lineRule="auto"/>
        <w:jc w:val="center"/>
        <w:rPr>
          <w:b/>
          <w:bCs/>
          <w:lang w:val="en-US"/>
        </w:rPr>
      </w:pPr>
      <w:r w:rsidRPr="005820F5">
        <w:rPr>
          <w:b/>
          <w:bCs/>
          <w:lang w:val="en-US"/>
        </w:rPr>
        <w:t xml:space="preserve">[Insert Table </w:t>
      </w:r>
      <w:r w:rsidR="00BD7788">
        <w:rPr>
          <w:b/>
          <w:bCs/>
          <w:lang w:val="en-US"/>
        </w:rPr>
        <w:t>9</w:t>
      </w:r>
      <w:r w:rsidRPr="005820F5">
        <w:rPr>
          <w:b/>
          <w:bCs/>
          <w:lang w:val="en-US"/>
        </w:rPr>
        <w:t xml:space="preserve"> about here]</w:t>
      </w:r>
    </w:p>
    <w:p w14:paraId="78032B1E" w14:textId="77777777" w:rsidR="00C4637D" w:rsidRPr="00F3622A" w:rsidRDefault="00C4637D" w:rsidP="00F3622A">
      <w:pPr>
        <w:spacing w:line="480" w:lineRule="auto"/>
        <w:jc w:val="both"/>
        <w:rPr>
          <w:b/>
          <w:lang w:val="en-US"/>
        </w:rPr>
      </w:pPr>
    </w:p>
    <w:p w14:paraId="6CB2846E" w14:textId="2DBC5309" w:rsidR="00154442" w:rsidRDefault="00154442">
      <w:pPr>
        <w:spacing w:line="480" w:lineRule="auto"/>
        <w:ind w:firstLine="709"/>
        <w:jc w:val="both"/>
        <w:rPr>
          <w:lang w:val="en-US"/>
        </w:rPr>
      </w:pPr>
      <w:r>
        <w:rPr>
          <w:lang w:val="en-US"/>
        </w:rPr>
        <w:t xml:space="preserve">In Model 1, we exclude issuers from Switzerland and the UK to address concerns that our results are biased by the inclusion of issuers for whom the Euro is not </w:t>
      </w:r>
      <w:r w:rsidR="005F79F2">
        <w:rPr>
          <w:lang w:val="en-US"/>
        </w:rPr>
        <w:t>the</w:t>
      </w:r>
      <w:r>
        <w:rPr>
          <w:lang w:val="en-US"/>
        </w:rPr>
        <w:t xml:space="preserve"> primary currency. </w:t>
      </w:r>
      <w:r w:rsidR="00EF5B27">
        <w:rPr>
          <w:lang w:val="en-US"/>
        </w:rPr>
        <w:lastRenderedPageBreak/>
        <w:t xml:space="preserve">In Model 2, we exclude issuers from countries where governments and corporate issuers are known to have suffered higher credit spreads during the </w:t>
      </w:r>
      <w:r w:rsidR="005820F5">
        <w:rPr>
          <w:lang w:val="en-US"/>
        </w:rPr>
        <w:t xml:space="preserve">financial and eurozone </w:t>
      </w:r>
      <w:r w:rsidR="00EF5B27">
        <w:rPr>
          <w:lang w:val="en-US"/>
        </w:rPr>
        <w:t>crisis</w:t>
      </w:r>
      <w:r w:rsidR="004B0DD7">
        <w:rPr>
          <w:lang w:val="en-US"/>
        </w:rPr>
        <w:t>:</w:t>
      </w:r>
      <w:r w:rsidR="00EF5B27">
        <w:rPr>
          <w:lang w:val="en-US"/>
        </w:rPr>
        <w:t xml:space="preserve"> Greece, Ireland, Italy, Portugal, and Spain. </w:t>
      </w:r>
      <w:r w:rsidR="00024A84">
        <w:rPr>
          <w:lang w:val="en-US"/>
        </w:rPr>
        <w:t xml:space="preserve">Summary statistics in Table 3 highlight that </w:t>
      </w:r>
      <w:r w:rsidR="00BC5931">
        <w:rPr>
          <w:lang w:val="en-US"/>
        </w:rPr>
        <w:t xml:space="preserve">the </w:t>
      </w:r>
      <w:r w:rsidR="00024A84">
        <w:rPr>
          <w:lang w:val="en-US"/>
        </w:rPr>
        <w:t>largest countries with more bookrunners have more firms choosing domestic bookrunners. Therefore</w:t>
      </w:r>
      <w:r w:rsidR="00F37EFD">
        <w:rPr>
          <w:lang w:val="en-US"/>
        </w:rPr>
        <w:t>,</w:t>
      </w:r>
      <w:r w:rsidR="00024A84">
        <w:rPr>
          <w:lang w:val="en-US"/>
        </w:rPr>
        <w:t xml:space="preserve"> i</w:t>
      </w:r>
      <w:r w:rsidR="00EF5B27">
        <w:rPr>
          <w:lang w:val="en-US"/>
        </w:rPr>
        <w:t xml:space="preserve">n Model 3, we restrict our analysis to issuers from the largest six Western European countries </w:t>
      </w:r>
      <w:r w:rsidR="002B105D">
        <w:rPr>
          <w:lang w:val="en-US"/>
        </w:rPr>
        <w:t>by GDP</w:t>
      </w:r>
      <w:r w:rsidR="004B0DD7">
        <w:rPr>
          <w:lang w:val="en-US"/>
        </w:rPr>
        <w:t xml:space="preserve">: </w:t>
      </w:r>
      <w:r w:rsidR="008C1E5C">
        <w:rPr>
          <w:lang w:val="en-US"/>
        </w:rPr>
        <w:t>France, Germany, Italy, the Netherlands, Spain, and the UK</w:t>
      </w:r>
      <w:r w:rsidR="002B105D">
        <w:rPr>
          <w:lang w:val="en-US"/>
        </w:rPr>
        <w:t xml:space="preserve">. </w:t>
      </w:r>
      <w:r w:rsidR="00B31293">
        <w:rPr>
          <w:lang w:val="en-US"/>
        </w:rPr>
        <w:t xml:space="preserve">Focusing on these </w:t>
      </w:r>
      <w:r w:rsidR="004B0DD7">
        <w:rPr>
          <w:lang w:val="en-US"/>
        </w:rPr>
        <w:t xml:space="preserve">countries </w:t>
      </w:r>
      <w:r w:rsidR="00B31293">
        <w:rPr>
          <w:lang w:val="en-US"/>
        </w:rPr>
        <w:t xml:space="preserve">produces a more homogeneous sample </w:t>
      </w:r>
      <w:r w:rsidR="004B0DD7">
        <w:rPr>
          <w:lang w:val="en-US"/>
        </w:rPr>
        <w:t xml:space="preserve">of issuers from economies </w:t>
      </w:r>
      <w:r w:rsidR="00024A84">
        <w:rPr>
          <w:lang w:val="en-US"/>
        </w:rPr>
        <w:t>at a</w:t>
      </w:r>
      <w:r w:rsidR="00B31293">
        <w:rPr>
          <w:lang w:val="en-US"/>
        </w:rPr>
        <w:t xml:space="preserve"> similar stage of financial development. </w:t>
      </w:r>
      <w:r w:rsidR="00115810">
        <w:rPr>
          <w:lang w:val="en-US"/>
        </w:rPr>
        <w:t>In addition,</w:t>
      </w:r>
      <w:r w:rsidR="00024A84">
        <w:rPr>
          <w:lang w:val="en-US"/>
        </w:rPr>
        <w:t xml:space="preserve"> r</w:t>
      </w:r>
      <w:r w:rsidR="008C1E5C">
        <w:rPr>
          <w:lang w:val="en-US"/>
        </w:rPr>
        <w:t>emoving issuers from smaller countries reduces concerns that our results are</w:t>
      </w:r>
      <w:r w:rsidR="008C1E5C" w:rsidRPr="00154442">
        <w:rPr>
          <w:lang w:val="en-US"/>
        </w:rPr>
        <w:t xml:space="preserve"> </w:t>
      </w:r>
      <w:r w:rsidR="008C1E5C">
        <w:rPr>
          <w:lang w:val="en-US"/>
        </w:rPr>
        <w:t xml:space="preserve">driven by the simultaneous inclusion of countries with high credit spreads and few domestic bookrunners. </w:t>
      </w:r>
      <w:r w:rsidR="005C6723">
        <w:rPr>
          <w:lang w:val="en-US"/>
        </w:rPr>
        <w:t xml:space="preserve">In each </w:t>
      </w:r>
      <w:r w:rsidR="00024A84">
        <w:rPr>
          <w:lang w:val="en-US"/>
        </w:rPr>
        <w:t xml:space="preserve">of these subsamples, </w:t>
      </w:r>
      <w:r w:rsidR="005C6723">
        <w:rPr>
          <w:lang w:val="en-US"/>
        </w:rPr>
        <w:t xml:space="preserve">the positive relation between non-domestic bookrunners and at-issue credit spreads remains </w:t>
      </w:r>
      <w:r w:rsidR="00FA6B95">
        <w:rPr>
          <w:lang w:val="en-US"/>
        </w:rPr>
        <w:t xml:space="preserve">positive and </w:t>
      </w:r>
      <w:r w:rsidR="00123E52">
        <w:rPr>
          <w:lang w:val="en-US"/>
        </w:rPr>
        <w:t>statistically significant</w:t>
      </w:r>
      <w:r w:rsidR="005C6723">
        <w:rPr>
          <w:lang w:val="en-US"/>
        </w:rPr>
        <w:t>.</w:t>
      </w:r>
      <w:r w:rsidR="007C6B2D" w:rsidRPr="007C6B2D">
        <w:rPr>
          <w:rStyle w:val="FootnoteReference"/>
          <w:lang w:val="en-US"/>
        </w:rPr>
        <w:t xml:space="preserve"> </w:t>
      </w:r>
      <w:r w:rsidR="007C6B2D">
        <w:rPr>
          <w:rStyle w:val="FootnoteReference"/>
          <w:lang w:val="en-US"/>
        </w:rPr>
        <w:footnoteReference w:id="25"/>
      </w:r>
    </w:p>
    <w:p w14:paraId="79DE91EA" w14:textId="7D8C0573" w:rsidR="00CB4BEB" w:rsidRPr="00F3622A" w:rsidRDefault="00FA5C6E" w:rsidP="001D2FC9">
      <w:pPr>
        <w:pStyle w:val="Heading3"/>
        <w:rPr>
          <w:b/>
          <w:lang w:val="en-US"/>
        </w:rPr>
      </w:pPr>
      <w:r>
        <w:rPr>
          <w:lang w:val="en-US"/>
        </w:rPr>
        <w:t>4</w:t>
      </w:r>
      <w:r w:rsidRPr="009120C6">
        <w:rPr>
          <w:lang w:val="en-US"/>
        </w:rPr>
        <w:t>.</w:t>
      </w:r>
      <w:r w:rsidR="00BD7788">
        <w:rPr>
          <w:lang w:val="en-US"/>
        </w:rPr>
        <w:t>4</w:t>
      </w:r>
      <w:r w:rsidRPr="009120C6">
        <w:rPr>
          <w:lang w:val="en-US"/>
        </w:rPr>
        <w:t>.</w:t>
      </w:r>
      <w:r>
        <w:rPr>
          <w:lang w:val="en-US"/>
        </w:rPr>
        <w:t>2.</w:t>
      </w:r>
      <w:r w:rsidRPr="009120C6">
        <w:rPr>
          <w:lang w:val="en-US"/>
        </w:rPr>
        <w:t xml:space="preserve"> </w:t>
      </w:r>
      <w:r>
        <w:rPr>
          <w:lang w:val="en-US"/>
        </w:rPr>
        <w:t>Bookrunner len</w:t>
      </w:r>
      <w:r w:rsidR="00194526">
        <w:rPr>
          <w:lang w:val="en-US"/>
        </w:rPr>
        <w:t>ding commitments</w:t>
      </w:r>
      <w:r>
        <w:rPr>
          <w:lang w:val="en-US"/>
        </w:rPr>
        <w:t xml:space="preserve"> in the domestic economy </w:t>
      </w:r>
    </w:p>
    <w:p w14:paraId="6A90BBCF" w14:textId="15DA871B" w:rsidR="00CB4BEB" w:rsidRDefault="00FA5C6E" w:rsidP="008E5D64">
      <w:pPr>
        <w:spacing w:line="480" w:lineRule="auto"/>
        <w:jc w:val="both"/>
        <w:rPr>
          <w:lang w:val="en-US"/>
        </w:rPr>
      </w:pPr>
      <w:r>
        <w:rPr>
          <w:lang w:val="en-US"/>
        </w:rPr>
        <w:t xml:space="preserve">In this </w:t>
      </w:r>
      <w:r w:rsidR="00CB4BEB">
        <w:rPr>
          <w:lang w:val="en-US"/>
        </w:rPr>
        <w:t>section,</w:t>
      </w:r>
      <w:r w:rsidR="005B34B3">
        <w:rPr>
          <w:lang w:val="en-US"/>
        </w:rPr>
        <w:t xml:space="preserve"> w</w:t>
      </w:r>
      <w:r w:rsidR="00821D89">
        <w:rPr>
          <w:lang w:val="en-US"/>
        </w:rPr>
        <w:t xml:space="preserve">e </w:t>
      </w:r>
      <w:r w:rsidR="00BE6EFF">
        <w:rPr>
          <w:lang w:val="en-US"/>
        </w:rPr>
        <w:t>aim to</w:t>
      </w:r>
      <w:r w:rsidR="00821D89">
        <w:rPr>
          <w:lang w:val="en-US"/>
        </w:rPr>
        <w:t xml:space="preserve"> address concerns surrounding the interpretation of our domestic bookrunner variable</w:t>
      </w:r>
      <w:r w:rsidR="00371878">
        <w:rPr>
          <w:lang w:val="en-US"/>
        </w:rPr>
        <w:t>.</w:t>
      </w:r>
      <w:r w:rsidR="00371878" w:rsidRPr="00371878">
        <w:rPr>
          <w:lang w:val="en-US"/>
        </w:rPr>
        <w:t xml:space="preserve"> </w:t>
      </w:r>
      <w:r w:rsidR="008D79E6">
        <w:rPr>
          <w:lang w:val="en-US"/>
        </w:rPr>
        <w:t xml:space="preserve">In our testing so </w:t>
      </w:r>
      <w:r w:rsidR="00B10956">
        <w:rPr>
          <w:lang w:val="en-US"/>
        </w:rPr>
        <w:t>far,</w:t>
      </w:r>
      <w:r w:rsidR="008D79E6">
        <w:rPr>
          <w:lang w:val="en-US"/>
        </w:rPr>
        <w:t xml:space="preserve"> </w:t>
      </w:r>
      <w:r w:rsidR="00BE6EFF">
        <w:rPr>
          <w:lang w:val="en-US"/>
        </w:rPr>
        <w:t>we follow prior literature and identif</w:t>
      </w:r>
      <w:r w:rsidR="00DE0B1E">
        <w:rPr>
          <w:lang w:val="en-US"/>
        </w:rPr>
        <w:t>y</w:t>
      </w:r>
      <w:r w:rsidR="00BE6EFF">
        <w:rPr>
          <w:lang w:val="en-US"/>
        </w:rPr>
        <w:t xml:space="preserve"> bookrunner nationality </w:t>
      </w:r>
      <w:r w:rsidR="00DE0B1E">
        <w:rPr>
          <w:lang w:val="en-US"/>
        </w:rPr>
        <w:t xml:space="preserve">based </w:t>
      </w:r>
      <w:r w:rsidR="00BE6EFF">
        <w:rPr>
          <w:lang w:val="en-US"/>
        </w:rPr>
        <w:t>on the location of the firm’s corporate headquarters</w:t>
      </w:r>
      <w:r w:rsidR="000630E1">
        <w:rPr>
          <w:lang w:val="en-US"/>
        </w:rPr>
        <w:t xml:space="preserve"> (Butler, 2008)</w:t>
      </w:r>
      <w:r w:rsidR="00BE6EFF">
        <w:rPr>
          <w:lang w:val="en-US"/>
        </w:rPr>
        <w:t xml:space="preserve">. </w:t>
      </w:r>
      <w:r w:rsidR="000630E1">
        <w:rPr>
          <w:lang w:val="en-US"/>
        </w:rPr>
        <w:t>W</w:t>
      </w:r>
      <w:r w:rsidR="00371878">
        <w:rPr>
          <w:lang w:val="en-US"/>
        </w:rPr>
        <w:t xml:space="preserve">e </w:t>
      </w:r>
      <w:r w:rsidR="008D79E6">
        <w:rPr>
          <w:lang w:val="en-US"/>
        </w:rPr>
        <w:t xml:space="preserve">now </w:t>
      </w:r>
      <w:r w:rsidR="00371878">
        <w:rPr>
          <w:lang w:val="en-US"/>
        </w:rPr>
        <w:t>focus directly on lending commitments by bookrunners</w:t>
      </w:r>
      <w:r w:rsidR="000630E1">
        <w:rPr>
          <w:lang w:val="en-US"/>
        </w:rPr>
        <w:t xml:space="preserve"> </w:t>
      </w:r>
      <w:r w:rsidR="00371878">
        <w:rPr>
          <w:lang w:val="en-US"/>
        </w:rPr>
        <w:t xml:space="preserve">to measure bank involvement in national lending markets. </w:t>
      </w:r>
    </w:p>
    <w:p w14:paraId="668EF6F1" w14:textId="65876641" w:rsidR="003C2061" w:rsidRDefault="00371878" w:rsidP="002B73D8">
      <w:pPr>
        <w:spacing w:line="480" w:lineRule="auto"/>
        <w:ind w:firstLine="709"/>
        <w:jc w:val="both"/>
        <w:rPr>
          <w:lang w:val="en-US"/>
        </w:rPr>
      </w:pPr>
      <w:r>
        <w:rPr>
          <w:lang w:val="en-US"/>
        </w:rPr>
        <w:t xml:space="preserve">We analyze lending commitments by country and by </w:t>
      </w:r>
      <w:r w:rsidR="00BC5931">
        <w:rPr>
          <w:lang w:val="en-US"/>
        </w:rPr>
        <w:t xml:space="preserve">the </w:t>
      </w:r>
      <w:r>
        <w:rPr>
          <w:lang w:val="en-US"/>
        </w:rPr>
        <w:t>lender during our sample period for each of the 13 Western European countries in our sample using Dealogic</w:t>
      </w:r>
      <w:r w:rsidR="000630E1">
        <w:rPr>
          <w:lang w:val="en-US"/>
        </w:rPr>
        <w:t xml:space="preserve"> data</w:t>
      </w:r>
      <w:r>
        <w:rPr>
          <w:lang w:val="en-US"/>
        </w:rPr>
        <w:t xml:space="preserve">. This </w:t>
      </w:r>
      <w:r>
        <w:rPr>
          <w:lang w:val="en-US"/>
        </w:rPr>
        <w:lastRenderedPageBreak/>
        <w:t xml:space="preserve">allows us to identify total </w:t>
      </w:r>
      <w:r w:rsidR="007C3FC5">
        <w:rPr>
          <w:lang w:val="en-US"/>
        </w:rPr>
        <w:t xml:space="preserve">and average </w:t>
      </w:r>
      <w:r>
        <w:rPr>
          <w:lang w:val="en-US"/>
        </w:rPr>
        <w:t xml:space="preserve">lending by each bank in each </w:t>
      </w:r>
      <w:r w:rsidR="002B73D8">
        <w:rPr>
          <w:lang w:val="en-US"/>
        </w:rPr>
        <w:t xml:space="preserve">national </w:t>
      </w:r>
      <w:r>
        <w:rPr>
          <w:lang w:val="en-US"/>
        </w:rPr>
        <w:t xml:space="preserve">economy, lending as a proportion of the bank’s total balance sheet lending commitments </w:t>
      </w:r>
      <w:r w:rsidR="007C3FC5">
        <w:rPr>
          <w:lang w:val="en-US"/>
        </w:rPr>
        <w:t xml:space="preserve">and their relative size </w:t>
      </w:r>
      <w:r>
        <w:rPr>
          <w:lang w:val="en-US"/>
        </w:rPr>
        <w:t>over the sample period</w:t>
      </w:r>
      <w:r w:rsidR="007C3FC5">
        <w:rPr>
          <w:lang w:val="en-US"/>
        </w:rPr>
        <w:t>.</w:t>
      </w:r>
      <w:r w:rsidR="003C2061">
        <w:rPr>
          <w:lang w:val="en-US"/>
        </w:rPr>
        <w:t xml:space="preserve"> </w:t>
      </w:r>
    </w:p>
    <w:p w14:paraId="4D81F380" w14:textId="6D65D045" w:rsidR="002B73D8" w:rsidRDefault="002B73D8" w:rsidP="002B73D8">
      <w:pPr>
        <w:spacing w:line="480" w:lineRule="auto"/>
        <w:ind w:firstLine="709"/>
        <w:jc w:val="both"/>
        <w:rPr>
          <w:lang w:val="en-US"/>
        </w:rPr>
      </w:pPr>
      <w:r>
        <w:rPr>
          <w:lang w:val="en-US"/>
        </w:rPr>
        <w:t xml:space="preserve">These tests provide an alternative, and more direct, </w:t>
      </w:r>
      <w:r w:rsidR="00BC5931">
        <w:rPr>
          <w:lang w:val="en-US"/>
        </w:rPr>
        <w:t xml:space="preserve">a </w:t>
      </w:r>
      <w:r>
        <w:rPr>
          <w:lang w:val="en-US"/>
        </w:rPr>
        <w:t xml:space="preserve">measure of bookrunner </w:t>
      </w:r>
      <w:r w:rsidR="00123E52">
        <w:rPr>
          <w:lang w:val="en-US"/>
        </w:rPr>
        <w:t xml:space="preserve">presence </w:t>
      </w:r>
      <w:r>
        <w:rPr>
          <w:lang w:val="en-US"/>
        </w:rPr>
        <w:t>in each national economy</w:t>
      </w:r>
      <w:r w:rsidR="003C2061">
        <w:rPr>
          <w:lang w:val="en-US"/>
        </w:rPr>
        <w:t xml:space="preserve"> by considering the amount of </w:t>
      </w:r>
      <w:r w:rsidR="007A6FF3">
        <w:rPr>
          <w:lang w:val="en-US"/>
        </w:rPr>
        <w:t xml:space="preserve">its own </w:t>
      </w:r>
      <w:r w:rsidR="003C2061">
        <w:rPr>
          <w:lang w:val="en-US"/>
        </w:rPr>
        <w:t>balance sheet it has dedicated</w:t>
      </w:r>
      <w:r>
        <w:rPr>
          <w:lang w:val="en-US"/>
        </w:rPr>
        <w:t xml:space="preserve">. </w:t>
      </w:r>
      <w:r w:rsidR="003C2061">
        <w:rPr>
          <w:lang w:val="en-US"/>
        </w:rPr>
        <w:t xml:space="preserve">As lending is typically considered a necessary entry ticket to bond business, particularly in Europe, it is also a proxy for the size of a bank’s debt capital market franchise in a particular country. </w:t>
      </w:r>
    </w:p>
    <w:p w14:paraId="4DB72B6C" w14:textId="4A84D5EB" w:rsidR="003C2061" w:rsidRDefault="00371878" w:rsidP="00C91D3C">
      <w:pPr>
        <w:spacing w:line="480" w:lineRule="auto"/>
        <w:ind w:firstLine="709"/>
        <w:jc w:val="both"/>
        <w:rPr>
          <w:lang w:val="en-US"/>
        </w:rPr>
      </w:pPr>
      <w:r>
        <w:rPr>
          <w:lang w:val="en-US"/>
        </w:rPr>
        <w:t xml:space="preserve">We use this data to build a number of measures of the locality of </w:t>
      </w:r>
      <w:r w:rsidR="00123E52">
        <w:rPr>
          <w:lang w:val="en-US"/>
        </w:rPr>
        <w:t xml:space="preserve">syndicate </w:t>
      </w:r>
      <w:r>
        <w:rPr>
          <w:lang w:val="en-US"/>
        </w:rPr>
        <w:t xml:space="preserve">bookrunners in the domicile of the issuing firm based on their lending commitments. </w:t>
      </w:r>
      <w:r w:rsidR="002B73D8">
        <w:rPr>
          <w:lang w:val="en-US"/>
        </w:rPr>
        <w:t xml:space="preserve">If our previous results hold, we now expect to find a negative relation between our measures of bookrunner locality and at-issue credit spreads. </w:t>
      </w:r>
      <w:r w:rsidR="00DE0B1E">
        <w:rPr>
          <w:lang w:val="en-US"/>
        </w:rPr>
        <w:t xml:space="preserve">In Model 1 </w:t>
      </w:r>
      <w:r w:rsidR="00FA5C6E">
        <w:rPr>
          <w:lang w:val="en-US"/>
        </w:rPr>
        <w:t>in</w:t>
      </w:r>
      <w:r w:rsidR="00DE0B1E">
        <w:rPr>
          <w:lang w:val="en-US"/>
        </w:rPr>
        <w:t xml:space="preserve"> Table </w:t>
      </w:r>
      <w:r w:rsidR="00DA2873">
        <w:rPr>
          <w:lang w:val="en-US"/>
        </w:rPr>
        <w:t>1</w:t>
      </w:r>
      <w:r w:rsidR="00BD7788">
        <w:rPr>
          <w:lang w:val="en-US"/>
        </w:rPr>
        <w:t>0</w:t>
      </w:r>
      <w:r w:rsidR="00DE0B1E">
        <w:rPr>
          <w:lang w:val="en-US"/>
        </w:rPr>
        <w:t xml:space="preserve">, our bookrunner geography measure is the natural logarithm of total lending by each bookrunner </w:t>
      </w:r>
      <w:r w:rsidR="00FA5C6E">
        <w:rPr>
          <w:lang w:val="en-US"/>
        </w:rPr>
        <w:t xml:space="preserve">in the sponsoring syndicate </w:t>
      </w:r>
      <w:r w:rsidR="00DE0B1E">
        <w:rPr>
          <w:lang w:val="en-US"/>
        </w:rPr>
        <w:t xml:space="preserve">to </w:t>
      </w:r>
      <w:r w:rsidR="003337BA">
        <w:rPr>
          <w:lang w:val="en-US"/>
        </w:rPr>
        <w:t xml:space="preserve">corporate borrowers </w:t>
      </w:r>
      <w:r w:rsidR="00DE0B1E">
        <w:rPr>
          <w:lang w:val="en-US"/>
        </w:rPr>
        <w:t xml:space="preserve">in the issuing firm’s </w:t>
      </w:r>
      <w:r w:rsidR="00FA5C6E">
        <w:rPr>
          <w:lang w:val="en-US"/>
        </w:rPr>
        <w:t xml:space="preserve">headquarter </w:t>
      </w:r>
      <w:r w:rsidR="00DE0B1E">
        <w:rPr>
          <w:lang w:val="en-US"/>
        </w:rPr>
        <w:t>country. We find that the coefficient for this measure is significant</w:t>
      </w:r>
      <w:r w:rsidR="00805C0E">
        <w:rPr>
          <w:lang w:val="en-US"/>
        </w:rPr>
        <w:t>ly</w:t>
      </w:r>
      <w:r w:rsidR="00DE0B1E">
        <w:rPr>
          <w:lang w:val="en-US"/>
        </w:rPr>
        <w:t xml:space="preserve"> negative</w:t>
      </w:r>
      <w:r w:rsidR="00FA6B95">
        <w:rPr>
          <w:lang w:val="en-US"/>
        </w:rPr>
        <w:t xml:space="preserve"> at the </w:t>
      </w:r>
      <w:r w:rsidR="00DA2873">
        <w:rPr>
          <w:lang w:val="en-US"/>
        </w:rPr>
        <w:t>1</w:t>
      </w:r>
      <w:r w:rsidR="00FA6B95">
        <w:rPr>
          <w:lang w:val="en-US"/>
        </w:rPr>
        <w:t>% level</w:t>
      </w:r>
      <w:r w:rsidR="00DE0B1E">
        <w:rPr>
          <w:lang w:val="en-US"/>
        </w:rPr>
        <w:t xml:space="preserve">, which shows that credit spreads are lower when sponsoring bookrunners </w:t>
      </w:r>
      <w:r w:rsidR="00BC5931">
        <w:rPr>
          <w:lang w:val="en-US"/>
        </w:rPr>
        <w:t xml:space="preserve">to </w:t>
      </w:r>
      <w:r w:rsidR="00DE0B1E">
        <w:rPr>
          <w:lang w:val="en-US"/>
        </w:rPr>
        <w:t xml:space="preserve">have a stronger lending presence in the issuing firm’s home country. </w:t>
      </w:r>
    </w:p>
    <w:p w14:paraId="7DF8B72D" w14:textId="1CBF4B52" w:rsidR="00464794" w:rsidRPr="00DA2873" w:rsidRDefault="009120C6" w:rsidP="00464794">
      <w:pPr>
        <w:spacing w:line="480" w:lineRule="auto"/>
        <w:jc w:val="center"/>
        <w:rPr>
          <w:b/>
          <w:bCs/>
          <w:lang w:val="en-US"/>
        </w:rPr>
      </w:pPr>
      <w:r w:rsidRPr="00DA2873">
        <w:rPr>
          <w:b/>
          <w:bCs/>
          <w:lang w:val="en-US"/>
        </w:rPr>
        <w:t xml:space="preserve">[Insert Table </w:t>
      </w:r>
      <w:r w:rsidR="00DA2873">
        <w:rPr>
          <w:b/>
          <w:bCs/>
          <w:lang w:val="en-US"/>
        </w:rPr>
        <w:t>1</w:t>
      </w:r>
      <w:r w:rsidR="00BD7788">
        <w:rPr>
          <w:b/>
          <w:bCs/>
          <w:lang w:val="en-US"/>
        </w:rPr>
        <w:t>0</w:t>
      </w:r>
      <w:r w:rsidR="006D3481" w:rsidRPr="00DA2873">
        <w:rPr>
          <w:b/>
          <w:bCs/>
          <w:lang w:val="en-US"/>
        </w:rPr>
        <w:t xml:space="preserve"> </w:t>
      </w:r>
      <w:r w:rsidR="00464794" w:rsidRPr="00DA2873">
        <w:rPr>
          <w:b/>
          <w:bCs/>
          <w:lang w:val="en-US"/>
        </w:rPr>
        <w:t>about here]</w:t>
      </w:r>
    </w:p>
    <w:p w14:paraId="49982F5C" w14:textId="77777777" w:rsidR="00C61853" w:rsidRDefault="00C61853" w:rsidP="00821D89">
      <w:pPr>
        <w:spacing w:line="480" w:lineRule="auto"/>
        <w:jc w:val="both"/>
        <w:rPr>
          <w:lang w:val="en-US"/>
        </w:rPr>
      </w:pPr>
    </w:p>
    <w:p w14:paraId="6E5DB98E" w14:textId="51E461EA" w:rsidR="00B70219" w:rsidRDefault="00B70219" w:rsidP="00B70219">
      <w:pPr>
        <w:spacing w:line="480" w:lineRule="auto"/>
        <w:ind w:firstLine="709"/>
        <w:jc w:val="both"/>
        <w:rPr>
          <w:lang w:val="en-US"/>
        </w:rPr>
      </w:pPr>
      <w:r>
        <w:rPr>
          <w:lang w:val="en-US"/>
        </w:rPr>
        <w:t xml:space="preserve">We extend this analysis in Models </w:t>
      </w:r>
      <w:r w:rsidR="00DE0B1E">
        <w:rPr>
          <w:lang w:val="en-US"/>
        </w:rPr>
        <w:t>2</w:t>
      </w:r>
      <w:r>
        <w:rPr>
          <w:lang w:val="en-US"/>
        </w:rPr>
        <w:t xml:space="preserve"> to </w:t>
      </w:r>
      <w:r w:rsidR="00DE0B1E">
        <w:rPr>
          <w:lang w:val="en-US"/>
        </w:rPr>
        <w:t>4</w:t>
      </w:r>
      <w:r>
        <w:rPr>
          <w:lang w:val="en-US"/>
        </w:rPr>
        <w:t xml:space="preserve"> </w:t>
      </w:r>
      <w:r w:rsidR="0082214C">
        <w:rPr>
          <w:lang w:val="en-US"/>
        </w:rPr>
        <w:t xml:space="preserve">in Table </w:t>
      </w:r>
      <w:r w:rsidR="00DA2873">
        <w:rPr>
          <w:lang w:val="en-US"/>
        </w:rPr>
        <w:t>1</w:t>
      </w:r>
      <w:r w:rsidR="00D969FF">
        <w:rPr>
          <w:lang w:val="en-US"/>
        </w:rPr>
        <w:t>0</w:t>
      </w:r>
      <w:r w:rsidR="006D3481">
        <w:rPr>
          <w:lang w:val="en-US"/>
        </w:rPr>
        <w:t xml:space="preserve"> </w:t>
      </w:r>
      <w:r>
        <w:rPr>
          <w:lang w:val="en-US"/>
        </w:rPr>
        <w:t xml:space="preserve">to consider </w:t>
      </w:r>
      <w:proofErr w:type="gramStart"/>
      <w:r w:rsidR="005D3373">
        <w:rPr>
          <w:lang w:val="en-US"/>
        </w:rPr>
        <w:t>a number of</w:t>
      </w:r>
      <w:proofErr w:type="gramEnd"/>
      <w:r w:rsidR="005D3373">
        <w:rPr>
          <w:lang w:val="en-US"/>
        </w:rPr>
        <w:t xml:space="preserve"> </w:t>
      </w:r>
      <w:r>
        <w:rPr>
          <w:lang w:val="en-US"/>
        </w:rPr>
        <w:t xml:space="preserve">alternative measures of </w:t>
      </w:r>
      <w:r w:rsidR="00E71845">
        <w:rPr>
          <w:lang w:val="en-US"/>
        </w:rPr>
        <w:t xml:space="preserve">national </w:t>
      </w:r>
      <w:r>
        <w:rPr>
          <w:lang w:val="en-US"/>
        </w:rPr>
        <w:t>lending by sponsoring bookrunners.</w:t>
      </w:r>
      <w:r w:rsidR="009949FF">
        <w:rPr>
          <w:lang w:val="en-US"/>
        </w:rPr>
        <w:t xml:space="preserve"> In Model </w:t>
      </w:r>
      <w:r w:rsidR="00FA5C6E">
        <w:rPr>
          <w:lang w:val="en-US"/>
        </w:rPr>
        <w:t>2,</w:t>
      </w:r>
      <w:r w:rsidR="009949FF">
        <w:rPr>
          <w:lang w:val="en-US"/>
        </w:rPr>
        <w:t xml:space="preserve"> we take the natural logarithm of average lending commitment by each bookrunner to all firms in the</w:t>
      </w:r>
      <w:r w:rsidR="00E71845">
        <w:rPr>
          <w:lang w:val="en-US"/>
        </w:rPr>
        <w:t xml:space="preserve"> country of the</w:t>
      </w:r>
      <w:r w:rsidR="009949FF">
        <w:rPr>
          <w:lang w:val="en-US"/>
        </w:rPr>
        <w:t xml:space="preserve"> </w:t>
      </w:r>
      <w:r w:rsidR="00E71845">
        <w:rPr>
          <w:lang w:val="en-US"/>
        </w:rPr>
        <w:t>issuing firm</w:t>
      </w:r>
      <w:r w:rsidR="00FA5C6E">
        <w:rPr>
          <w:lang w:val="en-US"/>
        </w:rPr>
        <w:t>.</w:t>
      </w:r>
      <w:r w:rsidR="00726DA9">
        <w:rPr>
          <w:lang w:val="en-US"/>
        </w:rPr>
        <w:t xml:space="preserve"> </w:t>
      </w:r>
      <w:r w:rsidR="00FA5C6E">
        <w:rPr>
          <w:lang w:val="en-US"/>
        </w:rPr>
        <w:t xml:space="preserve">This </w:t>
      </w:r>
      <w:r w:rsidR="009949FF">
        <w:rPr>
          <w:lang w:val="en-US"/>
        </w:rPr>
        <w:t>control</w:t>
      </w:r>
      <w:r w:rsidR="00726DA9">
        <w:rPr>
          <w:lang w:val="en-US"/>
        </w:rPr>
        <w:t>s</w:t>
      </w:r>
      <w:r w:rsidR="009949FF">
        <w:rPr>
          <w:lang w:val="en-US"/>
        </w:rPr>
        <w:t xml:space="preserve"> for variation in </w:t>
      </w:r>
      <w:r w:rsidR="00726DA9">
        <w:rPr>
          <w:lang w:val="en-US"/>
        </w:rPr>
        <w:t xml:space="preserve">bookrunner </w:t>
      </w:r>
      <w:r w:rsidR="009949FF">
        <w:rPr>
          <w:lang w:val="en-US"/>
        </w:rPr>
        <w:t>syndicate size. The coefficient for this variable remains significant and negatively related to credit spreads.</w:t>
      </w:r>
      <w:r w:rsidR="005D3373">
        <w:rPr>
          <w:lang w:val="en-US"/>
        </w:rPr>
        <w:t xml:space="preserve"> In Model </w:t>
      </w:r>
      <w:r w:rsidR="00FA5C6E">
        <w:rPr>
          <w:lang w:val="en-US"/>
        </w:rPr>
        <w:t>3,</w:t>
      </w:r>
      <w:r w:rsidR="005D3373">
        <w:rPr>
          <w:lang w:val="en-US"/>
        </w:rPr>
        <w:t xml:space="preserve"> we examine the relative importance of the issuer country to the lending bank, defined as the fraction of </w:t>
      </w:r>
      <w:r w:rsidR="00726DA9">
        <w:rPr>
          <w:lang w:val="en-US"/>
        </w:rPr>
        <w:t xml:space="preserve">each </w:t>
      </w:r>
      <w:r w:rsidR="005D3373">
        <w:rPr>
          <w:lang w:val="en-US"/>
        </w:rPr>
        <w:lastRenderedPageBreak/>
        <w:t xml:space="preserve">bookrunner’s total lending over the sample period to the issuer’s </w:t>
      </w:r>
      <w:r w:rsidR="00726DA9">
        <w:rPr>
          <w:lang w:val="en-US"/>
        </w:rPr>
        <w:t xml:space="preserve">home </w:t>
      </w:r>
      <w:r w:rsidR="005D3373">
        <w:rPr>
          <w:lang w:val="en-US"/>
        </w:rPr>
        <w:t xml:space="preserve">country, and we average this across all syndicate members. We </w:t>
      </w:r>
      <w:r w:rsidR="00FA5C6E">
        <w:rPr>
          <w:lang w:val="en-US"/>
        </w:rPr>
        <w:t xml:space="preserve">again </w:t>
      </w:r>
      <w:r w:rsidR="005D3373">
        <w:rPr>
          <w:lang w:val="en-US"/>
        </w:rPr>
        <w:t xml:space="preserve">find </w:t>
      </w:r>
      <w:r w:rsidR="00CE7939">
        <w:rPr>
          <w:lang w:val="en-US"/>
        </w:rPr>
        <w:t xml:space="preserve">a significant </w:t>
      </w:r>
      <w:r w:rsidR="00D34A01">
        <w:rPr>
          <w:lang w:val="en-US"/>
        </w:rPr>
        <w:t xml:space="preserve">and </w:t>
      </w:r>
      <w:r w:rsidR="00CE7939">
        <w:rPr>
          <w:lang w:val="en-US"/>
        </w:rPr>
        <w:t>negative relation</w:t>
      </w:r>
      <w:r w:rsidR="00BC5931">
        <w:rPr>
          <w:lang w:val="en-US"/>
        </w:rPr>
        <w:t>ship</w:t>
      </w:r>
      <w:r w:rsidR="00CE7939">
        <w:rPr>
          <w:lang w:val="en-US"/>
        </w:rPr>
        <w:t xml:space="preserve"> </w:t>
      </w:r>
      <w:r w:rsidR="00CF561A">
        <w:rPr>
          <w:lang w:val="en-US"/>
        </w:rPr>
        <w:t xml:space="preserve">with the </w:t>
      </w:r>
      <w:r w:rsidR="005D3373">
        <w:rPr>
          <w:lang w:val="en-US"/>
        </w:rPr>
        <w:t xml:space="preserve">at-issue credit spread. </w:t>
      </w:r>
      <w:r w:rsidR="00FA5C6E">
        <w:rPr>
          <w:lang w:val="en-US"/>
        </w:rPr>
        <w:t>In</w:t>
      </w:r>
      <w:r w:rsidR="005D3373">
        <w:rPr>
          <w:lang w:val="en-US"/>
        </w:rPr>
        <w:t xml:space="preserve"> </w:t>
      </w:r>
      <w:r w:rsidR="00AE306C">
        <w:rPr>
          <w:lang w:val="en-US"/>
        </w:rPr>
        <w:t xml:space="preserve">Model </w:t>
      </w:r>
      <w:r w:rsidR="00FA5C6E">
        <w:rPr>
          <w:lang w:val="en-US"/>
        </w:rPr>
        <w:t>4,</w:t>
      </w:r>
      <w:r w:rsidR="00AE306C">
        <w:rPr>
          <w:lang w:val="en-US"/>
        </w:rPr>
        <w:t xml:space="preserve"> </w:t>
      </w:r>
      <w:r w:rsidR="00E71845">
        <w:rPr>
          <w:lang w:val="en-US"/>
        </w:rPr>
        <w:t>our main explanatory variable is</w:t>
      </w:r>
      <w:r w:rsidR="00AE306C">
        <w:rPr>
          <w:lang w:val="en-US"/>
        </w:rPr>
        <w:t xml:space="preserve"> </w:t>
      </w:r>
      <w:r w:rsidR="00E71845">
        <w:rPr>
          <w:lang w:val="en-US"/>
        </w:rPr>
        <w:t xml:space="preserve">the sum of </w:t>
      </w:r>
      <w:r w:rsidR="00AE306C">
        <w:rPr>
          <w:lang w:val="en-US"/>
        </w:rPr>
        <w:t xml:space="preserve">total lending by </w:t>
      </w:r>
      <w:r w:rsidR="00E71845">
        <w:rPr>
          <w:lang w:val="en-US"/>
        </w:rPr>
        <w:t>each</w:t>
      </w:r>
      <w:r w:rsidR="00AE306C">
        <w:rPr>
          <w:lang w:val="en-US"/>
        </w:rPr>
        <w:t xml:space="preserve"> bookrunner in the issuing firm’s home country </w:t>
      </w:r>
      <w:r w:rsidR="00E71845">
        <w:rPr>
          <w:lang w:val="en-US"/>
        </w:rPr>
        <w:t xml:space="preserve">weighted </w:t>
      </w:r>
      <w:r w:rsidR="00AE306C">
        <w:rPr>
          <w:lang w:val="en-US"/>
        </w:rPr>
        <w:t xml:space="preserve">by the relative size of </w:t>
      </w:r>
      <w:r w:rsidR="00E71845">
        <w:rPr>
          <w:lang w:val="en-US"/>
        </w:rPr>
        <w:t>each</w:t>
      </w:r>
      <w:r w:rsidR="00AE306C">
        <w:rPr>
          <w:lang w:val="en-US"/>
        </w:rPr>
        <w:t xml:space="preserve"> bank in the European lending market</w:t>
      </w:r>
      <w:r w:rsidR="003337BA">
        <w:rPr>
          <w:lang w:val="en-US"/>
        </w:rPr>
        <w:t>, giving greater weight to larger lending banks</w:t>
      </w:r>
      <w:r w:rsidR="00AE306C">
        <w:rPr>
          <w:lang w:val="en-US"/>
        </w:rPr>
        <w:t xml:space="preserve">. </w:t>
      </w:r>
      <w:r w:rsidR="002C5D2F">
        <w:rPr>
          <w:lang w:val="en-US"/>
        </w:rPr>
        <w:t xml:space="preserve">Supporting the results of </w:t>
      </w:r>
      <w:r w:rsidR="001A4494">
        <w:rPr>
          <w:lang w:val="en-US"/>
        </w:rPr>
        <w:t xml:space="preserve">the earlier </w:t>
      </w:r>
      <w:r w:rsidR="00FA5C6E">
        <w:rPr>
          <w:lang w:val="en-US"/>
        </w:rPr>
        <w:t>models,</w:t>
      </w:r>
      <w:r w:rsidR="009A676A">
        <w:rPr>
          <w:lang w:val="en-US"/>
        </w:rPr>
        <w:t xml:space="preserve"> </w:t>
      </w:r>
      <w:r w:rsidR="00A81FBD">
        <w:rPr>
          <w:lang w:val="en-US"/>
        </w:rPr>
        <w:t xml:space="preserve">we </w:t>
      </w:r>
      <w:r w:rsidR="00726DA9">
        <w:rPr>
          <w:lang w:val="en-US"/>
        </w:rPr>
        <w:t xml:space="preserve">again </w:t>
      </w:r>
      <w:r w:rsidR="00A81FBD">
        <w:rPr>
          <w:lang w:val="en-US"/>
        </w:rPr>
        <w:t>find</w:t>
      </w:r>
      <w:r w:rsidR="00AE306C">
        <w:rPr>
          <w:lang w:val="en-US"/>
        </w:rPr>
        <w:t xml:space="preserve"> the coefficient for syndicate locality is significant and negatively related to at-issue credit spreads.</w:t>
      </w:r>
      <w:r w:rsidR="00E71845">
        <w:rPr>
          <w:lang w:val="en-US"/>
        </w:rPr>
        <w:t xml:space="preserve"> </w:t>
      </w:r>
    </w:p>
    <w:p w14:paraId="22C2AB93" w14:textId="1B7B005A" w:rsidR="00CB4BEB" w:rsidRPr="00C91D3C" w:rsidRDefault="00FC366E" w:rsidP="001D2FC9">
      <w:pPr>
        <w:pStyle w:val="Heading3"/>
        <w:rPr>
          <w:lang w:val="en-US"/>
        </w:rPr>
      </w:pPr>
      <w:r w:rsidRPr="00C91D3C">
        <w:rPr>
          <w:lang w:val="en-US"/>
        </w:rPr>
        <w:t>4.</w:t>
      </w:r>
      <w:r w:rsidR="00BD7788">
        <w:rPr>
          <w:lang w:val="en-US"/>
        </w:rPr>
        <w:t>4</w:t>
      </w:r>
      <w:r w:rsidRPr="00C91D3C">
        <w:rPr>
          <w:lang w:val="en-US"/>
        </w:rPr>
        <w:t>.3. Alternative instrumental variables</w:t>
      </w:r>
    </w:p>
    <w:p w14:paraId="213CE891" w14:textId="3B70739B" w:rsidR="00CB4BEB" w:rsidRDefault="00CB4BEB" w:rsidP="00C91D3C">
      <w:pPr>
        <w:spacing w:line="480" w:lineRule="auto"/>
        <w:jc w:val="both"/>
        <w:rPr>
          <w:lang w:val="en-US"/>
        </w:rPr>
      </w:pPr>
      <w:r>
        <w:rPr>
          <w:lang w:val="en-US"/>
        </w:rPr>
        <w:t>As a final robustness test,</w:t>
      </w:r>
      <w:r w:rsidR="00510C42">
        <w:rPr>
          <w:lang w:val="en-US"/>
        </w:rPr>
        <w:t xml:space="preserve"> we examine the </w:t>
      </w:r>
      <w:r>
        <w:rPr>
          <w:lang w:val="en-US"/>
        </w:rPr>
        <w:t>sensitivity</w:t>
      </w:r>
      <w:r w:rsidR="00510C42">
        <w:rPr>
          <w:lang w:val="en-US"/>
        </w:rPr>
        <w:t xml:space="preserve"> of our results to alternative instrumental variables in first stage regressions of non-domestic bookrunner</w:t>
      </w:r>
      <w:r w:rsidR="007E49EA">
        <w:rPr>
          <w:lang w:val="en-US"/>
        </w:rPr>
        <w:t xml:space="preserve"> use</w:t>
      </w:r>
      <w:r w:rsidR="00510C42">
        <w:rPr>
          <w:lang w:val="en-US"/>
        </w:rPr>
        <w:t>. In Section 3.4.</w:t>
      </w:r>
      <w:r>
        <w:rPr>
          <w:lang w:val="en-US"/>
        </w:rPr>
        <w:t>,</w:t>
      </w:r>
      <w:r w:rsidR="00510C42">
        <w:rPr>
          <w:lang w:val="en-US"/>
        </w:rPr>
        <w:t xml:space="preserve"> we report </w:t>
      </w:r>
      <w:r>
        <w:rPr>
          <w:lang w:val="en-US"/>
        </w:rPr>
        <w:t xml:space="preserve">no </w:t>
      </w:r>
      <w:r w:rsidR="00510C42">
        <w:rPr>
          <w:lang w:val="en-US"/>
        </w:rPr>
        <w:t xml:space="preserve">significant correlation between the natural logarithm of </w:t>
      </w:r>
      <w:r>
        <w:rPr>
          <w:lang w:val="en-US"/>
        </w:rPr>
        <w:t xml:space="preserve">annual corporate bond issuance </w:t>
      </w:r>
      <w:r w:rsidR="00510C42">
        <w:rPr>
          <w:lang w:val="en-US"/>
        </w:rPr>
        <w:t xml:space="preserve">in the national market and the second stage dependent variable, at-issue credit spread. </w:t>
      </w:r>
      <w:r>
        <w:rPr>
          <w:lang w:val="en-US"/>
        </w:rPr>
        <w:t>T</w:t>
      </w:r>
      <w:r w:rsidR="00510C42">
        <w:rPr>
          <w:lang w:val="en-US"/>
        </w:rPr>
        <w:t>his provides confidence that our instrument fulfi</w:t>
      </w:r>
      <w:r w:rsidR="00BC5931">
        <w:rPr>
          <w:lang w:val="en-US"/>
        </w:rPr>
        <w:t>l</w:t>
      </w:r>
      <w:r w:rsidR="00510C42">
        <w:rPr>
          <w:lang w:val="en-US"/>
        </w:rPr>
        <w:t xml:space="preserve">ls the exclusion restriction. Nonetheless, if </w:t>
      </w:r>
      <w:r w:rsidR="00BC5931">
        <w:rPr>
          <w:lang w:val="en-US"/>
        </w:rPr>
        <w:t xml:space="preserve">the </w:t>
      </w:r>
      <w:r w:rsidR="00510C42">
        <w:rPr>
          <w:lang w:val="en-US"/>
        </w:rPr>
        <w:t xml:space="preserve">current year bond market size is correlated with local economic and/or credit market conditions an indirect relation </w:t>
      </w:r>
      <w:r w:rsidR="007E49EA">
        <w:rPr>
          <w:lang w:val="en-US"/>
        </w:rPr>
        <w:t xml:space="preserve">could exist </w:t>
      </w:r>
      <w:r w:rsidR="00510C42">
        <w:rPr>
          <w:lang w:val="en-US"/>
        </w:rPr>
        <w:t>between these variables after controlling for other firm and tranche characteristics</w:t>
      </w:r>
      <w:r w:rsidR="00D0305D">
        <w:rPr>
          <w:lang w:val="en-US"/>
        </w:rPr>
        <w:t xml:space="preserve"> and the instrument could fail to meet the exclusion restriction</w:t>
      </w:r>
      <w:r w:rsidR="00510C42">
        <w:rPr>
          <w:lang w:val="en-US"/>
        </w:rPr>
        <w:t>.</w:t>
      </w:r>
      <w:r w:rsidR="00D0305D">
        <w:rPr>
          <w:rStyle w:val="FootnoteReference"/>
          <w:lang w:val="en-US"/>
        </w:rPr>
        <w:footnoteReference w:id="26"/>
      </w:r>
    </w:p>
    <w:p w14:paraId="3D3ECE1B" w14:textId="3E1B022D" w:rsidR="008C3E01" w:rsidRPr="00897213" w:rsidRDefault="00510C42" w:rsidP="00E300E4">
      <w:pPr>
        <w:spacing w:line="480" w:lineRule="auto"/>
        <w:ind w:firstLine="709"/>
        <w:jc w:val="both"/>
        <w:rPr>
          <w:lang w:val="en-US"/>
        </w:rPr>
      </w:pPr>
      <w:r>
        <w:rPr>
          <w:lang w:val="en-US"/>
        </w:rPr>
        <w:t xml:space="preserve">To examine this issue in more detail, in Table </w:t>
      </w:r>
      <w:r w:rsidR="00F23B19">
        <w:rPr>
          <w:lang w:val="en-US"/>
        </w:rPr>
        <w:t>1</w:t>
      </w:r>
      <w:r w:rsidR="00BD7788">
        <w:rPr>
          <w:lang w:val="en-US"/>
        </w:rPr>
        <w:t>1</w:t>
      </w:r>
      <w:r w:rsidR="006D3481">
        <w:rPr>
          <w:lang w:val="en-US"/>
        </w:rPr>
        <w:t xml:space="preserve"> </w:t>
      </w:r>
      <w:r>
        <w:rPr>
          <w:lang w:val="en-US"/>
        </w:rPr>
        <w:t xml:space="preserve">we present second stage regressions of at-issue credit spreads based on alternative </w:t>
      </w:r>
      <w:r w:rsidR="00CB4BEB">
        <w:rPr>
          <w:lang w:val="en-US"/>
        </w:rPr>
        <w:t xml:space="preserve">instrumental variables in </w:t>
      </w:r>
      <w:r>
        <w:rPr>
          <w:lang w:val="en-US"/>
        </w:rPr>
        <w:t>first stage regressions of bookrunner geography</w:t>
      </w:r>
      <w:r w:rsidR="008C3E01">
        <w:rPr>
          <w:lang w:val="en-US"/>
        </w:rPr>
        <w:t>.</w:t>
      </w:r>
      <w:r>
        <w:rPr>
          <w:lang w:val="en-US"/>
        </w:rPr>
        <w:t xml:space="preserve"> </w:t>
      </w:r>
      <w:r w:rsidR="008C3E01">
        <w:rPr>
          <w:lang w:val="en-US"/>
        </w:rPr>
        <w:t>For brevity, we do not report the coefficients for control variables and present only the overall regression statistics</w:t>
      </w:r>
      <w:r w:rsidR="00CB4BEB">
        <w:rPr>
          <w:lang w:val="en-US"/>
        </w:rPr>
        <w:t xml:space="preserve"> and </w:t>
      </w:r>
      <w:r w:rsidR="008C3E01">
        <w:rPr>
          <w:lang w:val="en-US"/>
        </w:rPr>
        <w:t>the coefficient</w:t>
      </w:r>
      <w:r w:rsidR="00CB4BEB">
        <w:rPr>
          <w:lang w:val="en-US"/>
        </w:rPr>
        <w:t>s</w:t>
      </w:r>
      <w:r w:rsidR="008C3E01">
        <w:rPr>
          <w:lang w:val="en-US"/>
        </w:rPr>
        <w:t xml:space="preserve"> for the intercept and the main explanatory variable. In Models 1 to 3</w:t>
      </w:r>
      <w:r w:rsidR="009025CD">
        <w:rPr>
          <w:lang w:val="en-US"/>
        </w:rPr>
        <w:t>,</w:t>
      </w:r>
      <w:r w:rsidR="008C3E01">
        <w:rPr>
          <w:lang w:val="en-US"/>
        </w:rPr>
        <w:t xml:space="preserve"> we use</w:t>
      </w:r>
      <w:r>
        <w:rPr>
          <w:lang w:val="en-US"/>
        </w:rPr>
        <w:t xml:space="preserve"> one, two, and </w:t>
      </w:r>
      <w:r w:rsidR="00010597">
        <w:rPr>
          <w:lang w:val="en-US"/>
        </w:rPr>
        <w:t>three-year</w:t>
      </w:r>
      <w:r>
        <w:rPr>
          <w:lang w:val="en-US"/>
        </w:rPr>
        <w:t xml:space="preserve"> lags of the </w:t>
      </w:r>
      <w:r w:rsidR="008C3E01">
        <w:rPr>
          <w:lang w:val="en-US"/>
        </w:rPr>
        <w:t xml:space="preserve">first stage </w:t>
      </w:r>
      <w:r>
        <w:rPr>
          <w:lang w:val="en-US"/>
        </w:rPr>
        <w:t>instrumental variable respectively.</w:t>
      </w:r>
      <w:r w:rsidR="008C3E01" w:rsidRPr="008C3E01">
        <w:rPr>
          <w:lang w:val="en-US"/>
        </w:rPr>
        <w:t xml:space="preserve"> </w:t>
      </w:r>
      <w:r w:rsidR="008C3E01">
        <w:rPr>
          <w:lang w:val="en-US"/>
        </w:rPr>
        <w:t xml:space="preserve">In doing so we aim to reduce any correlation between national bond market size and bond pricing that is </w:t>
      </w:r>
      <w:r w:rsidR="00CB4BEB">
        <w:rPr>
          <w:lang w:val="en-US"/>
        </w:rPr>
        <w:t>driven by</w:t>
      </w:r>
      <w:r w:rsidR="008C3E01">
        <w:rPr>
          <w:lang w:val="en-US"/>
        </w:rPr>
        <w:t xml:space="preserve"> current credit market conditions. </w:t>
      </w:r>
      <w:r w:rsidR="00F64618">
        <w:lastRenderedPageBreak/>
        <w:t>For each model, the</w:t>
      </w:r>
      <w:r w:rsidR="008C3E01">
        <w:rPr>
          <w:lang w:val="en-US"/>
        </w:rPr>
        <w:t xml:space="preserve"> coefficient on the proportion of non-domestic bookrunners remains positive and significantly related to at-issue credit spreads.</w:t>
      </w:r>
    </w:p>
    <w:p w14:paraId="2D75ACBD" w14:textId="0AE3F373" w:rsidR="008C3E01" w:rsidRPr="00F23B19" w:rsidRDefault="008C3E01" w:rsidP="008C3E01">
      <w:pPr>
        <w:spacing w:line="480" w:lineRule="auto"/>
        <w:jc w:val="center"/>
        <w:rPr>
          <w:b/>
          <w:bCs/>
          <w:lang w:val="en-US"/>
        </w:rPr>
      </w:pPr>
      <w:r w:rsidRPr="00F23B19">
        <w:rPr>
          <w:b/>
          <w:bCs/>
          <w:lang w:val="en-US"/>
        </w:rPr>
        <w:t xml:space="preserve">[Insert Table </w:t>
      </w:r>
      <w:r w:rsidR="00F23B19">
        <w:rPr>
          <w:b/>
          <w:bCs/>
          <w:lang w:val="en-US"/>
        </w:rPr>
        <w:t>1</w:t>
      </w:r>
      <w:r w:rsidR="00BD7788">
        <w:rPr>
          <w:b/>
          <w:bCs/>
          <w:lang w:val="en-US"/>
        </w:rPr>
        <w:t>1</w:t>
      </w:r>
      <w:r w:rsidR="006D3481" w:rsidRPr="00F23B19">
        <w:rPr>
          <w:b/>
          <w:bCs/>
          <w:lang w:val="en-US"/>
        </w:rPr>
        <w:t xml:space="preserve"> </w:t>
      </w:r>
      <w:r w:rsidRPr="00F23B19">
        <w:rPr>
          <w:b/>
          <w:bCs/>
          <w:lang w:val="en-US"/>
        </w:rPr>
        <w:t>about here]</w:t>
      </w:r>
    </w:p>
    <w:p w14:paraId="16709AB7" w14:textId="77777777" w:rsidR="008C3E01" w:rsidRDefault="008C3E01" w:rsidP="008C3E01">
      <w:pPr>
        <w:spacing w:line="480" w:lineRule="auto"/>
        <w:jc w:val="both"/>
        <w:rPr>
          <w:lang w:val="en-US"/>
        </w:rPr>
      </w:pPr>
    </w:p>
    <w:p w14:paraId="78EC1FF7" w14:textId="5AA68FB1" w:rsidR="00320892" w:rsidRDefault="00365377" w:rsidP="00B70219">
      <w:pPr>
        <w:spacing w:line="480" w:lineRule="auto"/>
        <w:ind w:firstLine="709"/>
        <w:jc w:val="both"/>
        <w:rPr>
          <w:lang w:val="en-US"/>
        </w:rPr>
      </w:pPr>
      <w:r w:rsidRPr="0030731D">
        <w:t xml:space="preserve">It is </w:t>
      </w:r>
      <w:r>
        <w:t xml:space="preserve">also </w:t>
      </w:r>
      <w:r w:rsidRPr="0030731D">
        <w:t xml:space="preserve">possible that the size of </w:t>
      </w:r>
      <w:r w:rsidR="00BC5931">
        <w:t xml:space="preserve">the </w:t>
      </w:r>
      <w:r w:rsidRPr="0030731D">
        <w:t xml:space="preserve">local bond market indicates the </w:t>
      </w:r>
      <w:r>
        <w:t>availability</w:t>
      </w:r>
      <w:r w:rsidRPr="0030731D">
        <w:t xml:space="preserve"> of private credit</w:t>
      </w:r>
      <w:r>
        <w:t>,</w:t>
      </w:r>
      <w:r w:rsidRPr="0030731D">
        <w:t xml:space="preserve"> with a large</w:t>
      </w:r>
      <w:r>
        <w:t>r bond market corresponding to a stronger private credit supply and thus a</w:t>
      </w:r>
      <w:r w:rsidRPr="0030731D">
        <w:t xml:space="preserve"> lower borrowing cost. </w:t>
      </w:r>
      <w:r>
        <w:t xml:space="preserve">Alternatively, a larger bond market reflects </w:t>
      </w:r>
      <w:r w:rsidR="00BC5931">
        <w:t xml:space="preserve">a </w:t>
      </w:r>
      <w:r>
        <w:t xml:space="preserve">limited supply of private credit and thus a higher borrowing cost. To examine the robustness of our findings to these arguments, </w:t>
      </w:r>
      <w:r>
        <w:rPr>
          <w:lang w:val="en-US"/>
        </w:rPr>
        <w:t xml:space="preserve">in </w:t>
      </w:r>
      <w:r w:rsidR="00320892">
        <w:rPr>
          <w:lang w:val="en-US"/>
        </w:rPr>
        <w:t>Model 4</w:t>
      </w:r>
      <w:r w:rsidR="009025CD">
        <w:rPr>
          <w:lang w:val="en-US"/>
        </w:rPr>
        <w:t>,</w:t>
      </w:r>
      <w:r w:rsidR="00320892">
        <w:rPr>
          <w:lang w:val="en-US"/>
        </w:rPr>
        <w:t xml:space="preserve"> we use the number of euro-denominated bank loans provided to firms</w:t>
      </w:r>
      <w:r w:rsidR="00BC2FF2">
        <w:rPr>
          <w:lang w:val="en-US"/>
        </w:rPr>
        <w:t xml:space="preserve"> each month</w:t>
      </w:r>
      <w:r w:rsidR="00320892">
        <w:rPr>
          <w:lang w:val="en-US"/>
        </w:rPr>
        <w:t xml:space="preserve"> in each country as an alternative measure of credit market size. In Model 5, we </w:t>
      </w:r>
      <w:r w:rsidR="003921EE">
        <w:rPr>
          <w:lang w:val="en-US"/>
        </w:rPr>
        <w:t xml:space="preserve">the </w:t>
      </w:r>
      <w:r w:rsidR="00320892">
        <w:rPr>
          <w:lang w:val="en-US"/>
        </w:rPr>
        <w:t xml:space="preserve">total number of bonds and bank loans made to firms </w:t>
      </w:r>
      <w:r w:rsidR="00BC2FF2">
        <w:rPr>
          <w:lang w:val="en-US"/>
        </w:rPr>
        <w:t xml:space="preserve">in </w:t>
      </w:r>
      <w:r w:rsidR="00BC5931">
        <w:rPr>
          <w:lang w:val="en-US"/>
        </w:rPr>
        <w:t xml:space="preserve">the </w:t>
      </w:r>
      <w:r w:rsidR="00BC2FF2">
        <w:rPr>
          <w:lang w:val="en-US"/>
        </w:rPr>
        <w:t xml:space="preserve">month </w:t>
      </w:r>
      <w:r w:rsidR="00320892">
        <w:rPr>
          <w:lang w:val="en-US"/>
        </w:rPr>
        <w:t xml:space="preserve">in each country as a combined measure of credit market size. In both </w:t>
      </w:r>
      <w:r w:rsidR="00034641">
        <w:rPr>
          <w:lang w:val="en-US"/>
        </w:rPr>
        <w:t>cases,</w:t>
      </w:r>
      <w:r w:rsidR="00320892">
        <w:rPr>
          <w:lang w:val="en-US"/>
        </w:rPr>
        <w:t xml:space="preserve"> the coefficient for non-domestic bookrunners re</w:t>
      </w:r>
      <w:r w:rsidR="00FA6B95">
        <w:rPr>
          <w:lang w:val="en-US"/>
        </w:rPr>
        <w:t>mains positive and significant</w:t>
      </w:r>
      <w:r w:rsidR="00320892">
        <w:rPr>
          <w:lang w:val="en-US"/>
        </w:rPr>
        <w:t xml:space="preserve"> </w:t>
      </w:r>
      <w:r w:rsidR="00FA6B95">
        <w:rPr>
          <w:lang w:val="en-US"/>
        </w:rPr>
        <w:t xml:space="preserve">at the </w:t>
      </w:r>
      <w:r w:rsidR="00BC2FF2">
        <w:rPr>
          <w:lang w:val="en-US"/>
        </w:rPr>
        <w:t>1</w:t>
      </w:r>
      <w:r w:rsidR="00FA6B95">
        <w:rPr>
          <w:lang w:val="en-US"/>
        </w:rPr>
        <w:t xml:space="preserve">% level </w:t>
      </w:r>
      <w:r w:rsidR="00320892">
        <w:rPr>
          <w:lang w:val="en-US"/>
        </w:rPr>
        <w:t xml:space="preserve">to at-issue credit spreads. </w:t>
      </w:r>
      <w:r w:rsidR="00034641">
        <w:rPr>
          <w:lang w:val="en-US"/>
        </w:rPr>
        <w:t>This provides confidence that our results are not sensitive to the measure of national bond market size and that they are not biased by a potential correlation between bond market size and contemporaneous credit market conditions that also affect at-issue credit spread.</w:t>
      </w:r>
    </w:p>
    <w:p w14:paraId="196B9531" w14:textId="77777777" w:rsidR="004243D2" w:rsidRPr="00DC68DD" w:rsidRDefault="0080081A" w:rsidP="00555663">
      <w:pPr>
        <w:pStyle w:val="Heading1"/>
        <w:keepLines w:val="0"/>
        <w:rPr>
          <w:szCs w:val="24"/>
          <w:lang w:val="en-US"/>
        </w:rPr>
      </w:pPr>
      <w:bookmarkStart w:id="7" w:name="_Toc415333327"/>
      <w:r>
        <w:rPr>
          <w:szCs w:val="24"/>
          <w:lang w:val="en-US"/>
        </w:rPr>
        <w:t>5</w:t>
      </w:r>
      <w:r w:rsidR="00B75E82" w:rsidRPr="00DC68DD">
        <w:rPr>
          <w:szCs w:val="24"/>
          <w:lang w:val="en-US"/>
        </w:rPr>
        <w:t xml:space="preserve">. </w:t>
      </w:r>
      <w:r w:rsidR="004243D2" w:rsidRPr="00DC68DD">
        <w:rPr>
          <w:szCs w:val="24"/>
          <w:lang w:val="en-US"/>
        </w:rPr>
        <w:t>Conclusion</w:t>
      </w:r>
      <w:bookmarkEnd w:id="7"/>
      <w:r w:rsidR="004243D2" w:rsidRPr="00DC68DD">
        <w:rPr>
          <w:szCs w:val="24"/>
          <w:lang w:val="en-US"/>
        </w:rPr>
        <w:t>s</w:t>
      </w:r>
    </w:p>
    <w:p w14:paraId="213D53F3" w14:textId="42E35E14" w:rsidR="00FB5A2F" w:rsidRDefault="004243D2" w:rsidP="001A1A15">
      <w:pPr>
        <w:spacing w:line="480" w:lineRule="auto"/>
        <w:jc w:val="both"/>
        <w:rPr>
          <w:lang w:val="en-US"/>
        </w:rPr>
      </w:pPr>
      <w:r w:rsidRPr="00DC68DD">
        <w:rPr>
          <w:lang w:val="en-US"/>
        </w:rPr>
        <w:t xml:space="preserve">In this </w:t>
      </w:r>
      <w:r w:rsidR="003D0171" w:rsidRPr="00DC68DD">
        <w:rPr>
          <w:lang w:val="en-US"/>
        </w:rPr>
        <w:t>paper</w:t>
      </w:r>
      <w:r w:rsidR="00BC5931">
        <w:rPr>
          <w:lang w:val="en-US"/>
        </w:rPr>
        <w:t>,</w:t>
      </w:r>
      <w:r w:rsidRPr="00DC68DD">
        <w:rPr>
          <w:lang w:val="en-US"/>
        </w:rPr>
        <w:t xml:space="preserve"> we examine the impact of </w:t>
      </w:r>
      <w:r w:rsidR="00C1695B">
        <w:rPr>
          <w:lang w:val="en-US"/>
        </w:rPr>
        <w:t xml:space="preserve">bookrunner </w:t>
      </w:r>
      <w:r w:rsidR="00A41F2B">
        <w:rPr>
          <w:lang w:val="en-US"/>
        </w:rPr>
        <w:t xml:space="preserve">syndicate </w:t>
      </w:r>
      <w:r w:rsidR="00C1695B">
        <w:rPr>
          <w:lang w:val="en-US"/>
        </w:rPr>
        <w:t>geography</w:t>
      </w:r>
      <w:r w:rsidR="004B3A04" w:rsidRPr="00DC68DD">
        <w:rPr>
          <w:lang w:val="en-US"/>
        </w:rPr>
        <w:t xml:space="preserve"> on</w:t>
      </w:r>
      <w:r w:rsidRPr="00DC68DD">
        <w:rPr>
          <w:lang w:val="en-US"/>
        </w:rPr>
        <w:t xml:space="preserve"> the quality of </w:t>
      </w:r>
      <w:r w:rsidR="00C1695B">
        <w:rPr>
          <w:lang w:val="en-US"/>
        </w:rPr>
        <w:t>service</w:t>
      </w:r>
      <w:r w:rsidR="00CE493C" w:rsidRPr="00DC68DD">
        <w:rPr>
          <w:lang w:val="en-US"/>
        </w:rPr>
        <w:t xml:space="preserve"> </w:t>
      </w:r>
      <w:r w:rsidR="00C1695B">
        <w:rPr>
          <w:lang w:val="en-US"/>
        </w:rPr>
        <w:t>provided</w:t>
      </w:r>
      <w:r w:rsidR="008E6516">
        <w:rPr>
          <w:lang w:val="en-US"/>
        </w:rPr>
        <w:t xml:space="preserve"> in</w:t>
      </w:r>
      <w:r w:rsidR="007211A9">
        <w:rPr>
          <w:lang w:val="en-US"/>
        </w:rPr>
        <w:t xml:space="preserve"> corporate</w:t>
      </w:r>
      <w:r w:rsidR="008E6516">
        <w:rPr>
          <w:lang w:val="en-US"/>
        </w:rPr>
        <w:t xml:space="preserve"> bond issues</w:t>
      </w:r>
      <w:r w:rsidR="00C1695B">
        <w:rPr>
          <w:lang w:val="en-US"/>
        </w:rPr>
        <w:t xml:space="preserve">, based on the at issue-issue credit spread </w:t>
      </w:r>
      <w:r w:rsidR="007211A9">
        <w:rPr>
          <w:lang w:val="en-US"/>
        </w:rPr>
        <w:t>on newly issued bonds</w:t>
      </w:r>
      <w:r w:rsidR="00A43A80" w:rsidRPr="00DC68DD">
        <w:rPr>
          <w:lang w:val="en-US"/>
        </w:rPr>
        <w:t xml:space="preserve">. </w:t>
      </w:r>
      <w:r w:rsidR="00891A0D" w:rsidRPr="00DC68DD">
        <w:rPr>
          <w:lang w:val="en-US"/>
        </w:rPr>
        <w:t xml:space="preserve">This research extends prior evidence studying the </w:t>
      </w:r>
      <w:r w:rsidR="00891A0D">
        <w:rPr>
          <w:lang w:val="en-US"/>
        </w:rPr>
        <w:t xml:space="preserve">determinants and </w:t>
      </w:r>
      <w:r w:rsidR="00891A0D" w:rsidRPr="00DC68DD">
        <w:rPr>
          <w:lang w:val="en-US"/>
        </w:rPr>
        <w:t xml:space="preserve">influence of bookrunner </w:t>
      </w:r>
      <w:r w:rsidR="00891A0D">
        <w:rPr>
          <w:lang w:val="en-US"/>
        </w:rPr>
        <w:t>relationships with issuing firms</w:t>
      </w:r>
      <w:r w:rsidR="00A41F2B">
        <w:rPr>
          <w:lang w:val="en-US"/>
        </w:rPr>
        <w:t xml:space="preserve"> by considering the make-up of the entire bookrunner syndicate and directly testing their roles</w:t>
      </w:r>
      <w:r w:rsidR="00891A0D" w:rsidRPr="00DC68DD">
        <w:rPr>
          <w:lang w:val="en-US"/>
        </w:rPr>
        <w:t xml:space="preserve">. </w:t>
      </w:r>
    </w:p>
    <w:p w14:paraId="5782C200" w14:textId="62DFA3F0" w:rsidR="00FB5A2F" w:rsidRDefault="00FB5A2F">
      <w:pPr>
        <w:spacing w:line="480" w:lineRule="auto"/>
        <w:ind w:firstLine="709"/>
        <w:jc w:val="both"/>
        <w:rPr>
          <w:lang w:val="en-US"/>
        </w:rPr>
      </w:pPr>
      <w:r w:rsidRPr="00DC68DD">
        <w:rPr>
          <w:lang w:val="en-US"/>
        </w:rPr>
        <w:t xml:space="preserve">We use </w:t>
      </w:r>
      <w:r>
        <w:rPr>
          <w:lang w:val="en-US"/>
        </w:rPr>
        <w:t>IV-2SLS</w:t>
      </w:r>
      <w:r w:rsidRPr="00DC68DD">
        <w:rPr>
          <w:lang w:val="en-US"/>
        </w:rPr>
        <w:t xml:space="preserve"> regression models </w:t>
      </w:r>
      <w:r>
        <w:rPr>
          <w:lang w:val="en-US"/>
        </w:rPr>
        <w:t xml:space="preserve">to control for endogenous matching of bookrunners and bond issues. Our </w:t>
      </w:r>
      <w:r w:rsidRPr="00DC68DD">
        <w:rPr>
          <w:lang w:val="en-US"/>
        </w:rPr>
        <w:t xml:space="preserve">sample is </w:t>
      </w:r>
      <w:r w:rsidR="00BC2FF2">
        <w:rPr>
          <w:lang w:val="en-US"/>
        </w:rPr>
        <w:t>2,409</w:t>
      </w:r>
      <w:r w:rsidRPr="00DC68DD">
        <w:rPr>
          <w:lang w:val="en-US"/>
        </w:rPr>
        <w:t xml:space="preserve"> euro-denominated investment</w:t>
      </w:r>
      <w:r w:rsidR="00BC5931">
        <w:rPr>
          <w:lang w:val="en-US"/>
        </w:rPr>
        <w:t>-</w:t>
      </w:r>
      <w:r w:rsidRPr="00DC68DD">
        <w:rPr>
          <w:lang w:val="en-US"/>
        </w:rPr>
        <w:t xml:space="preserve">grade public bond tranches </w:t>
      </w:r>
      <w:r>
        <w:rPr>
          <w:lang w:val="en-US"/>
        </w:rPr>
        <w:t>issued</w:t>
      </w:r>
      <w:r w:rsidRPr="00DC68DD">
        <w:rPr>
          <w:lang w:val="en-US"/>
        </w:rPr>
        <w:t xml:space="preserve"> by </w:t>
      </w:r>
      <w:r w:rsidR="00BC2FF2">
        <w:rPr>
          <w:lang w:val="en-US"/>
        </w:rPr>
        <w:t>356</w:t>
      </w:r>
      <w:r w:rsidRPr="00DC68DD">
        <w:rPr>
          <w:lang w:val="en-US"/>
        </w:rPr>
        <w:t xml:space="preserve"> firms </w:t>
      </w:r>
      <w:r>
        <w:rPr>
          <w:lang w:val="en-US"/>
        </w:rPr>
        <w:t xml:space="preserve">in 13 </w:t>
      </w:r>
      <w:r w:rsidRPr="00DC68DD">
        <w:rPr>
          <w:lang w:val="en-US"/>
        </w:rPr>
        <w:t xml:space="preserve">Western European </w:t>
      </w:r>
      <w:r>
        <w:rPr>
          <w:lang w:val="en-US"/>
        </w:rPr>
        <w:t xml:space="preserve">countries </w:t>
      </w:r>
      <w:r w:rsidRPr="00DC68DD">
        <w:rPr>
          <w:lang w:val="en-US"/>
        </w:rPr>
        <w:t>from 2001 to 20</w:t>
      </w:r>
      <w:r w:rsidR="00BC2FF2">
        <w:rPr>
          <w:lang w:val="en-US"/>
        </w:rPr>
        <w:t>20</w:t>
      </w:r>
      <w:r w:rsidRPr="00DC68DD">
        <w:rPr>
          <w:lang w:val="en-US"/>
        </w:rPr>
        <w:t>.</w:t>
      </w:r>
      <w:r>
        <w:rPr>
          <w:lang w:val="en-US"/>
        </w:rPr>
        <w:t xml:space="preserve"> The focus on the </w:t>
      </w:r>
      <w:r>
        <w:rPr>
          <w:lang w:val="en-US"/>
        </w:rPr>
        <w:lastRenderedPageBreak/>
        <w:t>euro-denominated corporate bond market provides us with the empirical benefits of a heterogeneous set of issuers and bookrunners with a homogeneous bond product, governed by centralized EU regulation. A</w:t>
      </w:r>
      <w:r w:rsidR="00C66B14">
        <w:rPr>
          <w:lang w:val="en-US"/>
        </w:rPr>
        <w:t>lso,</w:t>
      </w:r>
      <w:r>
        <w:rPr>
          <w:lang w:val="en-US"/>
        </w:rPr>
        <w:t xml:space="preserve"> by exclusively considering investment</w:t>
      </w:r>
      <w:r w:rsidR="00BC5931">
        <w:rPr>
          <w:lang w:val="en-US"/>
        </w:rPr>
        <w:t>-</w:t>
      </w:r>
      <w:r>
        <w:rPr>
          <w:lang w:val="en-US"/>
        </w:rPr>
        <w:t xml:space="preserve">grade tranches we perform a strong test of the value of bookrunner services that </w:t>
      </w:r>
      <w:r w:rsidR="00BC5931">
        <w:rPr>
          <w:lang w:val="en-US"/>
        </w:rPr>
        <w:t>are</w:t>
      </w:r>
      <w:r>
        <w:rPr>
          <w:lang w:val="en-US"/>
        </w:rPr>
        <w:t xml:space="preserve"> most applicable to regular bond issuers.</w:t>
      </w:r>
    </w:p>
    <w:p w14:paraId="62649B77" w14:textId="54D74D90" w:rsidR="00C66B14" w:rsidRDefault="007C3FC5" w:rsidP="00FB5A2F">
      <w:pPr>
        <w:spacing w:line="480" w:lineRule="auto"/>
        <w:ind w:firstLine="709"/>
        <w:jc w:val="both"/>
        <w:rPr>
          <w:lang w:val="en-US"/>
        </w:rPr>
      </w:pPr>
      <w:r>
        <w:rPr>
          <w:lang w:val="en-US"/>
        </w:rPr>
        <w:t>We argue that there is no perceived differentiation in certification function of domestic and non-domestic bookrunners</w:t>
      </w:r>
      <w:r w:rsidR="008226C0">
        <w:rPr>
          <w:lang w:val="en-US"/>
        </w:rPr>
        <w:t xml:space="preserve">, at least in normal times, as these functions are typically legalistic and fulfilled by their legal department. However, we argue that the certification role would be important during </w:t>
      </w:r>
      <w:r w:rsidR="00C66B14">
        <w:rPr>
          <w:lang w:val="en-US"/>
        </w:rPr>
        <w:t xml:space="preserve">difficult economic conditions, </w:t>
      </w:r>
      <w:r w:rsidR="008226C0">
        <w:rPr>
          <w:lang w:val="en-US"/>
        </w:rPr>
        <w:t xml:space="preserve">such as in recessionary periods due to increased investors risk aversion and reduced trust on credit rating agencies. </w:t>
      </w:r>
      <w:r w:rsidR="00C66B14">
        <w:rPr>
          <w:lang w:val="en-US"/>
        </w:rPr>
        <w:t xml:space="preserve">However, </w:t>
      </w:r>
      <w:r w:rsidR="008226C0">
        <w:rPr>
          <w:lang w:val="en-US"/>
        </w:rPr>
        <w:t>domestic bookrunners</w:t>
      </w:r>
      <w:r w:rsidR="00C66B14">
        <w:rPr>
          <w:lang w:val="en-US"/>
        </w:rPr>
        <w:t xml:space="preserve"> </w:t>
      </w:r>
      <w:r w:rsidR="008226C0">
        <w:rPr>
          <w:lang w:val="en-US"/>
        </w:rPr>
        <w:t xml:space="preserve">have greater role to play in placement function due their </w:t>
      </w:r>
      <w:r w:rsidR="007D7FF0">
        <w:rPr>
          <w:lang w:val="en-US"/>
        </w:rPr>
        <w:t>locational advantage and</w:t>
      </w:r>
      <w:r w:rsidR="008226C0">
        <w:rPr>
          <w:lang w:val="en-US"/>
        </w:rPr>
        <w:t xml:space="preserve"> soft information advantage compared to their non-domestic counterpart. We argue that this role is important during both normal and cris</w:t>
      </w:r>
      <w:r w:rsidR="00C66B14">
        <w:rPr>
          <w:lang w:val="en-US"/>
        </w:rPr>
        <w:t>i</w:t>
      </w:r>
      <w:r w:rsidR="008226C0">
        <w:rPr>
          <w:lang w:val="en-US"/>
        </w:rPr>
        <w:t xml:space="preserve">s periods. </w:t>
      </w:r>
    </w:p>
    <w:p w14:paraId="0318F1C2" w14:textId="4D4561EB" w:rsidR="00FB5A2F" w:rsidRDefault="00C66B14" w:rsidP="00FB5A2F">
      <w:pPr>
        <w:spacing w:line="480" w:lineRule="auto"/>
        <w:ind w:firstLine="709"/>
        <w:jc w:val="both"/>
        <w:rPr>
          <w:lang w:val="en-US"/>
        </w:rPr>
      </w:pPr>
      <w:r>
        <w:rPr>
          <w:lang w:val="en-US"/>
        </w:rPr>
        <w:t>O</w:t>
      </w:r>
      <w:r w:rsidR="008226C0">
        <w:rPr>
          <w:lang w:val="en-US"/>
        </w:rPr>
        <w:t xml:space="preserve">ur findings show that bookrunner syndicates with a higher proportion of domestic banks provide higher quality services as reflected in their at-issue credit spreads and propose that this relates to their soft information advantage derived from their geographical proximity to issuers. </w:t>
      </w:r>
      <w:r>
        <w:rPr>
          <w:lang w:val="en-US"/>
        </w:rPr>
        <w:t>W</w:t>
      </w:r>
      <w:r w:rsidR="008226C0">
        <w:rPr>
          <w:lang w:val="en-US"/>
        </w:rPr>
        <w:t>e find that o</w:t>
      </w:r>
      <w:r w:rsidR="00B01FCE" w:rsidRPr="00F9603D">
        <w:rPr>
          <w:lang w:val="en-US"/>
        </w:rPr>
        <w:t xml:space="preserve">ur main results are driven by tranches issued during </w:t>
      </w:r>
      <w:r w:rsidR="00B01FCE">
        <w:rPr>
          <w:lang w:val="en-US"/>
        </w:rPr>
        <w:t xml:space="preserve">both </w:t>
      </w:r>
      <w:r w:rsidR="00B01FCE" w:rsidRPr="00F9603D">
        <w:rPr>
          <w:lang w:val="en-US"/>
        </w:rPr>
        <w:t xml:space="preserve">the global financial crisis and the eurozone crisis. </w:t>
      </w:r>
      <w:r w:rsidR="008226C0">
        <w:rPr>
          <w:lang w:val="en-US"/>
        </w:rPr>
        <w:t xml:space="preserve">We propose this </w:t>
      </w:r>
      <w:r w:rsidR="00D0600B">
        <w:rPr>
          <w:lang w:val="en-US"/>
        </w:rPr>
        <w:t xml:space="preserve">is due to the </w:t>
      </w:r>
      <w:r w:rsidR="008226C0">
        <w:rPr>
          <w:lang w:val="en-US"/>
        </w:rPr>
        <w:t xml:space="preserve">increased role of both certification and placement functions of domestic bookrunners. </w:t>
      </w:r>
      <w:r w:rsidR="00B01FCE" w:rsidRPr="00F9603D">
        <w:rPr>
          <w:lang w:val="en-US"/>
        </w:rPr>
        <w:t xml:space="preserve">Before the </w:t>
      </w:r>
      <w:r w:rsidR="00B01FCE">
        <w:rPr>
          <w:lang w:val="en-US"/>
        </w:rPr>
        <w:t xml:space="preserve">global </w:t>
      </w:r>
      <w:r w:rsidR="00B01FCE" w:rsidRPr="00F9603D">
        <w:rPr>
          <w:lang w:val="en-US"/>
        </w:rPr>
        <w:t xml:space="preserve">financial crisis and after the eurozone crisis, we </w:t>
      </w:r>
      <w:r w:rsidR="008226C0">
        <w:rPr>
          <w:lang w:val="en-US"/>
        </w:rPr>
        <w:t xml:space="preserve">do not </w:t>
      </w:r>
      <w:r w:rsidR="00B01FCE" w:rsidRPr="00F9603D">
        <w:rPr>
          <w:lang w:val="en-US"/>
        </w:rPr>
        <w:t xml:space="preserve">find </w:t>
      </w:r>
      <w:r w:rsidR="008226C0">
        <w:rPr>
          <w:lang w:val="en-US"/>
        </w:rPr>
        <w:t xml:space="preserve">any </w:t>
      </w:r>
      <w:r w:rsidR="00B01FCE" w:rsidRPr="00F9603D">
        <w:rPr>
          <w:lang w:val="en-US"/>
        </w:rPr>
        <w:t>relation between bookrunner syndicate geographic make-up and quality of service.</w:t>
      </w:r>
    </w:p>
    <w:p w14:paraId="79018B62" w14:textId="0D77B203" w:rsidR="00EF4C39" w:rsidRPr="00AA2ACF" w:rsidRDefault="00FB5A2F">
      <w:pPr>
        <w:spacing w:line="480" w:lineRule="auto"/>
        <w:ind w:firstLine="709"/>
        <w:jc w:val="both"/>
        <w:rPr>
          <w:lang w:val="en-US"/>
        </w:rPr>
      </w:pPr>
      <w:r>
        <w:rPr>
          <w:lang w:val="en-US"/>
        </w:rPr>
        <w:t xml:space="preserve">Our </w:t>
      </w:r>
      <w:r w:rsidR="00034641">
        <w:rPr>
          <w:lang w:val="en-US"/>
        </w:rPr>
        <w:t>result</w:t>
      </w:r>
      <w:r>
        <w:rPr>
          <w:lang w:val="en-US"/>
        </w:rPr>
        <w:t>s</w:t>
      </w:r>
      <w:r w:rsidR="00034641">
        <w:rPr>
          <w:lang w:val="en-US"/>
        </w:rPr>
        <w:t xml:space="preserve"> </w:t>
      </w:r>
      <w:r>
        <w:rPr>
          <w:lang w:val="en-US"/>
        </w:rPr>
        <w:t xml:space="preserve">are </w:t>
      </w:r>
      <w:r w:rsidR="00034641">
        <w:rPr>
          <w:lang w:val="en-US"/>
        </w:rPr>
        <w:t xml:space="preserve">robust to </w:t>
      </w:r>
      <w:r w:rsidR="007211A9">
        <w:rPr>
          <w:lang w:val="en-US"/>
        </w:rPr>
        <w:t xml:space="preserve">a wide range of additional controls and sample filters. We </w:t>
      </w:r>
      <w:r w:rsidR="00034641">
        <w:rPr>
          <w:lang w:val="en-US"/>
        </w:rPr>
        <w:t>exclu</w:t>
      </w:r>
      <w:r w:rsidR="007211A9">
        <w:rPr>
          <w:lang w:val="en-US"/>
        </w:rPr>
        <w:t>de</w:t>
      </w:r>
      <w:r w:rsidR="00034641">
        <w:rPr>
          <w:lang w:val="en-US"/>
        </w:rPr>
        <w:t xml:space="preserve"> </w:t>
      </w:r>
      <w:r w:rsidR="00EF4C39">
        <w:rPr>
          <w:lang w:val="en-US"/>
        </w:rPr>
        <w:t xml:space="preserve">issuers from </w:t>
      </w:r>
      <w:r w:rsidR="007211A9">
        <w:rPr>
          <w:lang w:val="en-US"/>
        </w:rPr>
        <w:t xml:space="preserve">smaller economies </w:t>
      </w:r>
      <w:r w:rsidR="00034641">
        <w:rPr>
          <w:lang w:val="en-US"/>
        </w:rPr>
        <w:t xml:space="preserve">with few domestic bookrunners, </w:t>
      </w:r>
      <w:r w:rsidR="007211A9">
        <w:rPr>
          <w:lang w:val="en-US"/>
        </w:rPr>
        <w:t xml:space="preserve">issuers headquartered in countries most affected by the European sovereign debt crisis, </w:t>
      </w:r>
      <w:r w:rsidR="00034641">
        <w:rPr>
          <w:lang w:val="en-US"/>
        </w:rPr>
        <w:t xml:space="preserve">firms without access to high </w:t>
      </w:r>
      <w:r w:rsidR="00034641">
        <w:rPr>
          <w:lang w:val="en-US"/>
        </w:rPr>
        <w:lastRenderedPageBreak/>
        <w:t xml:space="preserve">reputation domestic bookrunners, and </w:t>
      </w:r>
      <w:r w:rsidR="002C0EB3">
        <w:rPr>
          <w:lang w:val="en-US"/>
        </w:rPr>
        <w:t xml:space="preserve">we examine </w:t>
      </w:r>
      <w:r w:rsidR="00AD55F5">
        <w:rPr>
          <w:lang w:val="en-US"/>
        </w:rPr>
        <w:t xml:space="preserve">the sensitivity of our findings to </w:t>
      </w:r>
      <w:r w:rsidR="00034641">
        <w:rPr>
          <w:lang w:val="en-US"/>
        </w:rPr>
        <w:t xml:space="preserve">alternative instrumental variables. </w:t>
      </w:r>
    </w:p>
    <w:p w14:paraId="1E64C52E" w14:textId="605F2C24" w:rsidR="00FB5A2F" w:rsidRDefault="00796F50" w:rsidP="007120E1">
      <w:pPr>
        <w:spacing w:line="480" w:lineRule="auto"/>
        <w:ind w:firstLine="709"/>
        <w:jc w:val="both"/>
        <w:rPr>
          <w:color w:val="000000"/>
          <w:lang w:eastAsia="en-GB"/>
        </w:rPr>
      </w:pPr>
      <w:r>
        <w:rPr>
          <w:color w:val="000000"/>
          <w:lang w:eastAsia="en-GB"/>
        </w:rPr>
        <w:t>Our findings</w:t>
      </w:r>
      <w:r w:rsidRPr="00980720">
        <w:rPr>
          <w:color w:val="000000"/>
          <w:lang w:eastAsia="en-GB"/>
        </w:rPr>
        <w:t xml:space="preserve"> </w:t>
      </w:r>
      <w:r>
        <w:rPr>
          <w:color w:val="000000"/>
          <w:lang w:eastAsia="en-GB"/>
        </w:rPr>
        <w:t xml:space="preserve">have important implications for </w:t>
      </w:r>
      <w:r w:rsidR="00980720" w:rsidRPr="00980720">
        <w:rPr>
          <w:color w:val="000000"/>
          <w:lang w:eastAsia="en-GB"/>
        </w:rPr>
        <w:t>the decision of </w:t>
      </w:r>
      <w:r w:rsidR="001E5AE3">
        <w:rPr>
          <w:color w:val="000000"/>
          <w:lang w:eastAsia="en-GB"/>
        </w:rPr>
        <w:t>some</w:t>
      </w:r>
      <w:r w:rsidR="00980720" w:rsidRPr="00980720">
        <w:rPr>
          <w:color w:val="000000"/>
          <w:lang w:eastAsia="en-GB"/>
        </w:rPr>
        <w:t> corporate treasurers</w:t>
      </w:r>
      <w:r w:rsidR="00FB5A2F">
        <w:rPr>
          <w:color w:val="000000"/>
          <w:lang w:eastAsia="en-GB"/>
        </w:rPr>
        <w:t xml:space="preserve">. When selecting banks, they should place greater emphasis </w:t>
      </w:r>
      <w:r w:rsidR="00BC5931">
        <w:rPr>
          <w:color w:val="000000"/>
          <w:lang w:eastAsia="en-GB"/>
        </w:rPr>
        <w:t>on</w:t>
      </w:r>
      <w:r w:rsidR="00FB5A2F">
        <w:rPr>
          <w:color w:val="000000"/>
          <w:lang w:eastAsia="en-GB"/>
        </w:rPr>
        <w:t xml:space="preserve"> their </w:t>
      </w:r>
      <w:r w:rsidR="008226C0">
        <w:rPr>
          <w:color w:val="000000"/>
          <w:lang w:eastAsia="en-GB"/>
        </w:rPr>
        <w:t>placement</w:t>
      </w:r>
      <w:r w:rsidR="00FB5A2F">
        <w:rPr>
          <w:color w:val="000000"/>
          <w:lang w:eastAsia="en-GB"/>
        </w:rPr>
        <w:t xml:space="preserve"> strategy to optimise the at-issue credit spread</w:t>
      </w:r>
      <w:r w:rsidR="00505F8B">
        <w:rPr>
          <w:color w:val="000000"/>
          <w:lang w:eastAsia="en-GB"/>
        </w:rPr>
        <w:t>, particularly during</w:t>
      </w:r>
      <w:r w:rsidR="00D624EF">
        <w:rPr>
          <w:color w:val="000000"/>
          <w:lang w:eastAsia="en-GB"/>
        </w:rPr>
        <w:t xml:space="preserve"> weaker market conditions, such as in recessionary periods. W</w:t>
      </w:r>
      <w:r w:rsidR="00FB5A2F">
        <w:rPr>
          <w:color w:val="000000"/>
          <w:lang w:eastAsia="en-GB"/>
        </w:rPr>
        <w:t>hile acknowledging treasurers</w:t>
      </w:r>
      <w:r w:rsidR="005921D9">
        <w:rPr>
          <w:color w:val="000000"/>
          <w:lang w:eastAsia="en-GB"/>
        </w:rPr>
        <w:t>’</w:t>
      </w:r>
      <w:r w:rsidR="00FB5A2F">
        <w:rPr>
          <w:color w:val="000000"/>
          <w:lang w:eastAsia="en-GB"/>
        </w:rPr>
        <w:t xml:space="preserve"> </w:t>
      </w:r>
      <w:r w:rsidR="00D624EF">
        <w:rPr>
          <w:color w:val="000000"/>
          <w:lang w:eastAsia="en-GB"/>
        </w:rPr>
        <w:t>need</w:t>
      </w:r>
      <w:r w:rsidR="00FB5A2F">
        <w:rPr>
          <w:color w:val="000000"/>
          <w:lang w:eastAsia="en-GB"/>
        </w:rPr>
        <w:t xml:space="preserve"> to rotate</w:t>
      </w:r>
      <w:r w:rsidR="00D624EF">
        <w:rPr>
          <w:color w:val="000000"/>
          <w:lang w:eastAsia="en-GB"/>
        </w:rPr>
        <w:t xml:space="preserve"> roles</w:t>
      </w:r>
      <w:r w:rsidR="00FB5A2F">
        <w:rPr>
          <w:color w:val="000000"/>
          <w:lang w:eastAsia="en-GB"/>
        </w:rPr>
        <w:t xml:space="preserve">, </w:t>
      </w:r>
      <w:r w:rsidR="00C66B14">
        <w:rPr>
          <w:color w:val="000000"/>
          <w:lang w:eastAsia="en-GB"/>
        </w:rPr>
        <w:t xml:space="preserve">our results suggest that </w:t>
      </w:r>
      <w:r w:rsidR="00FB5A2F">
        <w:rPr>
          <w:color w:val="000000"/>
          <w:lang w:eastAsia="en-GB"/>
        </w:rPr>
        <w:t>i</w:t>
      </w:r>
      <w:r w:rsidR="00BC5931">
        <w:rPr>
          <w:color w:val="000000"/>
          <w:lang w:eastAsia="en-GB"/>
        </w:rPr>
        <w:t>ssuers should</w:t>
      </w:r>
      <w:r w:rsidR="00FB5A2F">
        <w:rPr>
          <w:color w:val="000000"/>
          <w:lang w:eastAsia="en-GB"/>
        </w:rPr>
        <w:t xml:space="preserve"> appoint at least </w:t>
      </w:r>
      <w:r w:rsidR="005921D9">
        <w:rPr>
          <w:color w:val="000000"/>
          <w:lang w:eastAsia="en-GB"/>
        </w:rPr>
        <w:t xml:space="preserve">one </w:t>
      </w:r>
      <w:r w:rsidR="00FB5A2F">
        <w:rPr>
          <w:color w:val="000000"/>
          <w:lang w:eastAsia="en-GB"/>
        </w:rPr>
        <w:t>domestic bank to each syndicate.</w:t>
      </w:r>
    </w:p>
    <w:p w14:paraId="70CC5F56" w14:textId="77777777" w:rsidR="001A2026" w:rsidRPr="00DC68DD" w:rsidRDefault="001A2026">
      <w:pPr>
        <w:rPr>
          <w:b/>
          <w:lang w:val="en-US"/>
        </w:rPr>
      </w:pPr>
      <w:r w:rsidRPr="00DC68DD">
        <w:rPr>
          <w:b/>
          <w:lang w:val="en-US"/>
        </w:rPr>
        <w:br w:type="page"/>
      </w:r>
    </w:p>
    <w:p w14:paraId="6B725270" w14:textId="5C667B95" w:rsidR="002A1F22" w:rsidRPr="00C62742" w:rsidRDefault="00952A68" w:rsidP="008F6A5E">
      <w:pPr>
        <w:pStyle w:val="Heading1"/>
        <w:rPr>
          <w:lang w:val="en-US"/>
        </w:rPr>
      </w:pPr>
      <w:r>
        <w:rPr>
          <w:lang w:val="en-US"/>
        </w:rPr>
        <w:lastRenderedPageBreak/>
        <w:t>References</w:t>
      </w:r>
    </w:p>
    <w:p w14:paraId="0F8A93E8" w14:textId="2F477D7E" w:rsidR="008058D0" w:rsidRPr="00C7460D" w:rsidRDefault="008058D0" w:rsidP="002B72D6">
      <w:pPr>
        <w:ind w:left="284" w:hanging="284"/>
        <w:jc w:val="both"/>
        <w:rPr>
          <w:lang w:val="en-US"/>
        </w:rPr>
      </w:pPr>
      <w:r w:rsidRPr="00C7460D">
        <w:rPr>
          <w:lang w:val="en-US"/>
        </w:rPr>
        <w:t>Adrian, T., Colla, P., Shin, H.S., 2012. Which financial frictions? Parsing the evidence from the financial crisis of 2007 to 2009. NBER Macroeconomics Annual 27, 159-214.</w:t>
      </w:r>
    </w:p>
    <w:p w14:paraId="2833FF81" w14:textId="693FCE15" w:rsidR="0047440F" w:rsidRPr="00C7460D" w:rsidRDefault="0047440F" w:rsidP="002B72D6">
      <w:pPr>
        <w:ind w:left="284" w:hanging="284"/>
        <w:jc w:val="both"/>
        <w:rPr>
          <w:lang w:val="en-US"/>
        </w:rPr>
      </w:pPr>
      <w:r w:rsidRPr="00C7460D">
        <w:rPr>
          <w:lang w:val="en-US"/>
        </w:rPr>
        <w:t>Andres, C., Betzer, A., Limbach, P., 2014. Underwriter reputation and the quality of certification: Evidence from high-yield bonds. Journal of Banking and Finance 40, 97-115.</w:t>
      </w:r>
    </w:p>
    <w:p w14:paraId="1BD1779E" w14:textId="34D30F80" w:rsidR="004032FE" w:rsidRDefault="004032FE" w:rsidP="002B72D6">
      <w:pPr>
        <w:ind w:left="284" w:hanging="284"/>
        <w:jc w:val="both"/>
        <w:rPr>
          <w:lang w:val="en-US"/>
        </w:rPr>
      </w:pPr>
      <w:r w:rsidRPr="00C7460D">
        <w:rPr>
          <w:lang w:val="en-US"/>
        </w:rPr>
        <w:t>Asquith, P., Au, A.S., Covert, T., Pathak, P.A., 2013. The market for borrowing corporate bonds. Journal of Financial Economics 107, 155-182.</w:t>
      </w:r>
    </w:p>
    <w:p w14:paraId="20067619" w14:textId="30CCAAC4" w:rsidR="00A95C93" w:rsidRPr="00C7460D" w:rsidRDefault="00A95C93" w:rsidP="002B72D6">
      <w:pPr>
        <w:ind w:left="284" w:hanging="284"/>
        <w:jc w:val="both"/>
        <w:rPr>
          <w:lang w:val="en-US"/>
        </w:rPr>
      </w:pPr>
      <w:r>
        <w:rPr>
          <w:lang w:val="en-US"/>
        </w:rPr>
        <w:t>Arena, M.P., Dewally, 2012. Firm location and corporate debt. Journal of Banking and Finance 36, 1079-1092.</w:t>
      </w:r>
    </w:p>
    <w:p w14:paraId="46307B68" w14:textId="2BB59700" w:rsidR="00857D61" w:rsidRDefault="00857D61" w:rsidP="002B72D6">
      <w:pPr>
        <w:ind w:left="284" w:hanging="284"/>
        <w:jc w:val="both"/>
        <w:rPr>
          <w:lang w:val="en-US"/>
        </w:rPr>
      </w:pPr>
      <w:r>
        <w:rPr>
          <w:lang w:val="en-US"/>
        </w:rPr>
        <w:t xml:space="preserve">Ayala, D., Nedeljkovic, M., Sabrowski, C., 2017. </w:t>
      </w:r>
      <w:r w:rsidRPr="00857D61">
        <w:rPr>
          <w:lang w:val="en-US"/>
        </w:rPr>
        <w:t>What slice of the pie? The corporate bond market boom in emerging economies</w:t>
      </w:r>
      <w:r>
        <w:rPr>
          <w:lang w:val="en-US"/>
        </w:rPr>
        <w:t>. Journal of Financial Stability 30, 16-35.</w:t>
      </w:r>
    </w:p>
    <w:p w14:paraId="4DE6B5A6" w14:textId="442B24D3" w:rsidR="009B79AC" w:rsidRPr="00C7460D" w:rsidRDefault="002B72D6" w:rsidP="002B72D6">
      <w:pPr>
        <w:ind w:left="284" w:hanging="284"/>
        <w:jc w:val="both"/>
        <w:rPr>
          <w:lang w:val="en-US"/>
        </w:rPr>
      </w:pPr>
      <w:r w:rsidRPr="00C7460D">
        <w:rPr>
          <w:lang w:val="en-US"/>
        </w:rPr>
        <w:t>Blackwell, D.W.,</w:t>
      </w:r>
      <w:r w:rsidR="009B79AC" w:rsidRPr="00C7460D">
        <w:rPr>
          <w:lang w:val="en-US"/>
        </w:rPr>
        <w:t xml:space="preserve"> Kidwell, D.S.</w:t>
      </w:r>
      <w:r w:rsidRPr="00C7460D">
        <w:rPr>
          <w:lang w:val="en-US"/>
        </w:rPr>
        <w:t xml:space="preserve">, 1988. </w:t>
      </w:r>
      <w:r w:rsidR="009B79AC" w:rsidRPr="00C7460D">
        <w:rPr>
          <w:lang w:val="en-US"/>
        </w:rPr>
        <w:t>An investigation of cost differences between public sales</w:t>
      </w:r>
      <w:r w:rsidRPr="00C7460D">
        <w:rPr>
          <w:lang w:val="en-US"/>
        </w:rPr>
        <w:t xml:space="preserve"> and private placements of debt</w:t>
      </w:r>
      <w:r w:rsidR="009B79AC" w:rsidRPr="00C7460D">
        <w:rPr>
          <w:lang w:val="en-US"/>
        </w:rPr>
        <w:t>. Jo</w:t>
      </w:r>
      <w:r w:rsidRPr="00C7460D">
        <w:rPr>
          <w:lang w:val="en-US"/>
        </w:rPr>
        <w:t>urnal of Financial Economics 22,</w:t>
      </w:r>
      <w:r w:rsidR="009B79AC" w:rsidRPr="00C7460D">
        <w:rPr>
          <w:lang w:val="en-US"/>
        </w:rPr>
        <w:t xml:space="preserve"> 253-278.</w:t>
      </w:r>
    </w:p>
    <w:p w14:paraId="26D38590" w14:textId="77777777" w:rsidR="009B79AC" w:rsidRPr="00C7460D" w:rsidRDefault="002B72D6" w:rsidP="002B72D6">
      <w:pPr>
        <w:ind w:left="284" w:hanging="284"/>
        <w:jc w:val="both"/>
        <w:rPr>
          <w:lang w:val="en-US"/>
        </w:rPr>
      </w:pPr>
      <w:r w:rsidRPr="00C7460D">
        <w:rPr>
          <w:lang w:val="en-US"/>
        </w:rPr>
        <w:t>Blume, M.E., Keim, D.B.,</w:t>
      </w:r>
      <w:r w:rsidR="009B79AC" w:rsidRPr="00C7460D">
        <w:rPr>
          <w:lang w:val="en-US"/>
        </w:rPr>
        <w:t xml:space="preserve"> Patel, S.A.</w:t>
      </w:r>
      <w:r w:rsidRPr="00C7460D">
        <w:rPr>
          <w:lang w:val="en-US"/>
        </w:rPr>
        <w:t xml:space="preserve">, 1991. </w:t>
      </w:r>
      <w:r w:rsidR="009B79AC" w:rsidRPr="00C7460D">
        <w:rPr>
          <w:lang w:val="en-US"/>
        </w:rPr>
        <w:t>Returns and volatili</w:t>
      </w:r>
      <w:r w:rsidRPr="00C7460D">
        <w:rPr>
          <w:lang w:val="en-US"/>
        </w:rPr>
        <w:t>ty of low-grade bonds 1977-1989. Journal of Finance 46,</w:t>
      </w:r>
      <w:r w:rsidR="009B79AC" w:rsidRPr="00C7460D">
        <w:rPr>
          <w:lang w:val="en-US"/>
        </w:rPr>
        <w:t xml:space="preserve"> 49-74</w:t>
      </w:r>
      <w:r w:rsidRPr="00C7460D">
        <w:rPr>
          <w:lang w:val="en-US"/>
        </w:rPr>
        <w:t>.</w:t>
      </w:r>
    </w:p>
    <w:p w14:paraId="1BB79A24" w14:textId="77777777" w:rsidR="00B86D74" w:rsidRPr="00C7460D" w:rsidRDefault="00B86D74" w:rsidP="00B86D74">
      <w:pPr>
        <w:ind w:left="284" w:hanging="284"/>
        <w:jc w:val="both"/>
        <w:rPr>
          <w:lang w:val="en-US"/>
        </w:rPr>
      </w:pPr>
      <w:r w:rsidRPr="00C7460D">
        <w:rPr>
          <w:lang w:val="en-US"/>
        </w:rPr>
        <w:t>Borisova, G., Fotak, V., Holland, K., Megginson, W.L., 2015. Government ownership and the cost of debt: evidence from government investments in publicly traded firms. Journal of Financial Economics 118, 168-191.</w:t>
      </w:r>
    </w:p>
    <w:p w14:paraId="6DA10CB9" w14:textId="5C1E71CC" w:rsidR="006C619C" w:rsidRPr="00C7460D" w:rsidRDefault="006C619C" w:rsidP="002B72D6">
      <w:pPr>
        <w:ind w:left="284" w:hanging="284"/>
        <w:jc w:val="both"/>
        <w:rPr>
          <w:lang w:val="en-US"/>
        </w:rPr>
      </w:pPr>
      <w:bookmarkStart w:id="8" w:name="_Hlk74343044"/>
      <w:r w:rsidRPr="00C7460D">
        <w:rPr>
          <w:lang w:val="en-US"/>
        </w:rPr>
        <w:t>Butler, A.W., 2008. Distance still matters: Evidence from municipal bond underwriting. Review of Financial Studies 21, 763-784.</w:t>
      </w:r>
    </w:p>
    <w:bookmarkEnd w:id="8"/>
    <w:p w14:paraId="17008670" w14:textId="2053CD7B" w:rsidR="00CF2461" w:rsidRPr="00C7460D" w:rsidRDefault="00CF2461" w:rsidP="002B72D6">
      <w:pPr>
        <w:ind w:left="284" w:hanging="284"/>
        <w:jc w:val="both"/>
        <w:rPr>
          <w:lang w:val="en-US"/>
        </w:rPr>
      </w:pPr>
      <w:r w:rsidRPr="00C7460D">
        <w:rPr>
          <w:lang w:val="en-US"/>
        </w:rPr>
        <w:t>Carbo-Valverde, S., Cuadros-Solas, P.J., Rodriguez-Fernandez, F., 2017. The impact of lending relationships on the choice and structure of bond underwriting syndicates. Working paper.</w:t>
      </w:r>
      <w:r w:rsidR="00CE0B67" w:rsidRPr="00C7460D">
        <w:rPr>
          <w:lang w:val="en-US"/>
        </w:rPr>
        <w:t xml:space="preserve"> </w:t>
      </w:r>
      <w:r w:rsidR="00CE0B67" w:rsidRPr="00C7460D">
        <w:rPr>
          <w:shd w:val="clear" w:color="auto" w:fill="FFFFFF"/>
        </w:rPr>
        <w:t>Available at SSRN: </w:t>
      </w:r>
      <w:hyperlink r:id="rId8" w:tgtFrame="_blank" w:history="1">
        <w:r w:rsidR="00CE0B67" w:rsidRPr="00C7460D">
          <w:rPr>
            <w:rStyle w:val="Hyperlink"/>
            <w:color w:val="auto"/>
            <w:shd w:val="clear" w:color="auto" w:fill="FFFFFF"/>
          </w:rPr>
          <w:t>https://ssrn.com/abstract=2943432</w:t>
        </w:r>
      </w:hyperlink>
      <w:r w:rsidR="00CE0B67" w:rsidRPr="00C7460D">
        <w:t>.</w:t>
      </w:r>
      <w:r w:rsidR="00AF59CC" w:rsidRPr="00C7460D">
        <w:t xml:space="preserve"> Accessed December 10, 2017.</w:t>
      </w:r>
    </w:p>
    <w:p w14:paraId="71FCAB44" w14:textId="0F990FF8" w:rsidR="00B95825" w:rsidRPr="00C7460D" w:rsidRDefault="00751680" w:rsidP="00980720">
      <w:pPr>
        <w:ind w:left="284" w:hanging="284"/>
        <w:jc w:val="both"/>
        <w:rPr>
          <w:lang w:val="en-US"/>
        </w:rPr>
      </w:pPr>
      <w:r w:rsidRPr="00C7460D">
        <w:rPr>
          <w:lang w:val="en-US"/>
        </w:rPr>
        <w:t>Chemmanur, T.J.,</w:t>
      </w:r>
      <w:r w:rsidR="009B79AC" w:rsidRPr="00C7460D">
        <w:rPr>
          <w:lang w:val="en-US"/>
        </w:rPr>
        <w:t xml:space="preserve"> Fulghieri, P.</w:t>
      </w:r>
      <w:r w:rsidRPr="00C7460D">
        <w:rPr>
          <w:lang w:val="en-US"/>
        </w:rPr>
        <w:t xml:space="preserve">, 1994. </w:t>
      </w:r>
      <w:r w:rsidR="009B79AC" w:rsidRPr="00C7460D">
        <w:rPr>
          <w:lang w:val="en-US"/>
        </w:rPr>
        <w:t>Investment bank reputation, information producti</w:t>
      </w:r>
      <w:r w:rsidRPr="00C7460D">
        <w:rPr>
          <w:lang w:val="en-US"/>
        </w:rPr>
        <w:t>on and financial intermediation. Journal of Finance 49,</w:t>
      </w:r>
      <w:r w:rsidR="009B79AC" w:rsidRPr="00C7460D">
        <w:rPr>
          <w:lang w:val="en-US"/>
        </w:rPr>
        <w:t xml:space="preserve"> 57-79.</w:t>
      </w:r>
    </w:p>
    <w:p w14:paraId="020079D8" w14:textId="22C33410" w:rsidR="00D624EF" w:rsidRDefault="00D624EF">
      <w:pPr>
        <w:ind w:left="284" w:hanging="284"/>
        <w:jc w:val="both"/>
        <w:rPr>
          <w:lang w:val="en-US"/>
        </w:rPr>
      </w:pPr>
      <w:r w:rsidRPr="00C7460D">
        <w:rPr>
          <w:lang w:val="en-US"/>
        </w:rPr>
        <w:t>Chemmanur, T.J.,</w:t>
      </w:r>
      <w:r>
        <w:rPr>
          <w:lang w:val="en-US"/>
        </w:rPr>
        <w:t xml:space="preserve"> Krishnan, K., 2012. </w:t>
      </w:r>
      <w:r w:rsidRPr="00D624EF">
        <w:rPr>
          <w:lang w:val="en-US"/>
        </w:rPr>
        <w:t>Heterogeneous Beliefs, IPO Valuation, and the Economic Role of the Underwriter in IPOs</w:t>
      </w:r>
      <w:r>
        <w:rPr>
          <w:lang w:val="en-US"/>
        </w:rPr>
        <w:t xml:space="preserve">. </w:t>
      </w:r>
      <w:r w:rsidRPr="00D624EF">
        <w:rPr>
          <w:lang w:val="en-US"/>
        </w:rPr>
        <w:t>Financial Management 41, 769-811</w:t>
      </w:r>
      <w:r>
        <w:rPr>
          <w:lang w:val="en-US"/>
        </w:rPr>
        <w:t>.</w:t>
      </w:r>
    </w:p>
    <w:p w14:paraId="7E0664F2" w14:textId="581A3F6F" w:rsidR="00CC4BEF" w:rsidRPr="00C7460D" w:rsidRDefault="00CC4BEF" w:rsidP="00980720">
      <w:pPr>
        <w:ind w:left="284" w:hanging="284"/>
        <w:jc w:val="both"/>
        <w:rPr>
          <w:lang w:val="en-US"/>
        </w:rPr>
      </w:pPr>
      <w:r w:rsidRPr="00C7460D">
        <w:rPr>
          <w:lang w:val="en-US"/>
        </w:rPr>
        <w:t>Chen, D., Guan, Y., Zhang, T., Zhao, G., 2017. Political connection of financial intermediaries: Evidence from China’s IPO market. Journal of Banking and Finance 76, 15-31.</w:t>
      </w:r>
    </w:p>
    <w:p w14:paraId="05435621" w14:textId="39D9703E" w:rsidR="009B79AC" w:rsidRPr="00C7460D" w:rsidRDefault="00751680" w:rsidP="002B72D6">
      <w:pPr>
        <w:ind w:left="284" w:hanging="284"/>
        <w:jc w:val="both"/>
        <w:rPr>
          <w:lang w:val="en-US"/>
        </w:rPr>
      </w:pPr>
      <w:r w:rsidRPr="00C7460D">
        <w:rPr>
          <w:lang w:val="en-US"/>
        </w:rPr>
        <w:t>Chivukula, R., Variankaval, R., Zenner, M., 2014</w:t>
      </w:r>
      <w:r w:rsidR="009B79AC" w:rsidRPr="00C7460D">
        <w:rPr>
          <w:lang w:val="en-US"/>
        </w:rPr>
        <w:t>. Corporat</w:t>
      </w:r>
      <w:r w:rsidRPr="00C7460D">
        <w:rPr>
          <w:lang w:val="en-US"/>
        </w:rPr>
        <w:t>e finance with a sprig of Basel</w:t>
      </w:r>
      <w:r w:rsidR="004409CF" w:rsidRPr="00C7460D">
        <w:rPr>
          <w:lang w:val="en-US"/>
        </w:rPr>
        <w:t>: Basel III implications for non-banks</w:t>
      </w:r>
      <w:r w:rsidR="009B79AC" w:rsidRPr="00C7460D">
        <w:rPr>
          <w:lang w:val="en-US"/>
        </w:rPr>
        <w:t>. J</w:t>
      </w:r>
      <w:r w:rsidRPr="00C7460D">
        <w:rPr>
          <w:lang w:val="en-US"/>
        </w:rPr>
        <w:t>P</w:t>
      </w:r>
      <w:r w:rsidR="004409CF" w:rsidRPr="00C7460D">
        <w:rPr>
          <w:lang w:val="en-US"/>
        </w:rPr>
        <w:t xml:space="preserve">Morgan. </w:t>
      </w:r>
      <w:r w:rsidR="009B79AC" w:rsidRPr="00C7460D">
        <w:rPr>
          <w:lang w:val="en-US"/>
        </w:rPr>
        <w:t>Available at</w:t>
      </w:r>
      <w:r w:rsidR="00C7460D" w:rsidRPr="00C7460D">
        <w:rPr>
          <w:lang w:val="en-US"/>
        </w:rPr>
        <w:t>:</w:t>
      </w:r>
      <w:r w:rsidR="009B79AC" w:rsidRPr="00C7460D">
        <w:rPr>
          <w:lang w:val="en-US"/>
        </w:rPr>
        <w:t xml:space="preserve"> </w:t>
      </w:r>
      <w:hyperlink r:id="rId9" w:history="1">
        <w:r w:rsidR="00C7460D" w:rsidRPr="00C7460D">
          <w:rPr>
            <w:rStyle w:val="Hyperlink"/>
            <w:color w:val="auto"/>
          </w:rPr>
          <w:t>https://www.jpmorgan.com/tss/General/E-mail_Market_Updates/1320514322055</w:t>
        </w:r>
      </w:hyperlink>
      <w:r w:rsidR="00C7460D" w:rsidRPr="00C7460D">
        <w:t xml:space="preserve">. </w:t>
      </w:r>
      <w:r w:rsidR="00C7460D" w:rsidRPr="00C7460D">
        <w:rPr>
          <w:lang w:val="en-US"/>
        </w:rPr>
        <w:t>Accessed December 10, 2017.</w:t>
      </w:r>
    </w:p>
    <w:p w14:paraId="034BDE5F" w14:textId="77777777" w:rsidR="009B79AC" w:rsidRPr="00C7460D" w:rsidRDefault="004409CF" w:rsidP="002B72D6">
      <w:pPr>
        <w:ind w:left="284" w:hanging="284"/>
        <w:jc w:val="both"/>
        <w:rPr>
          <w:lang w:val="en-US"/>
        </w:rPr>
      </w:pPr>
      <w:bookmarkStart w:id="9" w:name="_Hlk74343553"/>
      <w:r w:rsidRPr="00C7460D">
        <w:rPr>
          <w:lang w:val="en-US"/>
        </w:rPr>
        <w:t>Corwin, S.A.,</w:t>
      </w:r>
      <w:r w:rsidR="009B79AC" w:rsidRPr="00C7460D">
        <w:rPr>
          <w:lang w:val="en-US"/>
        </w:rPr>
        <w:t xml:space="preserve"> Schultz, P.</w:t>
      </w:r>
      <w:r w:rsidRPr="00C7460D">
        <w:rPr>
          <w:lang w:val="en-US"/>
        </w:rPr>
        <w:t>,</w:t>
      </w:r>
      <w:r w:rsidR="009B79AC" w:rsidRPr="00C7460D">
        <w:rPr>
          <w:lang w:val="en-US"/>
        </w:rPr>
        <w:t xml:space="preserve"> </w:t>
      </w:r>
      <w:r w:rsidRPr="00C7460D">
        <w:rPr>
          <w:lang w:val="en-US"/>
        </w:rPr>
        <w:t>2005</w:t>
      </w:r>
      <w:r w:rsidR="009B79AC" w:rsidRPr="00C7460D">
        <w:rPr>
          <w:lang w:val="en-US"/>
        </w:rPr>
        <w:t>. The role o</w:t>
      </w:r>
      <w:r w:rsidRPr="00C7460D">
        <w:rPr>
          <w:lang w:val="en-US"/>
        </w:rPr>
        <w:t>f IPO underwriting syndicates: P</w:t>
      </w:r>
      <w:r w:rsidR="009B79AC" w:rsidRPr="00C7460D">
        <w:rPr>
          <w:lang w:val="en-US"/>
        </w:rPr>
        <w:t>ricing, information producti</w:t>
      </w:r>
      <w:r w:rsidRPr="00C7460D">
        <w:rPr>
          <w:lang w:val="en-US"/>
        </w:rPr>
        <w:t>on, and underwriter competition</w:t>
      </w:r>
      <w:r w:rsidR="009B79AC" w:rsidRPr="00C7460D">
        <w:rPr>
          <w:lang w:val="en-US"/>
        </w:rPr>
        <w:t xml:space="preserve">. </w:t>
      </w:r>
      <w:r w:rsidRPr="00C7460D">
        <w:rPr>
          <w:lang w:val="en-US"/>
        </w:rPr>
        <w:t>Journal of Finance 60,</w:t>
      </w:r>
      <w:r w:rsidR="009B79AC" w:rsidRPr="00C7460D">
        <w:rPr>
          <w:lang w:val="en-US"/>
        </w:rPr>
        <w:t xml:space="preserve"> 443-486.</w:t>
      </w:r>
    </w:p>
    <w:bookmarkEnd w:id="9"/>
    <w:p w14:paraId="4814B287" w14:textId="77777777" w:rsidR="003E189C" w:rsidRPr="00C1775B" w:rsidRDefault="003E189C" w:rsidP="003E189C">
      <w:pPr>
        <w:ind w:left="284" w:hanging="284"/>
        <w:jc w:val="both"/>
        <w:rPr>
          <w:shd w:val="clear" w:color="auto" w:fill="FFFFFF"/>
        </w:rPr>
      </w:pPr>
      <w:r w:rsidRPr="00C1775B">
        <w:rPr>
          <w:shd w:val="clear" w:color="auto" w:fill="FFFFFF"/>
        </w:rPr>
        <w:t>Dick-Nielsen, J., Nielsen, M.S., von Rüden, S.L., 2021. The value of bond underwriter relationships. Journal of Corporate Finance, 68, p.101930.</w:t>
      </w:r>
    </w:p>
    <w:p w14:paraId="6CE7270E" w14:textId="3FA250C3" w:rsidR="000570D0" w:rsidRDefault="000570D0" w:rsidP="002B72D6">
      <w:pPr>
        <w:ind w:left="284" w:hanging="284"/>
        <w:jc w:val="both"/>
        <w:rPr>
          <w:lang w:val="en-US"/>
        </w:rPr>
      </w:pPr>
      <w:r w:rsidRPr="00C7460D">
        <w:rPr>
          <w:lang w:val="en-US"/>
        </w:rPr>
        <w:t>Drucker, S., Puri, M., 2005. On the benefits of concurrent lending and underwriting. Journal of Finance 60, 2763-2799.</w:t>
      </w:r>
    </w:p>
    <w:p w14:paraId="5101296C" w14:textId="088157F7" w:rsidR="003E189C" w:rsidRPr="003E189C" w:rsidRDefault="003E189C" w:rsidP="003E189C">
      <w:pPr>
        <w:ind w:left="284" w:hanging="284"/>
        <w:jc w:val="both"/>
        <w:rPr>
          <w:shd w:val="clear" w:color="auto" w:fill="FFFFFF"/>
        </w:rPr>
      </w:pPr>
      <w:r w:rsidRPr="00C1775B">
        <w:rPr>
          <w:shd w:val="clear" w:color="auto" w:fill="FFFFFF"/>
        </w:rPr>
        <w:t>Duca, M.L., Nicoletti, G., Martinez, A.V., 2016. Global corporate bond issuance: what role for US quantitative easing? Journal of International Money and Finance, 60, pp.114-150.</w:t>
      </w:r>
    </w:p>
    <w:p w14:paraId="7AD224F7" w14:textId="77777777" w:rsidR="005B064E" w:rsidRPr="00C7460D" w:rsidRDefault="005B064E" w:rsidP="002B72D6">
      <w:pPr>
        <w:ind w:left="284" w:hanging="284"/>
        <w:jc w:val="both"/>
        <w:rPr>
          <w:lang w:val="en-US"/>
        </w:rPr>
      </w:pPr>
      <w:r w:rsidRPr="00C7460D">
        <w:rPr>
          <w:lang w:val="en-US"/>
        </w:rPr>
        <w:t>Elton, E.J., Gruber, M.J., Agrawal, D., Mann, C., 2001. Explaining the rate spread on corporate bonds. Journal of Finance 56, 247-277.</w:t>
      </w:r>
    </w:p>
    <w:p w14:paraId="6AE112AF" w14:textId="70938C2B" w:rsidR="008D29DF" w:rsidRPr="00C7460D" w:rsidRDefault="008D29DF" w:rsidP="002B72D6">
      <w:pPr>
        <w:ind w:left="284" w:hanging="284"/>
        <w:jc w:val="both"/>
        <w:rPr>
          <w:lang w:val="en-US"/>
        </w:rPr>
      </w:pPr>
      <w:r w:rsidRPr="00C7460D">
        <w:rPr>
          <w:lang w:val="en-US"/>
        </w:rPr>
        <w:t xml:space="preserve">Eurofi, 2014. Stimulating EU corporate bond and equity markets. Available at: </w:t>
      </w:r>
      <w:hyperlink r:id="rId10" w:history="1">
        <w:r w:rsidRPr="00C7460D">
          <w:rPr>
            <w:rStyle w:val="Hyperlink"/>
            <w:color w:val="auto"/>
            <w:lang w:val="en-US"/>
          </w:rPr>
          <w:t>http://www.eurofi.net/wp-content/uploads/2014/09/Stimulating-EU-corporate-bond-Web.pdf</w:t>
        </w:r>
      </w:hyperlink>
      <w:r w:rsidR="00AF59CC" w:rsidRPr="00C7460D">
        <w:t>. Accessed December 10, 2017</w:t>
      </w:r>
      <w:r w:rsidRPr="00C7460D">
        <w:t xml:space="preserve"> </w:t>
      </w:r>
    </w:p>
    <w:p w14:paraId="4E4EB620" w14:textId="77777777" w:rsidR="009B79AC" w:rsidRPr="00C7460D" w:rsidRDefault="0011530C" w:rsidP="002B72D6">
      <w:pPr>
        <w:ind w:left="284" w:hanging="284"/>
        <w:jc w:val="both"/>
        <w:rPr>
          <w:lang w:val="en-US"/>
        </w:rPr>
      </w:pPr>
      <w:r w:rsidRPr="00C7460D">
        <w:rPr>
          <w:lang w:val="en-US"/>
        </w:rPr>
        <w:t>Fang, L.</w:t>
      </w:r>
      <w:r w:rsidR="009B79AC" w:rsidRPr="00C7460D">
        <w:rPr>
          <w:lang w:val="en-US"/>
        </w:rPr>
        <w:t>H.</w:t>
      </w:r>
      <w:r w:rsidRPr="00C7460D">
        <w:rPr>
          <w:lang w:val="en-US"/>
        </w:rPr>
        <w:t xml:space="preserve">, 2005. </w:t>
      </w:r>
      <w:r w:rsidR="009B79AC" w:rsidRPr="00C7460D">
        <w:rPr>
          <w:lang w:val="en-US"/>
        </w:rPr>
        <w:t>Investment bank reputation and the price and q</w:t>
      </w:r>
      <w:r w:rsidRPr="00C7460D">
        <w:rPr>
          <w:lang w:val="en-US"/>
        </w:rPr>
        <w:t>uality of underwriting services. Journal of Finance 60,</w:t>
      </w:r>
      <w:r w:rsidR="009B79AC" w:rsidRPr="00C7460D">
        <w:rPr>
          <w:lang w:val="en-US"/>
        </w:rPr>
        <w:t xml:space="preserve"> 2729-2761</w:t>
      </w:r>
      <w:r w:rsidRPr="00C7460D">
        <w:rPr>
          <w:lang w:val="en-US"/>
        </w:rPr>
        <w:t>.</w:t>
      </w:r>
    </w:p>
    <w:p w14:paraId="3CADC6D6" w14:textId="77777777" w:rsidR="003F6B46" w:rsidRPr="00C7460D" w:rsidRDefault="003F6B46" w:rsidP="002B72D6">
      <w:pPr>
        <w:ind w:left="284" w:hanging="284"/>
        <w:jc w:val="both"/>
        <w:rPr>
          <w:lang w:val="en-US"/>
        </w:rPr>
      </w:pPr>
      <w:r w:rsidRPr="00C7460D">
        <w:rPr>
          <w:lang w:val="en-US"/>
        </w:rPr>
        <w:lastRenderedPageBreak/>
        <w:t>Gande, A., Puri, M., Saunders, A., 1999. Bank entry, competition, and the market for corporate securities underwriting. Journal of Financial Economics 54, 165-195.</w:t>
      </w:r>
    </w:p>
    <w:p w14:paraId="71B1D814" w14:textId="77777777" w:rsidR="009B79AC" w:rsidRPr="00C7460D" w:rsidRDefault="00FA3447" w:rsidP="002B72D6">
      <w:pPr>
        <w:ind w:left="284" w:hanging="284"/>
        <w:jc w:val="both"/>
        <w:rPr>
          <w:lang w:val="en-US"/>
        </w:rPr>
      </w:pPr>
      <w:r w:rsidRPr="00C7460D">
        <w:rPr>
          <w:lang w:val="en-US"/>
        </w:rPr>
        <w:t xml:space="preserve">Golubov, A., Petmezas, D., Travlos, N.G., 2012. </w:t>
      </w:r>
      <w:r w:rsidR="009B79AC" w:rsidRPr="00C7460D">
        <w:rPr>
          <w:lang w:val="en-US"/>
        </w:rPr>
        <w:t>When it pays to pay your investment banker: New evidence on the rol</w:t>
      </w:r>
      <w:r w:rsidRPr="00C7460D">
        <w:rPr>
          <w:lang w:val="en-US"/>
        </w:rPr>
        <w:t>e of financial advisors in M&amp;As. Journal of Finance 67,</w:t>
      </w:r>
      <w:r w:rsidR="009B79AC" w:rsidRPr="00C7460D">
        <w:rPr>
          <w:lang w:val="en-US"/>
        </w:rPr>
        <w:t xml:space="preserve"> 271-312</w:t>
      </w:r>
      <w:r w:rsidRPr="00C7460D">
        <w:rPr>
          <w:lang w:val="en-US"/>
        </w:rPr>
        <w:t>.</w:t>
      </w:r>
    </w:p>
    <w:p w14:paraId="1A7EFCD6" w14:textId="77777777" w:rsidR="003E189C" w:rsidRPr="00C1775B" w:rsidRDefault="003E189C" w:rsidP="003E189C">
      <w:pPr>
        <w:ind w:left="284" w:hanging="284"/>
        <w:jc w:val="both"/>
      </w:pPr>
      <w:r w:rsidRPr="00C1775B">
        <w:rPr>
          <w:shd w:val="clear" w:color="auto" w:fill="FFFFFF"/>
        </w:rPr>
        <w:t>Gu, Y.J., Filatotchev, I., Bell, R.G., Rasheed, A.A., 2019. Liability of foreignness in capital markets: Institutional distance and the cost of debt. Journal of Corporate Finance, 57, pp.142-160.</w:t>
      </w:r>
    </w:p>
    <w:p w14:paraId="424519CE" w14:textId="77777777" w:rsidR="003E189C" w:rsidRPr="00C1775B" w:rsidRDefault="003E189C" w:rsidP="003E189C">
      <w:pPr>
        <w:ind w:left="284" w:hanging="284"/>
        <w:jc w:val="both"/>
        <w:rPr>
          <w:shd w:val="clear" w:color="auto" w:fill="FFFFFF"/>
        </w:rPr>
      </w:pPr>
      <w:r w:rsidRPr="00C1775B">
        <w:rPr>
          <w:shd w:val="clear" w:color="auto" w:fill="FFFFFF"/>
        </w:rPr>
        <w:t>Guiso, L., Sapienza, P., Zingales, L., 2018. Time varying risk aversion. Journal of Financial Economics, 128(3), pp.403-421.</w:t>
      </w:r>
    </w:p>
    <w:p w14:paraId="5F846BA6" w14:textId="6D3CE3D0" w:rsidR="00857D61" w:rsidRDefault="00857D61" w:rsidP="00E77EDE">
      <w:pPr>
        <w:ind w:left="284" w:hanging="284"/>
        <w:jc w:val="both"/>
        <w:rPr>
          <w:lang w:val="en-US"/>
        </w:rPr>
      </w:pPr>
      <w:r>
        <w:rPr>
          <w:lang w:val="en-US"/>
        </w:rPr>
        <w:t xml:space="preserve">Hale, G.B., Jones, P.C., Spiegel, M.M. 2020. </w:t>
      </w:r>
      <w:r w:rsidRPr="00857D61">
        <w:rPr>
          <w:lang w:val="en-US"/>
        </w:rPr>
        <w:t>Home currency issuance in international bond markets</w:t>
      </w:r>
      <w:r>
        <w:rPr>
          <w:lang w:val="en-US"/>
        </w:rPr>
        <w:t>. Journal of International Economics 122, 103256.</w:t>
      </w:r>
    </w:p>
    <w:p w14:paraId="4EBB7D63" w14:textId="706EA387" w:rsidR="00E77EDE" w:rsidRPr="00C7460D" w:rsidRDefault="00AA381E" w:rsidP="00E77EDE">
      <w:pPr>
        <w:ind w:left="284" w:hanging="284"/>
        <w:jc w:val="both"/>
        <w:rPr>
          <w:lang w:val="en-US"/>
        </w:rPr>
      </w:pPr>
      <w:r w:rsidRPr="00C7460D">
        <w:rPr>
          <w:lang w:val="en-US"/>
        </w:rPr>
        <w:t>International Capital Market Association</w:t>
      </w:r>
      <w:r w:rsidR="00FA3447" w:rsidRPr="00C7460D">
        <w:rPr>
          <w:lang w:val="en-US"/>
        </w:rPr>
        <w:t xml:space="preserve">, 2014. </w:t>
      </w:r>
      <w:r w:rsidR="009B79AC" w:rsidRPr="00C7460D">
        <w:rPr>
          <w:lang w:val="en-US"/>
        </w:rPr>
        <w:t>The current state and future evolution of the European investment grade corporate bond secondary market</w:t>
      </w:r>
      <w:r w:rsidR="00FA3447" w:rsidRPr="00C7460D">
        <w:rPr>
          <w:lang w:val="en-US"/>
        </w:rPr>
        <w:t>: perspectives from the market.</w:t>
      </w:r>
      <w:r w:rsidR="009B79AC" w:rsidRPr="00C7460D">
        <w:rPr>
          <w:lang w:val="en-US"/>
        </w:rPr>
        <w:t xml:space="preserve"> ICMA Secondary Market Practices Committee re</w:t>
      </w:r>
      <w:r w:rsidR="00FA3447" w:rsidRPr="00C7460D">
        <w:rPr>
          <w:lang w:val="en-US"/>
        </w:rPr>
        <w:t xml:space="preserve">port. </w:t>
      </w:r>
      <w:r w:rsidR="009B79AC" w:rsidRPr="00C7460D">
        <w:rPr>
          <w:lang w:val="en-US"/>
        </w:rPr>
        <w:t>Available at</w:t>
      </w:r>
      <w:r w:rsidR="00AF59CC" w:rsidRPr="00C7460D">
        <w:rPr>
          <w:lang w:val="en-US"/>
        </w:rPr>
        <w:t>:</w:t>
      </w:r>
      <w:r w:rsidR="009B79AC" w:rsidRPr="00C7460D">
        <w:rPr>
          <w:lang w:val="en-US"/>
        </w:rPr>
        <w:t xml:space="preserve"> </w:t>
      </w:r>
      <w:hyperlink r:id="rId11" w:history="1">
        <w:r w:rsidR="00AF59CC" w:rsidRPr="00C7460D">
          <w:rPr>
            <w:rStyle w:val="Hyperlink"/>
            <w:color w:val="auto"/>
            <w:lang w:val="en-US"/>
          </w:rPr>
          <w:t>https://www.icmagroup.org/assets/documents/Regulatory/Secondary-markets/The-state-of-the-European-investment-grade-corporate-bond-secondary-market_ICMA-SMPC_Report-251114-Final3.pdf</w:t>
        </w:r>
      </w:hyperlink>
      <w:r w:rsidR="00FA3447" w:rsidRPr="00C7460D">
        <w:rPr>
          <w:lang w:val="en-US"/>
        </w:rPr>
        <w:t xml:space="preserve">. </w:t>
      </w:r>
      <w:r w:rsidR="00AF59CC" w:rsidRPr="00C7460D">
        <w:rPr>
          <w:lang w:val="en-US"/>
        </w:rPr>
        <w:t>Accessed December 10, 2017.</w:t>
      </w:r>
    </w:p>
    <w:p w14:paraId="09C61E34" w14:textId="77777777" w:rsidR="00B86D74" w:rsidRPr="00C7460D" w:rsidRDefault="00B86D74" w:rsidP="00B86D74">
      <w:pPr>
        <w:ind w:left="284" w:hanging="284"/>
        <w:jc w:val="both"/>
        <w:rPr>
          <w:lang w:val="en-US"/>
        </w:rPr>
      </w:pPr>
      <w:r w:rsidRPr="00C7460D">
        <w:rPr>
          <w:lang w:val="en-US"/>
        </w:rPr>
        <w:t>Kang, J., Stulz, R.M., 1997. Why is there a home bias? An analysis of foreign portfolio equity ownership in Japan. Journal of Financial Economics 46, 3-28.</w:t>
      </w:r>
    </w:p>
    <w:p w14:paraId="10815F33" w14:textId="4AF0025F" w:rsidR="00E77EDE" w:rsidRPr="00C7460D" w:rsidRDefault="00E77EDE" w:rsidP="00E77EDE">
      <w:pPr>
        <w:ind w:left="284" w:hanging="284"/>
        <w:jc w:val="both"/>
        <w:rPr>
          <w:lang w:val="en-US"/>
        </w:rPr>
      </w:pPr>
      <w:bookmarkStart w:id="10" w:name="_Hlk74343424"/>
      <w:r w:rsidRPr="00C7460D">
        <w:rPr>
          <w:lang w:val="en-US"/>
        </w:rPr>
        <w:t xml:space="preserve">Kaya, O., Meyer, T., 2013. Corporate bond issuance in Europe; Where do we stand and where are we heading? Deutsche Bank Research [Online] Available at </w:t>
      </w:r>
      <w:hyperlink r:id="rId12" w:history="1">
        <w:r w:rsidR="00AF59CC" w:rsidRPr="00C7460D">
          <w:rPr>
            <w:rStyle w:val="Hyperlink"/>
            <w:color w:val="auto"/>
          </w:rPr>
          <w:t>https://www.dbresearch.com/PROD/RPS_EN-PROD/PROD0000000000444503/Corporate_bond_issuance_in_Europe%3A_Where_do_we_sta.PDF</w:t>
        </w:r>
      </w:hyperlink>
      <w:r w:rsidR="00825AD0" w:rsidRPr="00C7460D">
        <w:t>.</w:t>
      </w:r>
      <w:r w:rsidR="00AF59CC" w:rsidRPr="00C7460D">
        <w:t xml:space="preserve"> Accessed December 10, 2017.</w:t>
      </w:r>
      <w:r w:rsidRPr="00C7460D">
        <w:rPr>
          <w:lang w:val="en-US"/>
        </w:rPr>
        <w:t xml:space="preserve"> </w:t>
      </w:r>
    </w:p>
    <w:bookmarkEnd w:id="10"/>
    <w:p w14:paraId="05ED47D6" w14:textId="71750F4B" w:rsidR="004D63F7" w:rsidRPr="00C7460D" w:rsidRDefault="0082089C">
      <w:pPr>
        <w:ind w:left="284" w:hanging="284"/>
        <w:jc w:val="both"/>
        <w:rPr>
          <w:lang w:val="en-US"/>
        </w:rPr>
      </w:pPr>
      <w:r w:rsidRPr="00C7460D">
        <w:rPr>
          <w:lang w:val="en-US"/>
        </w:rPr>
        <w:t xml:space="preserve">Kessel, R., 1971. </w:t>
      </w:r>
      <w:r w:rsidR="009B79AC" w:rsidRPr="00C7460D">
        <w:rPr>
          <w:lang w:val="en-US"/>
        </w:rPr>
        <w:t>A study of the effects of competitio</w:t>
      </w:r>
      <w:r w:rsidRPr="00C7460D">
        <w:rPr>
          <w:lang w:val="en-US"/>
        </w:rPr>
        <w:t>n in the tax-exempt bond market</w:t>
      </w:r>
      <w:r w:rsidR="009B79AC" w:rsidRPr="00C7460D">
        <w:rPr>
          <w:lang w:val="en-US"/>
        </w:rPr>
        <w:t>. Jou</w:t>
      </w:r>
      <w:r w:rsidRPr="00C7460D">
        <w:rPr>
          <w:lang w:val="en-US"/>
        </w:rPr>
        <w:t>rnal of Political Economy 79,</w:t>
      </w:r>
      <w:r w:rsidR="009B79AC" w:rsidRPr="00C7460D">
        <w:rPr>
          <w:lang w:val="en-US"/>
        </w:rPr>
        <w:t xml:space="preserve"> 706-738.</w:t>
      </w:r>
    </w:p>
    <w:p w14:paraId="46FBF550" w14:textId="7ADEFAC5" w:rsidR="004D63F7" w:rsidRPr="00C7460D" w:rsidRDefault="004D63F7" w:rsidP="004D63F7">
      <w:pPr>
        <w:ind w:left="284" w:hanging="284"/>
        <w:jc w:val="both"/>
        <w:rPr>
          <w:lang w:val="en-US"/>
        </w:rPr>
      </w:pPr>
      <w:bookmarkStart w:id="11" w:name="_Hlk74343018"/>
      <w:r w:rsidRPr="00C7460D">
        <w:rPr>
          <w:lang w:val="en-US"/>
        </w:rPr>
        <w:t xml:space="preserve">Krylova, E., 2016. Determinants of euro-denominated corporate bond spreads. European Central Bank, Working Paper n1912. [Online] Available at: </w:t>
      </w:r>
      <w:hyperlink r:id="rId13" w:history="1">
        <w:r w:rsidR="00C7460D" w:rsidRPr="00C7460D">
          <w:rPr>
            <w:rStyle w:val="Hyperlink"/>
            <w:color w:val="auto"/>
            <w:lang w:val="en-US"/>
          </w:rPr>
          <w:t>https://www.ecb.europa.eu/pub/pdf/scpwps/ecbwp1912.en.pdf?523f20d72f5358fec238d5ec7d06b127</w:t>
        </w:r>
      </w:hyperlink>
      <w:r w:rsidR="00C7460D" w:rsidRPr="00C7460D">
        <w:rPr>
          <w:lang w:val="en-US"/>
        </w:rPr>
        <w:t>. Accessed December 10, 2017.</w:t>
      </w:r>
    </w:p>
    <w:bookmarkEnd w:id="11"/>
    <w:p w14:paraId="3C557E03" w14:textId="0E7D0EAB" w:rsidR="00F600B4" w:rsidRDefault="00F600B4">
      <w:pPr>
        <w:ind w:left="284" w:hanging="284"/>
        <w:jc w:val="both"/>
        <w:rPr>
          <w:lang w:val="en-US"/>
        </w:rPr>
      </w:pPr>
      <w:r>
        <w:rPr>
          <w:lang w:val="en-US"/>
        </w:rPr>
        <w:t>Larcker, D.F., Rusticus, T.O., 2010. On the use of instrumental variables in accounting research. Journal of Accounting and Economics 49, 186-205.</w:t>
      </w:r>
    </w:p>
    <w:p w14:paraId="18AC8A98" w14:textId="28DCDEA1" w:rsidR="00D0305D" w:rsidRDefault="00EC1038">
      <w:pPr>
        <w:ind w:left="284" w:hanging="284"/>
        <w:jc w:val="both"/>
        <w:rPr>
          <w:lang w:val="en-US"/>
        </w:rPr>
      </w:pPr>
      <w:bookmarkStart w:id="12" w:name="_Hlk74343036"/>
      <w:r w:rsidRPr="00C7460D">
        <w:rPr>
          <w:lang w:val="en-US"/>
        </w:rPr>
        <w:t>Lau, S.T., Yu, J., 2010. Does proximity matter in international bond underwriting? Journal of Banking and Finance 34, 2027-2041.</w:t>
      </w:r>
    </w:p>
    <w:bookmarkEnd w:id="12"/>
    <w:p w14:paraId="5672B288" w14:textId="312C5D36" w:rsidR="00D0305D" w:rsidRDefault="00D0305D">
      <w:pPr>
        <w:ind w:left="284" w:hanging="284"/>
        <w:jc w:val="both"/>
      </w:pPr>
      <w:r w:rsidRPr="00D0305D">
        <w:t xml:space="preserve">Lennox, C.S., Francis, J.R., Wang, Z., 2012. Selection models in accounting research, </w:t>
      </w:r>
      <w:r w:rsidRPr="0030353C">
        <w:t>The Accounting Review</w:t>
      </w:r>
      <w:r w:rsidRPr="00D0305D">
        <w:t xml:space="preserve"> 87, 589-616. </w:t>
      </w:r>
    </w:p>
    <w:p w14:paraId="7D2372F2" w14:textId="77777777" w:rsidR="003E189C" w:rsidRPr="00C1775B" w:rsidRDefault="003E189C" w:rsidP="003E189C">
      <w:pPr>
        <w:ind w:left="284" w:hanging="284"/>
        <w:jc w:val="both"/>
        <w:rPr>
          <w:shd w:val="clear" w:color="auto" w:fill="FFFFFF"/>
        </w:rPr>
      </w:pPr>
      <w:r w:rsidRPr="00C1775B">
        <w:rPr>
          <w:shd w:val="clear" w:color="auto" w:fill="FFFFFF"/>
        </w:rPr>
        <w:t>Lopez, J.A., Spiegel, M.M., 2014. Foreign Entry into Underwriting Services: Evidence from Japan's “Big Bang” Deregulation. Journal of Money, Credit and Banking, 46(2-3), pp.445-468.</w:t>
      </w:r>
    </w:p>
    <w:p w14:paraId="337A845D" w14:textId="716507B5" w:rsidR="00E53516" w:rsidRPr="00C7460D" w:rsidRDefault="00E53516" w:rsidP="002B72D6">
      <w:pPr>
        <w:ind w:left="284" w:hanging="284"/>
        <w:jc w:val="both"/>
        <w:rPr>
          <w:lang w:val="en-US"/>
        </w:rPr>
      </w:pPr>
      <w:r w:rsidRPr="00C7460D">
        <w:rPr>
          <w:lang w:val="en-US"/>
        </w:rPr>
        <w:t>Lopez-Espinosa, G., Mayordomo, S., Moreno, A., 2017. When does relationship lending start to pay? Journal of Financial Intermediation 31, 16-29.</w:t>
      </w:r>
    </w:p>
    <w:p w14:paraId="6ABF04FA" w14:textId="5ADE9996" w:rsidR="009B79AC" w:rsidRPr="00C7460D" w:rsidRDefault="0082089C" w:rsidP="002B72D6">
      <w:pPr>
        <w:ind w:left="284" w:hanging="284"/>
        <w:jc w:val="both"/>
        <w:rPr>
          <w:lang w:val="en-US"/>
        </w:rPr>
      </w:pPr>
      <w:r w:rsidRPr="00C7460D">
        <w:rPr>
          <w:lang w:val="en-US"/>
        </w:rPr>
        <w:t>Massa, M.,</w:t>
      </w:r>
      <w:r w:rsidR="009B79AC" w:rsidRPr="00C7460D">
        <w:rPr>
          <w:lang w:val="en-US"/>
        </w:rPr>
        <w:t xml:space="preserve"> </w:t>
      </w:r>
      <w:r w:rsidR="00BB35EB">
        <w:rPr>
          <w:lang w:val="en-US"/>
        </w:rPr>
        <w:t>Zaldokas</w:t>
      </w:r>
      <w:r w:rsidR="009B79AC" w:rsidRPr="00C7460D">
        <w:rPr>
          <w:lang w:val="en-US"/>
        </w:rPr>
        <w:t>, A.</w:t>
      </w:r>
      <w:r w:rsidRPr="00C7460D">
        <w:rPr>
          <w:lang w:val="en-US"/>
        </w:rPr>
        <w:t xml:space="preserve">, 2014. </w:t>
      </w:r>
      <w:r w:rsidR="009B79AC" w:rsidRPr="00C7460D">
        <w:rPr>
          <w:lang w:val="en-US"/>
        </w:rPr>
        <w:t>Investor base and corporate borrowing: Ev</w:t>
      </w:r>
      <w:r w:rsidRPr="00C7460D">
        <w:rPr>
          <w:lang w:val="en-US"/>
        </w:rPr>
        <w:t>idence from international bonds</w:t>
      </w:r>
      <w:r w:rsidR="009B79AC" w:rsidRPr="00C7460D">
        <w:rPr>
          <w:lang w:val="en-US"/>
        </w:rPr>
        <w:t>. Jo</w:t>
      </w:r>
      <w:r w:rsidRPr="00C7460D">
        <w:rPr>
          <w:lang w:val="en-US"/>
        </w:rPr>
        <w:t xml:space="preserve">urnal of </w:t>
      </w:r>
      <w:r w:rsidR="00331160">
        <w:rPr>
          <w:lang w:val="en-US"/>
        </w:rPr>
        <w:t>International</w:t>
      </w:r>
      <w:r w:rsidR="00331160" w:rsidRPr="00C7460D">
        <w:rPr>
          <w:lang w:val="en-US"/>
        </w:rPr>
        <w:t xml:space="preserve"> </w:t>
      </w:r>
      <w:r w:rsidRPr="00C7460D">
        <w:rPr>
          <w:lang w:val="en-US"/>
        </w:rPr>
        <w:t>Economics 92,</w:t>
      </w:r>
      <w:r w:rsidR="009B79AC" w:rsidRPr="00C7460D">
        <w:rPr>
          <w:lang w:val="en-US"/>
        </w:rPr>
        <w:t xml:space="preserve"> 95-110</w:t>
      </w:r>
      <w:r w:rsidRPr="00C7460D">
        <w:rPr>
          <w:lang w:val="en-US"/>
        </w:rPr>
        <w:t>.</w:t>
      </w:r>
    </w:p>
    <w:p w14:paraId="07413CDB" w14:textId="77777777" w:rsidR="003E189C" w:rsidRPr="00C1775B" w:rsidRDefault="003E189C" w:rsidP="003E189C">
      <w:pPr>
        <w:ind w:left="284" w:hanging="284"/>
        <w:jc w:val="both"/>
        <w:rPr>
          <w:shd w:val="clear" w:color="auto" w:fill="FFFFFF"/>
        </w:rPr>
      </w:pPr>
      <w:bookmarkStart w:id="13" w:name="_Hlk74343570"/>
      <w:r w:rsidRPr="00C1775B">
        <w:rPr>
          <w:shd w:val="clear" w:color="auto" w:fill="FFFFFF"/>
        </w:rPr>
        <w:t xml:space="preserve">Owen, N., 2018. Corporate Debt: How many investment banks does it take to sell a bond? [Online] Available at: </w:t>
      </w:r>
      <w:hyperlink r:id="rId14" w:history="1">
        <w:r w:rsidRPr="00C1775B">
          <w:rPr>
            <w:rStyle w:val="Hyperlink"/>
            <w:color w:val="auto"/>
            <w:shd w:val="clear" w:color="auto" w:fill="FFFFFF"/>
          </w:rPr>
          <w:t>https://www.globalcapital.com/article/b16bdlcwc3fwb9/corporate-debt-how-many-investment-banks-does-it-take-to-sell-a-bond</w:t>
        </w:r>
      </w:hyperlink>
      <w:r w:rsidRPr="00C1775B">
        <w:rPr>
          <w:shd w:val="clear" w:color="auto" w:fill="FFFFFF"/>
        </w:rPr>
        <w:t>. Accessed June 5, 2021.</w:t>
      </w:r>
    </w:p>
    <w:p w14:paraId="3856E3E6" w14:textId="77777777" w:rsidR="00AB0919" w:rsidRPr="00C7460D" w:rsidRDefault="00AB0919" w:rsidP="002B72D6">
      <w:pPr>
        <w:ind w:left="284" w:hanging="284"/>
        <w:jc w:val="both"/>
        <w:rPr>
          <w:lang w:val="en-US"/>
        </w:rPr>
      </w:pPr>
      <w:r w:rsidRPr="00C7460D">
        <w:rPr>
          <w:lang w:val="en-US"/>
        </w:rPr>
        <w:t>Petersen, M.A., Rajan, R.G., 2002. Does distance still matter? The information revolution in small business lending. Journal of Finance 57, 2533-2570.</w:t>
      </w:r>
      <w:r w:rsidR="009145FE" w:rsidRPr="00C7460D">
        <w:rPr>
          <w:lang w:val="en-US"/>
        </w:rPr>
        <w:t xml:space="preserve"> </w:t>
      </w:r>
    </w:p>
    <w:p w14:paraId="76C2AEA1" w14:textId="77777777" w:rsidR="003E189C" w:rsidRPr="00C1775B" w:rsidRDefault="003E189C" w:rsidP="003E189C">
      <w:pPr>
        <w:ind w:left="284" w:hanging="284"/>
        <w:jc w:val="both"/>
        <w:rPr>
          <w:shd w:val="clear" w:color="auto" w:fill="FFFFFF"/>
        </w:rPr>
      </w:pPr>
      <w:bookmarkStart w:id="14" w:name="_Hlk74343002"/>
      <w:bookmarkEnd w:id="13"/>
      <w:r w:rsidRPr="00C1775B">
        <w:rPr>
          <w:shd w:val="clear" w:color="auto" w:fill="FFFFFF"/>
        </w:rPr>
        <w:lastRenderedPageBreak/>
        <w:t>Petmezas, D., Santamaria, D., 2014. Investor induced contagion during the banking and European sovereign debt crisis of 2007–2012: Wealth effect or portfolio rebalancing?. Journal of International Money and Finance, 49, pp.401-424.</w:t>
      </w:r>
    </w:p>
    <w:p w14:paraId="7871B882" w14:textId="77777777" w:rsidR="0080081A" w:rsidRPr="00C7460D" w:rsidRDefault="0080081A" w:rsidP="002B72D6">
      <w:pPr>
        <w:ind w:left="284" w:hanging="284"/>
        <w:jc w:val="both"/>
        <w:rPr>
          <w:lang w:val="en-US"/>
        </w:rPr>
      </w:pPr>
      <w:r w:rsidRPr="00C7460D">
        <w:rPr>
          <w:lang w:val="en-US"/>
        </w:rPr>
        <w:t>Povel, P., Singh, R., Winton, A., 2007. Booms, busts, and fraud. Review of Financial Studies 20, 1219-1254.</w:t>
      </w:r>
    </w:p>
    <w:bookmarkEnd w:id="14"/>
    <w:p w14:paraId="3DC0433F" w14:textId="77777777" w:rsidR="006E09FB" w:rsidRPr="00C7460D" w:rsidRDefault="006E09FB" w:rsidP="002B72D6">
      <w:pPr>
        <w:ind w:left="284" w:hanging="284"/>
        <w:jc w:val="both"/>
        <w:rPr>
          <w:lang w:val="en-US"/>
        </w:rPr>
      </w:pPr>
      <w:r w:rsidRPr="00C7460D">
        <w:rPr>
          <w:lang w:val="en-US"/>
        </w:rPr>
        <w:t>Puri, M., 1996. Commercial banks in investment banking: Conflict of interest or certification role? Journal of Financial Economics 40, 373-401.</w:t>
      </w:r>
    </w:p>
    <w:p w14:paraId="17391B50" w14:textId="5EC63776" w:rsidR="00CC4BEF" w:rsidRPr="00C7460D" w:rsidRDefault="00CC4BEF" w:rsidP="002B72D6">
      <w:pPr>
        <w:ind w:left="284" w:hanging="284"/>
        <w:jc w:val="both"/>
        <w:rPr>
          <w:lang w:val="en-US"/>
        </w:rPr>
      </w:pPr>
      <w:r w:rsidRPr="00C7460D">
        <w:rPr>
          <w:lang w:val="en-US"/>
        </w:rPr>
        <w:t>Santos, J.A.C., 2006. Why firm access to the bond market differs over the business cycle: A theory and some evidence. Journal of Banking and Finance 30, 2715-2736.</w:t>
      </w:r>
    </w:p>
    <w:p w14:paraId="2919CBBB" w14:textId="588C3E26" w:rsidR="009B79AC" w:rsidRPr="00C7460D" w:rsidRDefault="000E7D16" w:rsidP="002B72D6">
      <w:pPr>
        <w:ind w:left="284" w:hanging="284"/>
        <w:jc w:val="both"/>
        <w:rPr>
          <w:lang w:val="en-US"/>
        </w:rPr>
      </w:pPr>
      <w:r w:rsidRPr="00C7460D">
        <w:rPr>
          <w:lang w:val="en-US"/>
        </w:rPr>
        <w:t xml:space="preserve">Shivdasani, A., Song, W.L., 2011. </w:t>
      </w:r>
      <w:r w:rsidR="009B79AC" w:rsidRPr="00C7460D">
        <w:rPr>
          <w:lang w:val="en-US"/>
        </w:rPr>
        <w:t>Breaking down the barriers: Competition, syndicate structu</w:t>
      </w:r>
      <w:r w:rsidRPr="00C7460D">
        <w:rPr>
          <w:lang w:val="en-US"/>
        </w:rPr>
        <w:t>re, and underwriting incentives</w:t>
      </w:r>
      <w:r w:rsidR="009B79AC" w:rsidRPr="00C7460D">
        <w:rPr>
          <w:lang w:val="en-US"/>
        </w:rPr>
        <w:t>. Journ</w:t>
      </w:r>
      <w:r w:rsidRPr="00C7460D">
        <w:rPr>
          <w:lang w:val="en-US"/>
        </w:rPr>
        <w:t>al of Financial Economics 99,</w:t>
      </w:r>
      <w:r w:rsidR="009B79AC" w:rsidRPr="00C7460D">
        <w:rPr>
          <w:lang w:val="en-US"/>
        </w:rPr>
        <w:t xml:space="preserve"> 581-600.</w:t>
      </w:r>
    </w:p>
    <w:p w14:paraId="6EAB9462" w14:textId="266A422E" w:rsidR="00753137" w:rsidRPr="00C7460D" w:rsidRDefault="00753137" w:rsidP="00753137">
      <w:pPr>
        <w:ind w:left="284" w:hanging="284"/>
        <w:jc w:val="both"/>
        <w:rPr>
          <w:lang w:val="en-US"/>
        </w:rPr>
      </w:pPr>
      <w:bookmarkStart w:id="15" w:name="_Hlk74343480"/>
      <w:r w:rsidRPr="00C7460D">
        <w:rPr>
          <w:lang w:val="en-US"/>
        </w:rPr>
        <w:t>Wyman</w:t>
      </w:r>
      <w:r>
        <w:rPr>
          <w:lang w:val="en-US"/>
        </w:rPr>
        <w:t>, O.</w:t>
      </w:r>
      <w:r w:rsidRPr="00C7460D">
        <w:rPr>
          <w:lang w:val="en-US"/>
        </w:rPr>
        <w:t xml:space="preserve">, 2016. Wholesale banks and asset managers: Learning to live with less liquidity. Available at </w:t>
      </w:r>
      <w:hyperlink r:id="rId15" w:history="1">
        <w:r w:rsidRPr="00C7460D">
          <w:rPr>
            <w:rStyle w:val="Hyperlink"/>
            <w:color w:val="auto"/>
            <w:lang w:val="en-US"/>
          </w:rPr>
          <w:t>http://www.oliverwyman.com/content/dam/oliver-wyman/global/en/2016/mar/Wholesale_Banks_and_Asset_Managers_2016.fv.pdf</w:t>
        </w:r>
      </w:hyperlink>
      <w:r w:rsidRPr="00C7460D">
        <w:rPr>
          <w:lang w:val="en-US"/>
        </w:rPr>
        <w:t>.</w:t>
      </w:r>
      <w:r>
        <w:rPr>
          <w:lang w:val="en-US"/>
        </w:rPr>
        <w:t xml:space="preserve"> Accessed December 10, 2017.</w:t>
      </w:r>
    </w:p>
    <w:p w14:paraId="5DA98AD7" w14:textId="77777777" w:rsidR="004A19CD" w:rsidRPr="00C7460D" w:rsidRDefault="004A19CD" w:rsidP="00400084">
      <w:pPr>
        <w:ind w:left="284" w:hanging="284"/>
        <w:jc w:val="both"/>
        <w:rPr>
          <w:lang w:val="en-US"/>
        </w:rPr>
      </w:pPr>
      <w:r w:rsidRPr="00C7460D">
        <w:rPr>
          <w:lang w:val="en-US"/>
        </w:rPr>
        <w:t>Stothard, M., 2013. Big banks’ share of corporate debt at new low. Financial Times, February 21.</w:t>
      </w:r>
    </w:p>
    <w:bookmarkEnd w:id="15"/>
    <w:p w14:paraId="4C404600" w14:textId="77777777" w:rsidR="00400084" w:rsidRPr="00C7460D" w:rsidRDefault="00400084" w:rsidP="00400084">
      <w:pPr>
        <w:ind w:left="284" w:hanging="284"/>
        <w:jc w:val="both"/>
        <w:rPr>
          <w:lang w:val="en-US"/>
        </w:rPr>
      </w:pPr>
      <w:r w:rsidRPr="00C7460D">
        <w:rPr>
          <w:lang w:val="en-US"/>
        </w:rPr>
        <w:t>Stulz, R.M., Johnson, H., 1985. An analysis of secured debt. Journal of Financial Economics 14, 501-521.</w:t>
      </w:r>
    </w:p>
    <w:p w14:paraId="58CA5D6B" w14:textId="79BB9DBA" w:rsidR="009B79AC" w:rsidRPr="00C7460D" w:rsidRDefault="003A655F" w:rsidP="002B72D6">
      <w:pPr>
        <w:ind w:left="284" w:hanging="284"/>
        <w:jc w:val="both"/>
        <w:rPr>
          <w:lang w:val="en-US"/>
        </w:rPr>
      </w:pPr>
      <w:r w:rsidRPr="00C7460D">
        <w:rPr>
          <w:lang w:val="en-US"/>
        </w:rPr>
        <w:t xml:space="preserve">Yasuda, A., 2005. </w:t>
      </w:r>
      <w:r w:rsidR="009B79AC" w:rsidRPr="00C7460D">
        <w:rPr>
          <w:lang w:val="en-US"/>
        </w:rPr>
        <w:t>Do bank relationships affect the firm’s underwriter choice in the corpo</w:t>
      </w:r>
      <w:r w:rsidRPr="00C7460D">
        <w:rPr>
          <w:lang w:val="en-US"/>
        </w:rPr>
        <w:t>rate-bond underwriting market? Journal of Finance 60,</w:t>
      </w:r>
      <w:r w:rsidR="009B79AC" w:rsidRPr="00C7460D">
        <w:rPr>
          <w:lang w:val="en-US"/>
        </w:rPr>
        <w:t xml:space="preserve"> 1259-1292</w:t>
      </w:r>
      <w:r w:rsidRPr="00C7460D">
        <w:rPr>
          <w:lang w:val="en-US"/>
        </w:rPr>
        <w:t>.</w:t>
      </w:r>
    </w:p>
    <w:p w14:paraId="2D9ED72A" w14:textId="77777777" w:rsidR="00CE0B67" w:rsidRPr="00DC68DD" w:rsidRDefault="00CE0B67" w:rsidP="002B72D6">
      <w:pPr>
        <w:ind w:left="284" w:hanging="284"/>
        <w:jc w:val="both"/>
        <w:rPr>
          <w:lang w:val="en-US"/>
        </w:rPr>
      </w:pPr>
    </w:p>
    <w:p w14:paraId="5B9DDEC4" w14:textId="77777777" w:rsidR="00CE0B67" w:rsidRDefault="00CE0B67">
      <w:pPr>
        <w:rPr>
          <w:rFonts w:eastAsiaTheme="majorEastAsia"/>
          <w:bCs/>
          <w:sz w:val="20"/>
          <w:szCs w:val="20"/>
          <w:lang w:val="en-US"/>
        </w:rPr>
      </w:pPr>
      <w:bookmarkStart w:id="16" w:name="_Toc390613823"/>
      <w:bookmarkStart w:id="17" w:name="_Toc415333329"/>
      <w:r>
        <w:rPr>
          <w:b/>
          <w:sz w:val="20"/>
          <w:szCs w:val="20"/>
          <w:lang w:val="en-US"/>
        </w:rPr>
        <w:br w:type="page"/>
      </w:r>
    </w:p>
    <w:bookmarkEnd w:id="16"/>
    <w:bookmarkEnd w:id="17"/>
    <w:p w14:paraId="602F87DC" w14:textId="77777777" w:rsidR="001631C6" w:rsidRPr="00207BB5" w:rsidRDefault="001631C6" w:rsidP="001631C6">
      <w:pPr>
        <w:pStyle w:val="Heading2"/>
        <w:spacing w:before="0" w:after="0"/>
        <w:rPr>
          <w:rFonts w:cs="Times New Roman"/>
          <w:b/>
          <w:bCs w:val="0"/>
          <w:i w:val="0"/>
          <w:iCs/>
          <w:szCs w:val="24"/>
          <w:lang w:val="en-US"/>
        </w:rPr>
      </w:pPr>
      <w:r w:rsidRPr="00207BB5">
        <w:rPr>
          <w:rFonts w:cs="Times New Roman"/>
          <w:b/>
          <w:bCs w:val="0"/>
          <w:i w:val="0"/>
          <w:iCs/>
          <w:szCs w:val="24"/>
          <w:lang w:val="en-US"/>
        </w:rPr>
        <w:lastRenderedPageBreak/>
        <w:t xml:space="preserve">Table 1 </w:t>
      </w:r>
    </w:p>
    <w:p w14:paraId="1A7BE3A8" w14:textId="77777777" w:rsidR="001631C6" w:rsidRPr="00207BB5" w:rsidRDefault="001631C6" w:rsidP="001631C6">
      <w:pPr>
        <w:pStyle w:val="Heading2"/>
        <w:spacing w:before="0" w:after="0"/>
        <w:rPr>
          <w:rFonts w:cs="Times New Roman"/>
          <w:b/>
          <w:szCs w:val="24"/>
          <w:lang w:val="en-US"/>
        </w:rPr>
      </w:pPr>
      <w:r w:rsidRPr="00207BB5">
        <w:rPr>
          <w:rFonts w:cs="Times New Roman"/>
          <w:szCs w:val="24"/>
          <w:lang w:val="en-US"/>
        </w:rPr>
        <w:t>Variable definitions and data sources.</w:t>
      </w:r>
    </w:p>
    <w:p w14:paraId="1DD96A9E" w14:textId="77777777" w:rsidR="001631C6" w:rsidRDefault="001631C6" w:rsidP="001631C6">
      <w:pPr>
        <w:jc w:val="both"/>
        <w:rPr>
          <w:sz w:val="20"/>
          <w:szCs w:val="20"/>
          <w:lang w:val="en-US"/>
        </w:rPr>
      </w:pPr>
    </w:p>
    <w:p w14:paraId="38DBE6EC" w14:textId="77777777" w:rsidR="001631C6" w:rsidRPr="00DC68DD" w:rsidRDefault="001631C6" w:rsidP="001631C6">
      <w:pPr>
        <w:jc w:val="both"/>
        <w:rPr>
          <w:sz w:val="20"/>
          <w:szCs w:val="20"/>
          <w:lang w:val="en-US"/>
        </w:rPr>
      </w:pPr>
      <w:r w:rsidRPr="00DC68DD">
        <w:rPr>
          <w:sz w:val="20"/>
          <w:szCs w:val="20"/>
          <w:lang w:val="en-US"/>
        </w:rPr>
        <w:t>The table presents variable definitions for bookrunner</w:t>
      </w:r>
      <w:r>
        <w:rPr>
          <w:sz w:val="20"/>
          <w:szCs w:val="20"/>
          <w:lang w:val="en-US"/>
        </w:rPr>
        <w:t xml:space="preserve"> (BR)</w:t>
      </w:r>
      <w:r w:rsidRPr="00DC68DD">
        <w:rPr>
          <w:sz w:val="20"/>
          <w:szCs w:val="20"/>
          <w:lang w:val="en-US"/>
        </w:rPr>
        <w:t xml:space="preserve">, bond, and firm characteristics for a sample of </w:t>
      </w:r>
      <w:r>
        <w:rPr>
          <w:sz w:val="20"/>
          <w:szCs w:val="20"/>
          <w:lang w:val="en-US"/>
        </w:rPr>
        <w:t>2,409</w:t>
      </w:r>
      <w:r w:rsidRPr="00DC68DD">
        <w:rPr>
          <w:sz w:val="20"/>
          <w:szCs w:val="20"/>
          <w:lang w:val="en-US"/>
        </w:rPr>
        <w:t xml:space="preserve"> euro-denominated public bond tranches issued by </w:t>
      </w:r>
      <w:r>
        <w:rPr>
          <w:sz w:val="20"/>
          <w:szCs w:val="20"/>
          <w:lang w:val="en-US"/>
        </w:rPr>
        <w:t>356</w:t>
      </w:r>
      <w:r w:rsidRPr="00DC68DD">
        <w:rPr>
          <w:sz w:val="20"/>
          <w:szCs w:val="20"/>
          <w:lang w:val="en-US"/>
        </w:rPr>
        <w:t xml:space="preserve"> Western European firms during 2001-20</w:t>
      </w:r>
      <w:r>
        <w:rPr>
          <w:sz w:val="20"/>
          <w:szCs w:val="20"/>
          <w:lang w:val="en-US"/>
        </w:rPr>
        <w:t>20</w:t>
      </w:r>
      <w:r w:rsidRPr="00DC68DD">
        <w:rPr>
          <w:sz w:val="20"/>
          <w:szCs w:val="20"/>
          <w:lang w:val="en-US"/>
        </w:rPr>
        <w:t>.</w:t>
      </w:r>
    </w:p>
    <w:tbl>
      <w:tblPr>
        <w:tblW w:w="5000" w:type="pct"/>
        <w:tblBorders>
          <w:top w:val="single" w:sz="4" w:space="0" w:color="auto"/>
          <w:bottom w:val="single" w:sz="4" w:space="0" w:color="auto"/>
        </w:tblBorders>
        <w:tblLook w:val="04A0" w:firstRow="1" w:lastRow="0" w:firstColumn="1" w:lastColumn="0" w:noHBand="0" w:noVBand="1"/>
      </w:tblPr>
      <w:tblGrid>
        <w:gridCol w:w="1973"/>
        <w:gridCol w:w="4807"/>
        <w:gridCol w:w="2246"/>
      </w:tblGrid>
      <w:tr w:rsidR="001631C6" w:rsidRPr="00DC68DD" w14:paraId="360E1580" w14:textId="77777777" w:rsidTr="008F5322">
        <w:trPr>
          <w:trHeight w:val="70"/>
        </w:trPr>
        <w:tc>
          <w:tcPr>
            <w:tcW w:w="1093" w:type="pct"/>
            <w:tcBorders>
              <w:top w:val="single" w:sz="4" w:space="0" w:color="auto"/>
              <w:bottom w:val="single" w:sz="4" w:space="0" w:color="auto"/>
            </w:tcBorders>
            <w:hideMark/>
          </w:tcPr>
          <w:p w14:paraId="6736B610"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Variable Name</w:t>
            </w:r>
          </w:p>
        </w:tc>
        <w:tc>
          <w:tcPr>
            <w:tcW w:w="2663" w:type="pct"/>
            <w:tcBorders>
              <w:top w:val="single" w:sz="4" w:space="0" w:color="auto"/>
              <w:bottom w:val="single" w:sz="4" w:space="0" w:color="auto"/>
            </w:tcBorders>
            <w:hideMark/>
          </w:tcPr>
          <w:p w14:paraId="38F364D8"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Calculation</w:t>
            </w:r>
          </w:p>
        </w:tc>
        <w:tc>
          <w:tcPr>
            <w:tcW w:w="1244" w:type="pct"/>
            <w:tcBorders>
              <w:top w:val="single" w:sz="4" w:space="0" w:color="auto"/>
              <w:bottom w:val="single" w:sz="4" w:space="0" w:color="auto"/>
            </w:tcBorders>
            <w:hideMark/>
          </w:tcPr>
          <w:p w14:paraId="6C7094EC"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Source</w:t>
            </w:r>
          </w:p>
        </w:tc>
      </w:tr>
      <w:tr w:rsidR="001631C6" w:rsidRPr="00DC68DD" w14:paraId="36659855" w14:textId="77777777" w:rsidTr="008F5322">
        <w:trPr>
          <w:trHeight w:val="123"/>
        </w:trPr>
        <w:tc>
          <w:tcPr>
            <w:tcW w:w="5000" w:type="pct"/>
            <w:gridSpan w:val="3"/>
          </w:tcPr>
          <w:p w14:paraId="555B9B67" w14:textId="77777777" w:rsidR="001631C6" w:rsidRPr="00DC68DD" w:rsidRDefault="001631C6" w:rsidP="008F5322">
            <w:pPr>
              <w:rPr>
                <w:bCs/>
                <w:color w:val="000000"/>
                <w:sz w:val="20"/>
                <w:szCs w:val="20"/>
                <w:lang w:val="en-US" w:eastAsia="en-GB"/>
              </w:rPr>
            </w:pPr>
            <w:r w:rsidRPr="00DC68DD">
              <w:rPr>
                <w:bCs/>
                <w:i/>
                <w:color w:val="000000"/>
                <w:sz w:val="20"/>
                <w:szCs w:val="20"/>
                <w:lang w:val="en-US" w:eastAsia="en-GB"/>
              </w:rPr>
              <w:t>Panel A: Bookrunner syndicate structure</w:t>
            </w:r>
            <w:r>
              <w:rPr>
                <w:bCs/>
                <w:i/>
                <w:color w:val="000000"/>
                <w:sz w:val="20"/>
                <w:szCs w:val="20"/>
                <w:lang w:val="en-US" w:eastAsia="en-GB"/>
              </w:rPr>
              <w:t xml:space="preserve"> variables</w:t>
            </w:r>
          </w:p>
        </w:tc>
      </w:tr>
      <w:tr w:rsidR="001631C6" w:rsidRPr="00DC68DD" w14:paraId="390978CB" w14:textId="77777777" w:rsidTr="008F5322">
        <w:trPr>
          <w:trHeight w:val="123"/>
        </w:trPr>
        <w:tc>
          <w:tcPr>
            <w:tcW w:w="1093" w:type="pct"/>
          </w:tcPr>
          <w:p w14:paraId="7291CD84"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Number of BRs</w:t>
            </w:r>
          </w:p>
          <w:p w14:paraId="5E863C95" w14:textId="77777777" w:rsidR="001631C6" w:rsidRPr="00DC68DD" w:rsidRDefault="001631C6" w:rsidP="008F5322">
            <w:pPr>
              <w:rPr>
                <w:bCs/>
                <w:color w:val="000000"/>
                <w:sz w:val="20"/>
                <w:szCs w:val="20"/>
                <w:lang w:val="en-US" w:eastAsia="en-GB"/>
              </w:rPr>
            </w:pPr>
          </w:p>
        </w:tc>
        <w:tc>
          <w:tcPr>
            <w:tcW w:w="2663" w:type="pct"/>
          </w:tcPr>
          <w:p w14:paraId="5ECF153E" w14:textId="77777777" w:rsidR="001631C6" w:rsidRPr="00DC68DD" w:rsidRDefault="001631C6" w:rsidP="008F5322">
            <w:pPr>
              <w:rPr>
                <w:bCs/>
                <w:color w:val="000000"/>
                <w:sz w:val="20"/>
                <w:szCs w:val="20"/>
                <w:lang w:val="en-US" w:eastAsia="en-GB"/>
              </w:rPr>
            </w:pPr>
            <w:r w:rsidRPr="00DC68DD">
              <w:rPr>
                <w:sz w:val="20"/>
                <w:szCs w:val="20"/>
                <w:lang w:val="en-US"/>
              </w:rPr>
              <w:t>A count of the total number of bookrunners on a tranche.</w:t>
            </w:r>
          </w:p>
        </w:tc>
        <w:tc>
          <w:tcPr>
            <w:tcW w:w="1244" w:type="pct"/>
          </w:tcPr>
          <w:p w14:paraId="496EC1B1"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187C29B0" w14:textId="77777777" w:rsidTr="008F5322">
        <w:trPr>
          <w:trHeight w:val="123"/>
        </w:trPr>
        <w:tc>
          <w:tcPr>
            <w:tcW w:w="1093" w:type="pct"/>
          </w:tcPr>
          <w:p w14:paraId="3B6BE740"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 of Non-domestic BRs</w:t>
            </w:r>
          </w:p>
        </w:tc>
        <w:tc>
          <w:tcPr>
            <w:tcW w:w="2663" w:type="pct"/>
          </w:tcPr>
          <w:p w14:paraId="3593647B" w14:textId="77777777" w:rsidR="001631C6" w:rsidRPr="00DC68DD" w:rsidRDefault="001631C6" w:rsidP="008F5322">
            <w:pPr>
              <w:rPr>
                <w:bCs/>
                <w:color w:val="000000"/>
                <w:sz w:val="20"/>
                <w:szCs w:val="20"/>
                <w:lang w:val="en-US" w:eastAsia="en-GB"/>
              </w:rPr>
            </w:pPr>
            <w:r w:rsidRPr="00DC68DD">
              <w:rPr>
                <w:sz w:val="20"/>
                <w:szCs w:val="20"/>
                <w:lang w:val="en-US"/>
              </w:rPr>
              <w:t>The percentage of bookrunners headquartered in a different country to the issuer.</w:t>
            </w:r>
          </w:p>
        </w:tc>
        <w:tc>
          <w:tcPr>
            <w:tcW w:w="1244" w:type="pct"/>
          </w:tcPr>
          <w:p w14:paraId="7282A18A"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2A5D17FF" w14:textId="77777777" w:rsidTr="008F5322">
        <w:trPr>
          <w:trHeight w:val="123"/>
        </w:trPr>
        <w:tc>
          <w:tcPr>
            <w:tcW w:w="1093" w:type="pct"/>
          </w:tcPr>
          <w:p w14:paraId="6E5816D5"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Majority non-domestic BRs</w:t>
            </w:r>
          </w:p>
        </w:tc>
        <w:tc>
          <w:tcPr>
            <w:tcW w:w="2663" w:type="pct"/>
          </w:tcPr>
          <w:p w14:paraId="4470D7AC" w14:textId="77777777" w:rsidR="001631C6" w:rsidRPr="00DC68DD" w:rsidRDefault="001631C6" w:rsidP="008F5322">
            <w:pPr>
              <w:rPr>
                <w:bCs/>
                <w:color w:val="000000"/>
                <w:sz w:val="20"/>
                <w:szCs w:val="20"/>
                <w:lang w:val="en-US" w:eastAsia="en-GB"/>
              </w:rPr>
            </w:pPr>
            <w:r w:rsidRPr="00DC68DD">
              <w:rPr>
                <w:sz w:val="20"/>
                <w:szCs w:val="20"/>
                <w:lang w:val="en-US" w:eastAsia="en-GB"/>
              </w:rPr>
              <w:t>An indicator variable equal to one if more than 50% of syndicate members are headquartered in a different country to the issuer, and zero otherwise.</w:t>
            </w:r>
          </w:p>
        </w:tc>
        <w:tc>
          <w:tcPr>
            <w:tcW w:w="1244" w:type="pct"/>
          </w:tcPr>
          <w:p w14:paraId="380EC9B6"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46AC82E2" w14:textId="77777777" w:rsidTr="008F5322">
        <w:trPr>
          <w:trHeight w:val="123"/>
        </w:trPr>
        <w:tc>
          <w:tcPr>
            <w:tcW w:w="1093" w:type="pct"/>
          </w:tcPr>
          <w:p w14:paraId="506E530C"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 of Non-domestic Active BRs</w:t>
            </w:r>
          </w:p>
        </w:tc>
        <w:tc>
          <w:tcPr>
            <w:tcW w:w="2663" w:type="pct"/>
          </w:tcPr>
          <w:p w14:paraId="3374E327" w14:textId="77777777" w:rsidR="001631C6" w:rsidRPr="00DC68DD" w:rsidRDefault="001631C6" w:rsidP="008F5322">
            <w:pPr>
              <w:rPr>
                <w:bCs/>
                <w:color w:val="000000"/>
                <w:sz w:val="20"/>
                <w:szCs w:val="20"/>
                <w:lang w:val="en-US" w:eastAsia="en-GB"/>
              </w:rPr>
            </w:pPr>
            <w:r w:rsidRPr="00DC68DD">
              <w:rPr>
                <w:sz w:val="20"/>
                <w:szCs w:val="20"/>
                <w:lang w:val="en-US"/>
              </w:rPr>
              <w:t>The percentage of active bookrunners headquartered in a different country to the issuer.</w:t>
            </w:r>
          </w:p>
        </w:tc>
        <w:tc>
          <w:tcPr>
            <w:tcW w:w="1244" w:type="pct"/>
          </w:tcPr>
          <w:p w14:paraId="263B294F"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 Financial press</w:t>
            </w:r>
          </w:p>
        </w:tc>
      </w:tr>
      <w:tr w:rsidR="001631C6" w:rsidRPr="00DC68DD" w14:paraId="37336F7C" w14:textId="77777777" w:rsidTr="008F5322">
        <w:trPr>
          <w:trHeight w:val="123"/>
        </w:trPr>
        <w:tc>
          <w:tcPr>
            <w:tcW w:w="1093" w:type="pct"/>
          </w:tcPr>
          <w:p w14:paraId="6325E101"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 of Non-domestic Active Top 10 BRs</w:t>
            </w:r>
          </w:p>
        </w:tc>
        <w:tc>
          <w:tcPr>
            <w:tcW w:w="2663" w:type="pct"/>
          </w:tcPr>
          <w:p w14:paraId="3F35D973" w14:textId="77777777" w:rsidR="001631C6" w:rsidRPr="00DC68DD" w:rsidRDefault="001631C6" w:rsidP="008F5322">
            <w:pPr>
              <w:rPr>
                <w:bCs/>
                <w:color w:val="000000"/>
                <w:sz w:val="20"/>
                <w:szCs w:val="20"/>
                <w:lang w:val="en-US" w:eastAsia="en-GB"/>
              </w:rPr>
            </w:pPr>
            <w:r w:rsidRPr="00DC68DD">
              <w:rPr>
                <w:sz w:val="20"/>
                <w:szCs w:val="20"/>
                <w:lang w:val="en-US"/>
              </w:rPr>
              <w:t>The percentage of active bookrunners headquartered in a different country to the issuer and who are ranked as a Top 10 bank by deal value during the sample period.</w:t>
            </w:r>
          </w:p>
        </w:tc>
        <w:tc>
          <w:tcPr>
            <w:tcW w:w="1244" w:type="pct"/>
          </w:tcPr>
          <w:p w14:paraId="0FE3F4CF"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 Financial press</w:t>
            </w:r>
          </w:p>
        </w:tc>
      </w:tr>
      <w:tr w:rsidR="001631C6" w:rsidRPr="00DC68DD" w14:paraId="7F5FBC8D" w14:textId="77777777" w:rsidTr="008F5322">
        <w:trPr>
          <w:trHeight w:val="123"/>
        </w:trPr>
        <w:tc>
          <w:tcPr>
            <w:tcW w:w="1093" w:type="pct"/>
          </w:tcPr>
          <w:p w14:paraId="4B48AA0F" w14:textId="77777777" w:rsidR="001631C6" w:rsidRPr="00DC68DD" w:rsidRDefault="001631C6" w:rsidP="008F5322">
            <w:pPr>
              <w:rPr>
                <w:bCs/>
                <w:color w:val="000000"/>
                <w:sz w:val="20"/>
                <w:szCs w:val="20"/>
                <w:lang w:val="en-US" w:eastAsia="en-GB"/>
              </w:rPr>
            </w:pPr>
            <w:r>
              <w:rPr>
                <w:bCs/>
                <w:color w:val="000000"/>
                <w:sz w:val="20"/>
                <w:szCs w:val="20"/>
                <w:lang w:val="en-US" w:eastAsia="en-GB"/>
              </w:rPr>
              <w:t>% of BRs prior lender</w:t>
            </w:r>
          </w:p>
        </w:tc>
        <w:tc>
          <w:tcPr>
            <w:tcW w:w="2663" w:type="pct"/>
          </w:tcPr>
          <w:p w14:paraId="3DB0DC43" w14:textId="77777777" w:rsidR="001631C6" w:rsidRPr="00DC68DD" w:rsidRDefault="001631C6" w:rsidP="008F5322">
            <w:pPr>
              <w:rPr>
                <w:sz w:val="20"/>
                <w:szCs w:val="20"/>
                <w:lang w:val="en-US"/>
              </w:rPr>
            </w:pPr>
            <w:r>
              <w:rPr>
                <w:sz w:val="20"/>
                <w:szCs w:val="20"/>
                <w:lang w:val="en-US"/>
              </w:rPr>
              <w:t>The percentage of the bookrunners who have acted as a mandated lead arranger for a loan made to the issuing firm in the three years prior to the current bond issue.</w:t>
            </w:r>
          </w:p>
        </w:tc>
        <w:tc>
          <w:tcPr>
            <w:tcW w:w="1244" w:type="pct"/>
          </w:tcPr>
          <w:p w14:paraId="44FED5E0"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780ABE5E" w14:textId="77777777" w:rsidTr="008F5322">
        <w:trPr>
          <w:trHeight w:val="123"/>
        </w:trPr>
        <w:tc>
          <w:tcPr>
            <w:tcW w:w="1093" w:type="pct"/>
            <w:vAlign w:val="center"/>
          </w:tcPr>
          <w:p w14:paraId="16D166AF" w14:textId="77777777" w:rsidR="001631C6" w:rsidRPr="00B91464" w:rsidRDefault="001631C6" w:rsidP="008F5322">
            <w:pPr>
              <w:rPr>
                <w:color w:val="000000"/>
                <w:sz w:val="20"/>
                <w:szCs w:val="20"/>
                <w:lang w:val="en-US" w:eastAsia="en-GB"/>
              </w:rPr>
            </w:pPr>
            <w:r w:rsidRPr="00B91464">
              <w:rPr>
                <w:bCs/>
                <w:color w:val="000000"/>
                <w:sz w:val="20"/>
                <w:szCs w:val="20"/>
                <w:lang w:val="en-US" w:eastAsia="en-GB"/>
              </w:rPr>
              <w:t>Total BR domestic lending</w:t>
            </w:r>
          </w:p>
        </w:tc>
        <w:tc>
          <w:tcPr>
            <w:tcW w:w="2663" w:type="pct"/>
            <w:vAlign w:val="center"/>
          </w:tcPr>
          <w:p w14:paraId="7A5D0BFB" w14:textId="77777777" w:rsidR="001631C6" w:rsidRPr="00EB7DCF" w:rsidRDefault="001631C6" w:rsidP="008F5322">
            <w:pPr>
              <w:rPr>
                <w:color w:val="000000"/>
                <w:sz w:val="20"/>
                <w:szCs w:val="20"/>
                <w:lang w:val="en-US" w:eastAsia="en-GB"/>
              </w:rPr>
            </w:pPr>
            <w:r w:rsidRPr="00EB7DCF">
              <w:rPr>
                <w:sz w:val="20"/>
                <w:lang w:val="en-US"/>
              </w:rPr>
              <w:t>Total lending by each bookrunner in the sponsoring syndicate to firms in the issuing firm’s headquarter country</w:t>
            </w:r>
            <w:r>
              <w:rPr>
                <w:sz w:val="20"/>
                <w:lang w:val="en-US"/>
              </w:rPr>
              <w:t>.</w:t>
            </w:r>
          </w:p>
        </w:tc>
        <w:tc>
          <w:tcPr>
            <w:tcW w:w="1244" w:type="pct"/>
          </w:tcPr>
          <w:p w14:paraId="5EA1962A"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79819333" w14:textId="77777777" w:rsidTr="008F5322">
        <w:trPr>
          <w:trHeight w:val="123"/>
        </w:trPr>
        <w:tc>
          <w:tcPr>
            <w:tcW w:w="1093" w:type="pct"/>
            <w:vAlign w:val="center"/>
          </w:tcPr>
          <w:p w14:paraId="4F3618AE" w14:textId="77777777" w:rsidR="001631C6" w:rsidRPr="009949FF" w:rsidRDefault="001631C6" w:rsidP="008F5322">
            <w:pPr>
              <w:rPr>
                <w:color w:val="000000"/>
                <w:sz w:val="20"/>
                <w:szCs w:val="20"/>
                <w:lang w:val="en-US" w:eastAsia="en-GB"/>
              </w:rPr>
            </w:pPr>
            <w:r>
              <w:rPr>
                <w:color w:val="000000"/>
                <w:sz w:val="20"/>
                <w:szCs w:val="20"/>
                <w:lang w:val="en-US" w:eastAsia="en-GB"/>
              </w:rPr>
              <w:t>Average BR domestic lending</w:t>
            </w:r>
          </w:p>
        </w:tc>
        <w:tc>
          <w:tcPr>
            <w:tcW w:w="2663" w:type="pct"/>
            <w:vAlign w:val="center"/>
          </w:tcPr>
          <w:p w14:paraId="695DA0DA" w14:textId="77777777" w:rsidR="001631C6" w:rsidRPr="00EB7DCF" w:rsidRDefault="001631C6" w:rsidP="008F5322">
            <w:pPr>
              <w:rPr>
                <w:color w:val="000000"/>
                <w:sz w:val="20"/>
                <w:szCs w:val="20"/>
                <w:lang w:val="en-US" w:eastAsia="en-GB"/>
              </w:rPr>
            </w:pPr>
            <w:r w:rsidRPr="00EB7DCF">
              <w:rPr>
                <w:sz w:val="20"/>
                <w:lang w:val="en-US"/>
              </w:rPr>
              <w:t>Total lending by each bookrunner in the sponsoring syndicate to firms in the issuing firm’s headquarter country</w:t>
            </w:r>
            <w:r>
              <w:rPr>
                <w:sz w:val="20"/>
                <w:lang w:val="en-US"/>
              </w:rPr>
              <w:t xml:space="preserve"> divided by total number of bookrunners.</w:t>
            </w:r>
          </w:p>
        </w:tc>
        <w:tc>
          <w:tcPr>
            <w:tcW w:w="1244" w:type="pct"/>
          </w:tcPr>
          <w:p w14:paraId="47F0BCA3"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3B4C8DBD" w14:textId="77777777" w:rsidTr="008F5322">
        <w:trPr>
          <w:trHeight w:val="123"/>
        </w:trPr>
        <w:tc>
          <w:tcPr>
            <w:tcW w:w="1093" w:type="pct"/>
            <w:vAlign w:val="center"/>
          </w:tcPr>
          <w:p w14:paraId="7AF9117F" w14:textId="77777777" w:rsidR="001631C6" w:rsidRPr="009949FF" w:rsidRDefault="001631C6" w:rsidP="008F5322">
            <w:pPr>
              <w:rPr>
                <w:color w:val="000000"/>
                <w:sz w:val="20"/>
                <w:szCs w:val="20"/>
                <w:lang w:val="en-US" w:eastAsia="en-GB"/>
              </w:rPr>
            </w:pPr>
            <w:r w:rsidRPr="009949FF">
              <w:rPr>
                <w:color w:val="000000"/>
                <w:sz w:val="20"/>
                <w:szCs w:val="20"/>
                <w:lang w:val="en-US" w:eastAsia="en-GB"/>
              </w:rPr>
              <w:t>Average balance sheet lending to issuer country</w:t>
            </w:r>
          </w:p>
        </w:tc>
        <w:tc>
          <w:tcPr>
            <w:tcW w:w="2663" w:type="pct"/>
            <w:vAlign w:val="center"/>
          </w:tcPr>
          <w:p w14:paraId="40212CA6" w14:textId="77777777" w:rsidR="001631C6" w:rsidRPr="0027771B" w:rsidRDefault="001631C6" w:rsidP="008F5322">
            <w:pPr>
              <w:rPr>
                <w:color w:val="000000"/>
                <w:sz w:val="20"/>
                <w:szCs w:val="20"/>
                <w:lang w:val="en-US" w:eastAsia="en-GB"/>
              </w:rPr>
            </w:pPr>
            <w:r>
              <w:rPr>
                <w:sz w:val="20"/>
                <w:lang w:val="en-US"/>
              </w:rPr>
              <w:t xml:space="preserve">Total lending by each </w:t>
            </w:r>
            <w:r w:rsidRPr="0027771B">
              <w:rPr>
                <w:sz w:val="20"/>
                <w:lang w:val="en-US"/>
              </w:rPr>
              <w:t>bo</w:t>
            </w:r>
            <w:r>
              <w:rPr>
                <w:sz w:val="20"/>
                <w:lang w:val="en-US"/>
              </w:rPr>
              <w:t>okrunner in the sponsoring syndicate</w:t>
            </w:r>
            <w:r w:rsidRPr="0027771B">
              <w:rPr>
                <w:sz w:val="20"/>
                <w:lang w:val="en-US"/>
              </w:rPr>
              <w:t xml:space="preserve"> </w:t>
            </w:r>
            <w:r>
              <w:rPr>
                <w:sz w:val="20"/>
                <w:lang w:val="en-US"/>
              </w:rPr>
              <w:t xml:space="preserve">to firms in the issuing firm’s headquarter country divided by </w:t>
            </w:r>
            <w:r w:rsidRPr="0027771B">
              <w:rPr>
                <w:sz w:val="20"/>
                <w:lang w:val="en-US"/>
              </w:rPr>
              <w:t xml:space="preserve">total lending </w:t>
            </w:r>
            <w:r>
              <w:rPr>
                <w:sz w:val="20"/>
                <w:lang w:val="en-US"/>
              </w:rPr>
              <w:t>by the bookrunner averaged across member of the sponsoring syndicate.</w:t>
            </w:r>
          </w:p>
        </w:tc>
        <w:tc>
          <w:tcPr>
            <w:tcW w:w="1244" w:type="pct"/>
          </w:tcPr>
          <w:p w14:paraId="53BAAB5A"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779A35BB" w14:textId="77777777" w:rsidTr="008F5322">
        <w:trPr>
          <w:trHeight w:val="123"/>
        </w:trPr>
        <w:tc>
          <w:tcPr>
            <w:tcW w:w="1093" w:type="pct"/>
            <w:vAlign w:val="center"/>
          </w:tcPr>
          <w:p w14:paraId="02E650AC" w14:textId="77777777" w:rsidR="001631C6" w:rsidRPr="009949FF" w:rsidRDefault="001631C6" w:rsidP="008F5322">
            <w:pPr>
              <w:rPr>
                <w:color w:val="000000"/>
                <w:sz w:val="20"/>
                <w:szCs w:val="20"/>
                <w:lang w:val="en-US" w:eastAsia="en-GB"/>
              </w:rPr>
            </w:pPr>
            <w:r w:rsidRPr="009949FF">
              <w:rPr>
                <w:bCs/>
                <w:color w:val="000000"/>
                <w:sz w:val="20"/>
                <w:szCs w:val="20"/>
                <w:lang w:val="en-US" w:eastAsia="en-GB"/>
              </w:rPr>
              <w:t xml:space="preserve">BR domestic lending * </w:t>
            </w:r>
            <w:r>
              <w:rPr>
                <w:bCs/>
                <w:color w:val="000000"/>
                <w:sz w:val="20"/>
                <w:szCs w:val="20"/>
                <w:lang w:val="en-US" w:eastAsia="en-GB"/>
              </w:rPr>
              <w:t>Bank relative size</w:t>
            </w:r>
          </w:p>
        </w:tc>
        <w:tc>
          <w:tcPr>
            <w:tcW w:w="2663" w:type="pct"/>
            <w:vAlign w:val="center"/>
          </w:tcPr>
          <w:p w14:paraId="58B19520" w14:textId="77777777" w:rsidR="001631C6" w:rsidRPr="00F04667" w:rsidRDefault="001631C6" w:rsidP="008F5322">
            <w:pPr>
              <w:rPr>
                <w:color w:val="000000"/>
                <w:sz w:val="20"/>
                <w:szCs w:val="20"/>
                <w:highlight w:val="yellow"/>
                <w:lang w:val="en-US" w:eastAsia="en-GB"/>
              </w:rPr>
            </w:pPr>
            <w:r>
              <w:rPr>
                <w:sz w:val="20"/>
                <w:lang w:val="en-US"/>
              </w:rPr>
              <w:t>Total BR domestic lending x</w:t>
            </w:r>
            <w:r w:rsidRPr="00F04667">
              <w:rPr>
                <w:sz w:val="20"/>
                <w:lang w:val="en-US"/>
              </w:rPr>
              <w:t xml:space="preserve"> </w:t>
            </w:r>
            <w:r>
              <w:rPr>
                <w:sz w:val="20"/>
                <w:lang w:val="en-US"/>
              </w:rPr>
              <w:t>(T</w:t>
            </w:r>
            <w:r w:rsidRPr="00F04667">
              <w:rPr>
                <w:sz w:val="20"/>
                <w:lang w:val="en-US"/>
              </w:rPr>
              <w:t>otal lending by each bank divided by the value of all loans made</w:t>
            </w:r>
            <w:r>
              <w:rPr>
                <w:sz w:val="20"/>
                <w:lang w:val="en-US"/>
              </w:rPr>
              <w:t xml:space="preserve"> by all banks</w:t>
            </w:r>
            <w:r w:rsidRPr="00F04667">
              <w:rPr>
                <w:sz w:val="20"/>
                <w:lang w:val="en-US"/>
              </w:rPr>
              <w:t xml:space="preserve"> during the sample period</w:t>
            </w:r>
            <w:r>
              <w:rPr>
                <w:sz w:val="20"/>
                <w:lang w:val="en-US"/>
              </w:rPr>
              <w:t>)</w:t>
            </w:r>
            <w:r w:rsidRPr="00F04667">
              <w:rPr>
                <w:sz w:val="20"/>
                <w:lang w:val="en-US"/>
              </w:rPr>
              <w:t>.</w:t>
            </w:r>
          </w:p>
        </w:tc>
        <w:tc>
          <w:tcPr>
            <w:tcW w:w="1244" w:type="pct"/>
          </w:tcPr>
          <w:p w14:paraId="2FB2C0C6"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60085E6F" w14:textId="77777777" w:rsidTr="008F5322">
        <w:trPr>
          <w:trHeight w:val="123"/>
        </w:trPr>
        <w:tc>
          <w:tcPr>
            <w:tcW w:w="1093" w:type="pct"/>
            <w:vAlign w:val="center"/>
          </w:tcPr>
          <w:p w14:paraId="720C43E9" w14:textId="77777777" w:rsidR="001631C6" w:rsidRPr="009949FF" w:rsidRDefault="001631C6" w:rsidP="008F5322">
            <w:pPr>
              <w:rPr>
                <w:color w:val="000000"/>
                <w:sz w:val="20"/>
                <w:szCs w:val="20"/>
                <w:lang w:val="en-US" w:eastAsia="en-GB"/>
              </w:rPr>
            </w:pPr>
            <w:r w:rsidRPr="009949FF">
              <w:rPr>
                <w:bCs/>
                <w:color w:val="000000"/>
                <w:sz w:val="20"/>
                <w:szCs w:val="20"/>
                <w:lang w:val="en-US" w:eastAsia="en-GB"/>
              </w:rPr>
              <w:t>Total BR domestic lending market share</w:t>
            </w:r>
          </w:p>
        </w:tc>
        <w:tc>
          <w:tcPr>
            <w:tcW w:w="2663" w:type="pct"/>
            <w:vAlign w:val="center"/>
          </w:tcPr>
          <w:p w14:paraId="5B9640F2" w14:textId="77777777" w:rsidR="001631C6" w:rsidRPr="00D0133E" w:rsidRDefault="001631C6" w:rsidP="008F5322">
            <w:pPr>
              <w:rPr>
                <w:color w:val="000000"/>
                <w:sz w:val="20"/>
                <w:szCs w:val="20"/>
                <w:lang w:val="en-US" w:eastAsia="en-GB"/>
              </w:rPr>
            </w:pPr>
            <w:r>
              <w:rPr>
                <w:sz w:val="20"/>
                <w:lang w:val="en-US"/>
              </w:rPr>
              <w:t>Total b</w:t>
            </w:r>
            <w:r w:rsidRPr="00D0133E">
              <w:rPr>
                <w:sz w:val="20"/>
                <w:lang w:val="en-US"/>
              </w:rPr>
              <w:t>ank lending for all members of the bookrunner syndicate in the issuing firm’s home country</w:t>
            </w:r>
            <w:r>
              <w:rPr>
                <w:sz w:val="20"/>
                <w:lang w:val="en-US"/>
              </w:rPr>
              <w:t xml:space="preserve"> divided by total bank lending in the firm’s home country.</w:t>
            </w:r>
          </w:p>
        </w:tc>
        <w:tc>
          <w:tcPr>
            <w:tcW w:w="1244" w:type="pct"/>
          </w:tcPr>
          <w:p w14:paraId="2E467522"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582A077D" w14:textId="77777777" w:rsidTr="008F5322">
        <w:trPr>
          <w:trHeight w:val="123"/>
        </w:trPr>
        <w:tc>
          <w:tcPr>
            <w:tcW w:w="1093" w:type="pct"/>
            <w:vAlign w:val="center"/>
          </w:tcPr>
          <w:p w14:paraId="3C1BB44C" w14:textId="77777777" w:rsidR="001631C6" w:rsidRPr="009949FF" w:rsidRDefault="001631C6" w:rsidP="008F5322">
            <w:pPr>
              <w:rPr>
                <w:color w:val="000000"/>
                <w:sz w:val="20"/>
                <w:szCs w:val="20"/>
                <w:lang w:val="en-US" w:eastAsia="en-GB"/>
              </w:rPr>
            </w:pPr>
            <w:r w:rsidRPr="009949FF">
              <w:rPr>
                <w:bCs/>
                <w:color w:val="000000"/>
                <w:sz w:val="20"/>
                <w:szCs w:val="20"/>
                <w:lang w:val="en-US" w:eastAsia="en-GB"/>
              </w:rPr>
              <w:t>% of Top 10 lenders in BR syndicate</w:t>
            </w:r>
          </w:p>
        </w:tc>
        <w:tc>
          <w:tcPr>
            <w:tcW w:w="2663" w:type="pct"/>
            <w:vAlign w:val="center"/>
          </w:tcPr>
          <w:p w14:paraId="0DE097A3" w14:textId="77777777" w:rsidR="001631C6" w:rsidRPr="00D0133E" w:rsidRDefault="001631C6" w:rsidP="008F5322">
            <w:pPr>
              <w:rPr>
                <w:color w:val="000000"/>
                <w:sz w:val="20"/>
                <w:szCs w:val="20"/>
                <w:lang w:val="en-US" w:eastAsia="en-GB"/>
              </w:rPr>
            </w:pPr>
            <w:r w:rsidRPr="00D0133E">
              <w:rPr>
                <w:sz w:val="20"/>
                <w:lang w:val="en-US"/>
              </w:rPr>
              <w:t xml:space="preserve">The proportion of the </w:t>
            </w:r>
            <w:r>
              <w:rPr>
                <w:sz w:val="20"/>
                <w:lang w:val="en-US"/>
              </w:rPr>
              <w:t xml:space="preserve">sponsoring </w:t>
            </w:r>
            <w:r w:rsidRPr="00D0133E">
              <w:rPr>
                <w:sz w:val="20"/>
                <w:lang w:val="en-US"/>
              </w:rPr>
              <w:t xml:space="preserve">bookrunner syndicate in the Top 10 </w:t>
            </w:r>
            <w:r>
              <w:rPr>
                <w:sz w:val="20"/>
                <w:lang w:val="en-US"/>
              </w:rPr>
              <w:t xml:space="preserve">bank </w:t>
            </w:r>
            <w:r w:rsidRPr="00D0133E">
              <w:rPr>
                <w:sz w:val="20"/>
                <w:lang w:val="en-US"/>
              </w:rPr>
              <w:t>lenders in the issuing firm’s home country.</w:t>
            </w:r>
          </w:p>
        </w:tc>
        <w:tc>
          <w:tcPr>
            <w:tcW w:w="1244" w:type="pct"/>
          </w:tcPr>
          <w:p w14:paraId="7C25FB63"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19A988A6" w14:textId="77777777" w:rsidTr="008F5322">
        <w:trPr>
          <w:trHeight w:val="123"/>
        </w:trPr>
        <w:tc>
          <w:tcPr>
            <w:tcW w:w="1093" w:type="pct"/>
            <w:vAlign w:val="center"/>
          </w:tcPr>
          <w:p w14:paraId="5F6E306F" w14:textId="77777777" w:rsidR="001631C6" w:rsidRPr="009949FF" w:rsidRDefault="001631C6" w:rsidP="008F5322">
            <w:pPr>
              <w:rPr>
                <w:color w:val="000000"/>
                <w:sz w:val="20"/>
                <w:szCs w:val="20"/>
                <w:lang w:val="en-US" w:eastAsia="en-GB"/>
              </w:rPr>
            </w:pPr>
            <w:r w:rsidRPr="009949FF">
              <w:rPr>
                <w:bCs/>
                <w:color w:val="000000"/>
                <w:sz w:val="20"/>
                <w:szCs w:val="20"/>
                <w:lang w:val="en-US" w:eastAsia="en-GB"/>
              </w:rPr>
              <w:t>% of Top 5 lenders in BR syndicate</w:t>
            </w:r>
          </w:p>
        </w:tc>
        <w:tc>
          <w:tcPr>
            <w:tcW w:w="2663" w:type="pct"/>
            <w:vAlign w:val="center"/>
          </w:tcPr>
          <w:p w14:paraId="2144ECFD" w14:textId="77777777" w:rsidR="001631C6" w:rsidRPr="00D0133E" w:rsidRDefault="001631C6" w:rsidP="008F5322">
            <w:pPr>
              <w:rPr>
                <w:color w:val="000000"/>
                <w:sz w:val="20"/>
                <w:szCs w:val="20"/>
                <w:lang w:val="en-US" w:eastAsia="en-GB"/>
              </w:rPr>
            </w:pPr>
            <w:r w:rsidRPr="00D0133E">
              <w:rPr>
                <w:sz w:val="20"/>
                <w:lang w:val="en-US"/>
              </w:rPr>
              <w:t xml:space="preserve">The proportion of the </w:t>
            </w:r>
            <w:r>
              <w:rPr>
                <w:sz w:val="20"/>
                <w:lang w:val="en-US"/>
              </w:rPr>
              <w:t xml:space="preserve">sponsoring </w:t>
            </w:r>
            <w:r w:rsidRPr="00D0133E">
              <w:rPr>
                <w:sz w:val="20"/>
                <w:lang w:val="en-US"/>
              </w:rPr>
              <w:t xml:space="preserve">bookrunner syndicate in the Top </w:t>
            </w:r>
            <w:r>
              <w:rPr>
                <w:sz w:val="20"/>
                <w:lang w:val="en-US"/>
              </w:rPr>
              <w:t>5</w:t>
            </w:r>
            <w:r w:rsidRPr="00D0133E">
              <w:rPr>
                <w:sz w:val="20"/>
                <w:lang w:val="en-US"/>
              </w:rPr>
              <w:t xml:space="preserve"> </w:t>
            </w:r>
            <w:r>
              <w:rPr>
                <w:sz w:val="20"/>
                <w:lang w:val="en-US"/>
              </w:rPr>
              <w:t xml:space="preserve">bank </w:t>
            </w:r>
            <w:r w:rsidRPr="00D0133E">
              <w:rPr>
                <w:sz w:val="20"/>
                <w:lang w:val="en-US"/>
              </w:rPr>
              <w:t>lenders in the issuing firm’s home country.</w:t>
            </w:r>
          </w:p>
        </w:tc>
        <w:tc>
          <w:tcPr>
            <w:tcW w:w="1244" w:type="pct"/>
          </w:tcPr>
          <w:p w14:paraId="6C447781"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57C7440B" w14:textId="77777777" w:rsidTr="008F5322">
        <w:trPr>
          <w:trHeight w:val="123"/>
        </w:trPr>
        <w:tc>
          <w:tcPr>
            <w:tcW w:w="5000" w:type="pct"/>
            <w:gridSpan w:val="3"/>
          </w:tcPr>
          <w:p w14:paraId="17EC1AA7" w14:textId="77777777" w:rsidR="001631C6" w:rsidRPr="00DC68DD" w:rsidRDefault="001631C6" w:rsidP="008F5322">
            <w:pPr>
              <w:rPr>
                <w:bCs/>
                <w:color w:val="000000"/>
                <w:sz w:val="20"/>
                <w:szCs w:val="20"/>
                <w:lang w:val="en-US" w:eastAsia="en-GB"/>
              </w:rPr>
            </w:pPr>
          </w:p>
        </w:tc>
      </w:tr>
      <w:tr w:rsidR="001631C6" w:rsidRPr="00DC68DD" w14:paraId="5F267A0B" w14:textId="77777777" w:rsidTr="008F5322">
        <w:trPr>
          <w:trHeight w:val="123"/>
        </w:trPr>
        <w:tc>
          <w:tcPr>
            <w:tcW w:w="5000" w:type="pct"/>
            <w:gridSpan w:val="3"/>
            <w:hideMark/>
          </w:tcPr>
          <w:p w14:paraId="128A4FDD" w14:textId="77777777" w:rsidR="001631C6" w:rsidRPr="00DC68DD" w:rsidRDefault="001631C6" w:rsidP="008F5322">
            <w:pPr>
              <w:rPr>
                <w:bCs/>
                <w:color w:val="000000"/>
                <w:sz w:val="20"/>
                <w:szCs w:val="20"/>
                <w:lang w:val="en-US" w:eastAsia="en-GB"/>
              </w:rPr>
            </w:pPr>
            <w:r w:rsidRPr="00DC68DD">
              <w:rPr>
                <w:bCs/>
                <w:i/>
                <w:color w:val="000000"/>
                <w:sz w:val="20"/>
                <w:szCs w:val="20"/>
                <w:lang w:val="en-US" w:eastAsia="en-GB"/>
              </w:rPr>
              <w:t xml:space="preserve">Panel B: Bond pricing </w:t>
            </w:r>
            <w:r>
              <w:rPr>
                <w:bCs/>
                <w:i/>
                <w:color w:val="000000"/>
                <w:sz w:val="20"/>
                <w:szCs w:val="20"/>
                <w:lang w:val="en-US" w:eastAsia="en-GB"/>
              </w:rPr>
              <w:t xml:space="preserve">and outcomes variables </w:t>
            </w:r>
          </w:p>
        </w:tc>
      </w:tr>
      <w:tr w:rsidR="001631C6" w:rsidRPr="00DC68DD" w14:paraId="5C38D921" w14:textId="77777777" w:rsidTr="008F5322">
        <w:trPr>
          <w:trHeight w:val="123"/>
        </w:trPr>
        <w:tc>
          <w:tcPr>
            <w:tcW w:w="1093" w:type="pct"/>
            <w:hideMark/>
          </w:tcPr>
          <w:p w14:paraId="6224F101"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Credit spread</w:t>
            </w:r>
          </w:p>
        </w:tc>
        <w:tc>
          <w:tcPr>
            <w:tcW w:w="2663" w:type="pct"/>
            <w:hideMark/>
          </w:tcPr>
          <w:p w14:paraId="3E3E9A9D"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At-issue yield to maturity minus the benchmark euro mid</w:t>
            </w:r>
            <w:r>
              <w:rPr>
                <w:bCs/>
                <w:color w:val="000000"/>
                <w:sz w:val="20"/>
                <w:szCs w:val="20"/>
                <w:lang w:val="en-US" w:eastAsia="en-GB"/>
              </w:rPr>
              <w:t>-</w:t>
            </w:r>
            <w:r w:rsidRPr="00DC68DD">
              <w:rPr>
                <w:bCs/>
                <w:color w:val="000000"/>
                <w:sz w:val="20"/>
                <w:szCs w:val="20"/>
                <w:lang w:val="en-US" w:eastAsia="en-GB"/>
              </w:rPr>
              <w:t>swap rate for the equivalent tenor.</w:t>
            </w:r>
          </w:p>
        </w:tc>
        <w:tc>
          <w:tcPr>
            <w:tcW w:w="1244" w:type="pct"/>
            <w:hideMark/>
          </w:tcPr>
          <w:p w14:paraId="02BE5E6B"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2CA06A68" w14:textId="77777777" w:rsidTr="008F5322">
        <w:trPr>
          <w:trHeight w:val="123"/>
        </w:trPr>
        <w:tc>
          <w:tcPr>
            <w:tcW w:w="1093" w:type="pct"/>
          </w:tcPr>
          <w:p w14:paraId="0BEEB1EB"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Yield</w:t>
            </w:r>
          </w:p>
        </w:tc>
        <w:tc>
          <w:tcPr>
            <w:tcW w:w="2663" w:type="pct"/>
          </w:tcPr>
          <w:p w14:paraId="5F2C3034"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At-issue yield to maturity.</w:t>
            </w:r>
          </w:p>
        </w:tc>
        <w:tc>
          <w:tcPr>
            <w:tcW w:w="1244" w:type="pct"/>
          </w:tcPr>
          <w:p w14:paraId="3D421EB2"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 Bond prospectus</w:t>
            </w:r>
          </w:p>
        </w:tc>
      </w:tr>
      <w:tr w:rsidR="001631C6" w:rsidRPr="00DC68DD" w14:paraId="49FD3CAF" w14:textId="77777777" w:rsidTr="008F5322">
        <w:trPr>
          <w:trHeight w:val="123"/>
        </w:trPr>
        <w:tc>
          <w:tcPr>
            <w:tcW w:w="1093" w:type="pct"/>
          </w:tcPr>
          <w:p w14:paraId="211EE629" w14:textId="77777777" w:rsidR="001631C6" w:rsidRPr="00DC68DD" w:rsidRDefault="001631C6" w:rsidP="008F5322">
            <w:pPr>
              <w:rPr>
                <w:bCs/>
                <w:color w:val="000000"/>
                <w:sz w:val="20"/>
                <w:szCs w:val="20"/>
                <w:lang w:val="en-US" w:eastAsia="en-GB"/>
              </w:rPr>
            </w:pPr>
            <w:r>
              <w:rPr>
                <w:bCs/>
                <w:color w:val="000000"/>
                <w:sz w:val="20"/>
                <w:szCs w:val="20"/>
                <w:lang w:val="en-US" w:eastAsia="en-GB"/>
              </w:rPr>
              <w:t>%</w:t>
            </w:r>
            <w:r w:rsidRPr="00A6319C">
              <w:rPr>
                <w:bCs/>
                <w:color w:val="000000"/>
                <w:sz w:val="20"/>
                <w:szCs w:val="20"/>
                <w:lang w:val="en-US" w:eastAsia="en-GB"/>
              </w:rPr>
              <w:t>Domestic</w:t>
            </w:r>
          </w:p>
        </w:tc>
        <w:tc>
          <w:tcPr>
            <w:tcW w:w="2663" w:type="pct"/>
          </w:tcPr>
          <w:p w14:paraId="39706639" w14:textId="77777777" w:rsidR="001631C6" w:rsidRPr="00DC68DD" w:rsidRDefault="001631C6" w:rsidP="008F5322">
            <w:pPr>
              <w:rPr>
                <w:bCs/>
                <w:color w:val="000000"/>
                <w:sz w:val="20"/>
                <w:szCs w:val="20"/>
                <w:lang w:val="en-US" w:eastAsia="en-GB"/>
              </w:rPr>
            </w:pPr>
            <w:r w:rsidRPr="00A6319C">
              <w:rPr>
                <w:bCs/>
                <w:color w:val="000000"/>
                <w:sz w:val="20"/>
                <w:szCs w:val="20"/>
                <w:lang w:val="en-US" w:eastAsia="en-GB"/>
              </w:rPr>
              <w:t>Allocation percentage to geographic region encompassing issuer’s country of incorporation.</w:t>
            </w:r>
          </w:p>
        </w:tc>
        <w:tc>
          <w:tcPr>
            <w:tcW w:w="1244" w:type="pct"/>
          </w:tcPr>
          <w:p w14:paraId="280E5C72" w14:textId="77777777" w:rsidR="001631C6" w:rsidRPr="00DC68DD" w:rsidRDefault="001631C6" w:rsidP="008F5322">
            <w:pPr>
              <w:rPr>
                <w:bCs/>
                <w:color w:val="000000"/>
                <w:sz w:val="20"/>
                <w:szCs w:val="20"/>
                <w:lang w:val="en-US" w:eastAsia="en-GB"/>
              </w:rPr>
            </w:pPr>
            <w:r w:rsidRPr="00A6319C">
              <w:rPr>
                <w:bCs/>
                <w:color w:val="000000"/>
                <w:sz w:val="20"/>
                <w:szCs w:val="20"/>
                <w:lang w:val="en-US" w:eastAsia="en-GB"/>
              </w:rPr>
              <w:t>IGM Deal Navigator</w:t>
            </w:r>
          </w:p>
        </w:tc>
      </w:tr>
      <w:tr w:rsidR="001631C6" w:rsidRPr="00DC68DD" w14:paraId="082BB738" w14:textId="77777777" w:rsidTr="008F5322">
        <w:trPr>
          <w:trHeight w:val="123"/>
        </w:trPr>
        <w:tc>
          <w:tcPr>
            <w:tcW w:w="1093" w:type="pct"/>
          </w:tcPr>
          <w:p w14:paraId="130DD30E" w14:textId="77777777" w:rsidR="001631C6" w:rsidRDefault="001631C6" w:rsidP="008F5322">
            <w:pPr>
              <w:rPr>
                <w:bCs/>
                <w:color w:val="000000"/>
                <w:sz w:val="20"/>
                <w:szCs w:val="20"/>
                <w:lang w:val="en-US" w:eastAsia="en-GB"/>
              </w:rPr>
            </w:pPr>
            <w:r>
              <w:rPr>
                <w:bCs/>
                <w:color w:val="000000"/>
                <w:sz w:val="20"/>
                <w:szCs w:val="20"/>
                <w:lang w:val="en-US" w:eastAsia="en-GB"/>
              </w:rPr>
              <w:t>Oversubscription</w:t>
            </w:r>
          </w:p>
        </w:tc>
        <w:tc>
          <w:tcPr>
            <w:tcW w:w="2663" w:type="pct"/>
          </w:tcPr>
          <w:p w14:paraId="14666C85" w14:textId="77777777" w:rsidR="001631C6" w:rsidRPr="00A6319C" w:rsidRDefault="001631C6" w:rsidP="008F5322">
            <w:pPr>
              <w:rPr>
                <w:bCs/>
                <w:color w:val="000000"/>
                <w:sz w:val="20"/>
                <w:szCs w:val="20"/>
                <w:lang w:val="en-US" w:eastAsia="en-GB"/>
              </w:rPr>
            </w:pPr>
            <w:r>
              <w:rPr>
                <w:bCs/>
                <w:color w:val="000000"/>
                <w:sz w:val="20"/>
                <w:szCs w:val="20"/>
                <w:lang w:val="en-US" w:eastAsia="en-GB"/>
              </w:rPr>
              <w:t>Orderbook size divided by tranche size</w:t>
            </w:r>
          </w:p>
        </w:tc>
        <w:tc>
          <w:tcPr>
            <w:tcW w:w="1244" w:type="pct"/>
          </w:tcPr>
          <w:p w14:paraId="385DF924" w14:textId="77777777" w:rsidR="001631C6" w:rsidRPr="00A6319C" w:rsidRDefault="001631C6" w:rsidP="008F5322">
            <w:pPr>
              <w:rPr>
                <w:bCs/>
                <w:color w:val="000000"/>
                <w:sz w:val="20"/>
                <w:szCs w:val="20"/>
                <w:lang w:val="en-US" w:eastAsia="en-GB"/>
              </w:rPr>
            </w:pPr>
            <w:r>
              <w:rPr>
                <w:bCs/>
                <w:color w:val="000000"/>
                <w:sz w:val="20"/>
                <w:szCs w:val="20"/>
                <w:lang w:val="en-US" w:eastAsia="en-GB"/>
              </w:rPr>
              <w:t>IFR, GlobalCapital</w:t>
            </w:r>
          </w:p>
        </w:tc>
      </w:tr>
    </w:tbl>
    <w:p w14:paraId="10208A5B" w14:textId="77777777" w:rsidR="001631C6" w:rsidRDefault="001631C6" w:rsidP="001631C6">
      <w:pPr>
        <w:rPr>
          <w:lang w:val="en-US"/>
        </w:rPr>
      </w:pPr>
    </w:p>
    <w:p w14:paraId="2BA137C6" w14:textId="77777777" w:rsidR="00007479" w:rsidRDefault="00007479" w:rsidP="001631C6">
      <w:pPr>
        <w:rPr>
          <w:b/>
          <w:lang w:val="en-US"/>
        </w:rPr>
      </w:pPr>
    </w:p>
    <w:p w14:paraId="180008F5" w14:textId="77777777" w:rsidR="00007479" w:rsidRDefault="00007479" w:rsidP="001631C6">
      <w:pPr>
        <w:rPr>
          <w:b/>
          <w:lang w:val="en-US"/>
        </w:rPr>
      </w:pPr>
    </w:p>
    <w:p w14:paraId="2BCABBAC" w14:textId="77777777" w:rsidR="00007479" w:rsidRDefault="00007479" w:rsidP="001631C6">
      <w:pPr>
        <w:rPr>
          <w:b/>
          <w:lang w:val="en-US"/>
        </w:rPr>
      </w:pPr>
    </w:p>
    <w:p w14:paraId="42910934" w14:textId="77777777" w:rsidR="00007479" w:rsidRDefault="00007479" w:rsidP="001631C6">
      <w:pPr>
        <w:rPr>
          <w:b/>
          <w:lang w:val="en-US"/>
        </w:rPr>
      </w:pPr>
    </w:p>
    <w:p w14:paraId="4B688293" w14:textId="1B8E70FB" w:rsidR="001631C6" w:rsidRPr="00207BB5" w:rsidRDefault="001631C6" w:rsidP="001631C6">
      <w:pPr>
        <w:rPr>
          <w:b/>
          <w:lang w:val="en-US"/>
        </w:rPr>
      </w:pPr>
      <w:r w:rsidRPr="00207BB5">
        <w:rPr>
          <w:b/>
          <w:lang w:val="en-US"/>
        </w:rPr>
        <w:lastRenderedPageBreak/>
        <w:t>Table 1 (cont’d)</w:t>
      </w:r>
    </w:p>
    <w:p w14:paraId="0366201E" w14:textId="77777777" w:rsidR="001631C6" w:rsidRPr="00207BB5" w:rsidRDefault="001631C6" w:rsidP="001631C6">
      <w:pPr>
        <w:pStyle w:val="Heading2"/>
        <w:spacing w:before="0"/>
        <w:rPr>
          <w:rFonts w:cs="Times New Roman"/>
          <w:b/>
          <w:szCs w:val="24"/>
          <w:lang w:val="en-US"/>
        </w:rPr>
      </w:pPr>
      <w:r w:rsidRPr="00207BB5">
        <w:rPr>
          <w:rFonts w:cs="Times New Roman"/>
          <w:szCs w:val="24"/>
          <w:lang w:val="en-US"/>
        </w:rPr>
        <w:t>Variable definitions and data sources.</w:t>
      </w:r>
    </w:p>
    <w:tbl>
      <w:tblPr>
        <w:tblW w:w="5000" w:type="pct"/>
        <w:tblBorders>
          <w:top w:val="single" w:sz="4" w:space="0" w:color="auto"/>
          <w:bottom w:val="single" w:sz="4" w:space="0" w:color="auto"/>
        </w:tblBorders>
        <w:tblLook w:val="04A0" w:firstRow="1" w:lastRow="0" w:firstColumn="1" w:lastColumn="0" w:noHBand="0" w:noVBand="1"/>
      </w:tblPr>
      <w:tblGrid>
        <w:gridCol w:w="1973"/>
        <w:gridCol w:w="4807"/>
        <w:gridCol w:w="2246"/>
      </w:tblGrid>
      <w:tr w:rsidR="001631C6" w:rsidRPr="00DC68DD" w14:paraId="6C3F9972" w14:textId="77777777" w:rsidTr="008F5322">
        <w:trPr>
          <w:trHeight w:val="80"/>
        </w:trPr>
        <w:tc>
          <w:tcPr>
            <w:tcW w:w="5000" w:type="pct"/>
            <w:gridSpan w:val="3"/>
            <w:hideMark/>
          </w:tcPr>
          <w:p w14:paraId="7FEAC2C9" w14:textId="77777777" w:rsidR="001631C6" w:rsidRPr="00DC68DD" w:rsidRDefault="001631C6" w:rsidP="008F5322">
            <w:pPr>
              <w:rPr>
                <w:bCs/>
                <w:color w:val="000000"/>
                <w:sz w:val="20"/>
                <w:szCs w:val="20"/>
                <w:lang w:val="en-US" w:eastAsia="en-GB"/>
              </w:rPr>
            </w:pPr>
            <w:r w:rsidRPr="00DC68DD">
              <w:rPr>
                <w:bCs/>
                <w:i/>
                <w:color w:val="000000"/>
                <w:sz w:val="20"/>
                <w:szCs w:val="20"/>
                <w:lang w:val="en-US" w:eastAsia="en-GB"/>
              </w:rPr>
              <w:t>Panel C: Instrumental and control variables</w:t>
            </w:r>
          </w:p>
        </w:tc>
      </w:tr>
      <w:tr w:rsidR="001631C6" w:rsidRPr="00DC68DD" w14:paraId="3B47E5A3" w14:textId="77777777" w:rsidTr="008F5322">
        <w:trPr>
          <w:trHeight w:val="123"/>
        </w:trPr>
        <w:tc>
          <w:tcPr>
            <w:tcW w:w="1093" w:type="pct"/>
            <w:hideMark/>
          </w:tcPr>
          <w:p w14:paraId="5EEE9124"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Ln (No</w:t>
            </w:r>
            <w:r>
              <w:rPr>
                <w:bCs/>
                <w:color w:val="000000"/>
                <w:sz w:val="20"/>
                <w:szCs w:val="20"/>
                <w:lang w:val="en-US" w:eastAsia="en-GB"/>
              </w:rPr>
              <w:t>. of</w:t>
            </w:r>
            <w:r w:rsidRPr="00DC68DD">
              <w:rPr>
                <w:bCs/>
                <w:color w:val="000000"/>
                <w:sz w:val="20"/>
                <w:szCs w:val="20"/>
                <w:lang w:val="en-US" w:eastAsia="en-GB"/>
              </w:rPr>
              <w:t xml:space="preserve"> bonds)</w:t>
            </w:r>
          </w:p>
        </w:tc>
        <w:tc>
          <w:tcPr>
            <w:tcW w:w="2663" w:type="pct"/>
            <w:hideMark/>
          </w:tcPr>
          <w:p w14:paraId="0142ED1F" w14:textId="77777777" w:rsidR="001631C6" w:rsidRPr="00DC68DD" w:rsidRDefault="001631C6" w:rsidP="008F5322">
            <w:pPr>
              <w:rPr>
                <w:bCs/>
                <w:color w:val="000000"/>
                <w:sz w:val="20"/>
                <w:szCs w:val="20"/>
                <w:lang w:val="en-US" w:eastAsia="en-GB"/>
              </w:rPr>
            </w:pPr>
            <w:r w:rsidRPr="00DC68DD">
              <w:rPr>
                <w:sz w:val="20"/>
                <w:szCs w:val="20"/>
                <w:lang w:val="en-US" w:eastAsia="en-GB"/>
              </w:rPr>
              <w:t>The natural logarithm of the number of euro-denominated bond</w:t>
            </w:r>
            <w:r>
              <w:rPr>
                <w:sz w:val="20"/>
                <w:szCs w:val="20"/>
                <w:lang w:val="en-US" w:eastAsia="en-GB"/>
              </w:rPr>
              <w:t xml:space="preserve"> </w:t>
            </w:r>
            <w:r w:rsidRPr="00327F2C">
              <w:rPr>
                <w:sz w:val="20"/>
                <w:szCs w:val="20"/>
                <w:lang w:val="en-US" w:eastAsia="en-GB"/>
              </w:rPr>
              <w:t xml:space="preserve">(high yield and investment grade) </w:t>
            </w:r>
            <w:r w:rsidRPr="00DC68DD">
              <w:rPr>
                <w:sz w:val="20"/>
                <w:szCs w:val="20"/>
                <w:lang w:val="en-US" w:eastAsia="en-GB"/>
              </w:rPr>
              <w:t>tranches issued by firms incorporated in each country in each month during the sample period.</w:t>
            </w:r>
          </w:p>
        </w:tc>
        <w:tc>
          <w:tcPr>
            <w:tcW w:w="1244" w:type="pct"/>
            <w:hideMark/>
          </w:tcPr>
          <w:p w14:paraId="7F8F65F8"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w:t>
            </w:r>
          </w:p>
        </w:tc>
      </w:tr>
      <w:tr w:rsidR="001631C6" w:rsidRPr="00DC68DD" w14:paraId="30A2942C" w14:textId="77777777" w:rsidTr="008F5322">
        <w:trPr>
          <w:trHeight w:val="123"/>
        </w:trPr>
        <w:tc>
          <w:tcPr>
            <w:tcW w:w="1093" w:type="pct"/>
            <w:hideMark/>
          </w:tcPr>
          <w:p w14:paraId="50417E0C"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Ln (Firm size)</w:t>
            </w:r>
          </w:p>
        </w:tc>
        <w:tc>
          <w:tcPr>
            <w:tcW w:w="2663" w:type="pct"/>
            <w:hideMark/>
          </w:tcPr>
          <w:p w14:paraId="7B8D7869" w14:textId="77777777" w:rsidR="001631C6" w:rsidRPr="00DC68DD" w:rsidRDefault="001631C6" w:rsidP="008F5322">
            <w:pPr>
              <w:rPr>
                <w:bCs/>
                <w:color w:val="000000"/>
                <w:sz w:val="20"/>
                <w:szCs w:val="20"/>
                <w:lang w:val="en-US" w:eastAsia="en-GB"/>
              </w:rPr>
            </w:pPr>
            <w:r w:rsidRPr="00DC68DD">
              <w:rPr>
                <w:sz w:val="20"/>
                <w:szCs w:val="20"/>
                <w:lang w:val="en-US" w:eastAsia="en-GB"/>
              </w:rPr>
              <w:t>The natural logarithm of the issuer’s book value of total assets in € billions.</w:t>
            </w:r>
          </w:p>
        </w:tc>
        <w:tc>
          <w:tcPr>
            <w:tcW w:w="1244" w:type="pct"/>
            <w:hideMark/>
          </w:tcPr>
          <w:p w14:paraId="7D513D1E"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Worldscope</w:t>
            </w:r>
          </w:p>
        </w:tc>
      </w:tr>
      <w:tr w:rsidR="001631C6" w:rsidRPr="00DC68DD" w14:paraId="672E8A0C" w14:textId="77777777" w:rsidTr="008F5322">
        <w:trPr>
          <w:trHeight w:val="123"/>
        </w:trPr>
        <w:tc>
          <w:tcPr>
            <w:tcW w:w="1093" w:type="pct"/>
            <w:hideMark/>
          </w:tcPr>
          <w:p w14:paraId="681B2197"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Profitability</w:t>
            </w:r>
          </w:p>
        </w:tc>
        <w:tc>
          <w:tcPr>
            <w:tcW w:w="2663" w:type="pct"/>
            <w:hideMark/>
          </w:tcPr>
          <w:p w14:paraId="73E4943D" w14:textId="77777777" w:rsidR="001631C6" w:rsidRPr="00DC68DD" w:rsidRDefault="001631C6" w:rsidP="008F5322">
            <w:pPr>
              <w:rPr>
                <w:bCs/>
                <w:color w:val="000000"/>
                <w:sz w:val="20"/>
                <w:szCs w:val="20"/>
                <w:lang w:val="en-US" w:eastAsia="en-GB"/>
              </w:rPr>
            </w:pPr>
            <w:r w:rsidRPr="00DC68DD">
              <w:rPr>
                <w:sz w:val="20"/>
                <w:szCs w:val="20"/>
                <w:lang w:val="en-US" w:eastAsia="en-GB"/>
              </w:rPr>
              <w:t>Earnings before interest, taxes, depreciation and amortization (EBITDA) divided by book value of total assets.</w:t>
            </w:r>
          </w:p>
        </w:tc>
        <w:tc>
          <w:tcPr>
            <w:tcW w:w="1244" w:type="pct"/>
            <w:hideMark/>
          </w:tcPr>
          <w:p w14:paraId="2317E811"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Worldscope</w:t>
            </w:r>
          </w:p>
        </w:tc>
      </w:tr>
      <w:tr w:rsidR="001631C6" w:rsidRPr="00DC68DD" w14:paraId="5A630ACA" w14:textId="77777777" w:rsidTr="008F5322">
        <w:trPr>
          <w:trHeight w:val="123"/>
        </w:trPr>
        <w:tc>
          <w:tcPr>
            <w:tcW w:w="1093" w:type="pct"/>
            <w:hideMark/>
          </w:tcPr>
          <w:p w14:paraId="7F72DF33"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Intangible assets</w:t>
            </w:r>
          </w:p>
        </w:tc>
        <w:tc>
          <w:tcPr>
            <w:tcW w:w="2663" w:type="pct"/>
            <w:hideMark/>
          </w:tcPr>
          <w:p w14:paraId="74E9967E" w14:textId="77777777" w:rsidR="001631C6" w:rsidRPr="00DC68DD" w:rsidRDefault="001631C6" w:rsidP="008F5322">
            <w:pPr>
              <w:rPr>
                <w:bCs/>
                <w:color w:val="000000"/>
                <w:sz w:val="20"/>
                <w:szCs w:val="20"/>
                <w:lang w:val="en-US" w:eastAsia="en-GB"/>
              </w:rPr>
            </w:pPr>
            <w:r w:rsidRPr="00DC68DD">
              <w:rPr>
                <w:sz w:val="20"/>
                <w:szCs w:val="20"/>
                <w:lang w:val="en-US" w:eastAsia="en-GB"/>
              </w:rPr>
              <w:t>One minus the ratio of net property, plant, and equipment divided by the book value of total assets.</w:t>
            </w:r>
          </w:p>
        </w:tc>
        <w:tc>
          <w:tcPr>
            <w:tcW w:w="1244" w:type="pct"/>
            <w:hideMark/>
          </w:tcPr>
          <w:p w14:paraId="403F606D"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Worldscope</w:t>
            </w:r>
          </w:p>
        </w:tc>
      </w:tr>
      <w:tr w:rsidR="001631C6" w:rsidRPr="00DC68DD" w14:paraId="5175D068" w14:textId="77777777" w:rsidTr="008F5322">
        <w:trPr>
          <w:trHeight w:val="123"/>
        </w:trPr>
        <w:tc>
          <w:tcPr>
            <w:tcW w:w="1093" w:type="pct"/>
            <w:hideMark/>
          </w:tcPr>
          <w:p w14:paraId="24A1D561"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Leverage</w:t>
            </w:r>
          </w:p>
        </w:tc>
        <w:tc>
          <w:tcPr>
            <w:tcW w:w="2663" w:type="pct"/>
            <w:hideMark/>
          </w:tcPr>
          <w:p w14:paraId="6F83B696" w14:textId="77777777" w:rsidR="001631C6" w:rsidRPr="00DC68DD" w:rsidRDefault="001631C6" w:rsidP="008F5322">
            <w:pPr>
              <w:rPr>
                <w:bCs/>
                <w:color w:val="000000"/>
                <w:sz w:val="20"/>
                <w:szCs w:val="20"/>
                <w:lang w:val="en-US" w:eastAsia="en-GB"/>
              </w:rPr>
            </w:pPr>
            <w:r w:rsidRPr="00DC68DD">
              <w:rPr>
                <w:sz w:val="20"/>
                <w:szCs w:val="20"/>
                <w:lang w:val="en-US" w:eastAsia="en-GB"/>
              </w:rPr>
              <w:t>Book value of total debt divided by total assets.</w:t>
            </w:r>
          </w:p>
        </w:tc>
        <w:tc>
          <w:tcPr>
            <w:tcW w:w="1244" w:type="pct"/>
          </w:tcPr>
          <w:p w14:paraId="2B009C38"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Worldscope</w:t>
            </w:r>
          </w:p>
        </w:tc>
      </w:tr>
      <w:tr w:rsidR="001631C6" w:rsidRPr="00DC68DD" w14:paraId="70100122" w14:textId="77777777" w:rsidTr="008F5322">
        <w:trPr>
          <w:trHeight w:val="123"/>
        </w:trPr>
        <w:tc>
          <w:tcPr>
            <w:tcW w:w="1093" w:type="pct"/>
            <w:hideMark/>
          </w:tcPr>
          <w:p w14:paraId="2FC90B3C"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Growth opportunities</w:t>
            </w:r>
          </w:p>
        </w:tc>
        <w:tc>
          <w:tcPr>
            <w:tcW w:w="2663" w:type="pct"/>
            <w:hideMark/>
          </w:tcPr>
          <w:p w14:paraId="4EC0D463" w14:textId="77777777" w:rsidR="001631C6" w:rsidRPr="00DC68DD" w:rsidRDefault="001631C6" w:rsidP="008F5322">
            <w:pPr>
              <w:rPr>
                <w:bCs/>
                <w:color w:val="000000"/>
                <w:sz w:val="20"/>
                <w:szCs w:val="20"/>
                <w:lang w:val="en-US" w:eastAsia="en-GB"/>
              </w:rPr>
            </w:pPr>
            <w:r w:rsidRPr="00DC68DD">
              <w:rPr>
                <w:sz w:val="20"/>
                <w:szCs w:val="20"/>
                <w:lang w:val="en-US" w:eastAsia="en-GB"/>
              </w:rPr>
              <w:t>Book value of total assets plus market value of equity minus book value of equity, divided by the book value of total assets.</w:t>
            </w:r>
          </w:p>
        </w:tc>
        <w:tc>
          <w:tcPr>
            <w:tcW w:w="1244" w:type="pct"/>
          </w:tcPr>
          <w:p w14:paraId="56A0C0C4"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Worldscope</w:t>
            </w:r>
          </w:p>
        </w:tc>
      </w:tr>
      <w:tr w:rsidR="001631C6" w:rsidRPr="00DC68DD" w14:paraId="61D9BD4F" w14:textId="77777777" w:rsidTr="008F5322">
        <w:trPr>
          <w:trHeight w:val="123"/>
        </w:trPr>
        <w:tc>
          <w:tcPr>
            <w:tcW w:w="1093" w:type="pct"/>
            <w:hideMark/>
          </w:tcPr>
          <w:p w14:paraId="31085EB4" w14:textId="77777777" w:rsidR="001631C6" w:rsidRPr="00DC68DD" w:rsidRDefault="001631C6" w:rsidP="008F5322">
            <w:pPr>
              <w:rPr>
                <w:bCs/>
                <w:color w:val="000000"/>
                <w:sz w:val="20"/>
                <w:szCs w:val="20"/>
                <w:lang w:val="en-US" w:eastAsia="en-GB"/>
              </w:rPr>
            </w:pPr>
            <w:r>
              <w:rPr>
                <w:color w:val="000000"/>
                <w:sz w:val="20"/>
                <w:szCs w:val="20"/>
                <w:lang w:val="en-US" w:eastAsia="en-GB"/>
              </w:rPr>
              <w:t>Government</w:t>
            </w:r>
            <w:r w:rsidRPr="00DC68DD">
              <w:rPr>
                <w:color w:val="000000"/>
                <w:sz w:val="20"/>
                <w:szCs w:val="20"/>
                <w:lang w:val="en-US" w:eastAsia="en-GB"/>
              </w:rPr>
              <w:t xml:space="preserve"> owned</w:t>
            </w:r>
          </w:p>
        </w:tc>
        <w:tc>
          <w:tcPr>
            <w:tcW w:w="2663" w:type="pct"/>
            <w:hideMark/>
          </w:tcPr>
          <w:p w14:paraId="2925E1DB" w14:textId="77777777" w:rsidR="001631C6" w:rsidRPr="00DC68DD" w:rsidRDefault="001631C6" w:rsidP="008F5322">
            <w:pPr>
              <w:rPr>
                <w:bCs/>
                <w:color w:val="000000"/>
                <w:sz w:val="20"/>
                <w:szCs w:val="20"/>
                <w:lang w:val="en-US" w:eastAsia="en-GB"/>
              </w:rPr>
            </w:pPr>
            <w:r w:rsidRPr="00DC68DD">
              <w:rPr>
                <w:sz w:val="20"/>
                <w:szCs w:val="20"/>
                <w:lang w:val="en-US" w:eastAsia="en-GB"/>
              </w:rPr>
              <w:t>An indicator variable equal to one if 50% or more of the firm’s shares are owned by the national government, and zero otherwise.</w:t>
            </w:r>
          </w:p>
        </w:tc>
        <w:tc>
          <w:tcPr>
            <w:tcW w:w="1244" w:type="pct"/>
            <w:hideMark/>
          </w:tcPr>
          <w:p w14:paraId="2D564675"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Company reports</w:t>
            </w:r>
          </w:p>
        </w:tc>
      </w:tr>
      <w:tr w:rsidR="001631C6" w:rsidRPr="00DC68DD" w14:paraId="0967FEB1" w14:textId="77777777" w:rsidTr="008F5322">
        <w:trPr>
          <w:trHeight w:val="123"/>
        </w:trPr>
        <w:tc>
          <w:tcPr>
            <w:tcW w:w="1093" w:type="pct"/>
            <w:hideMark/>
          </w:tcPr>
          <w:p w14:paraId="7940727C"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Credit rating</w:t>
            </w:r>
          </w:p>
        </w:tc>
        <w:tc>
          <w:tcPr>
            <w:tcW w:w="2663" w:type="pct"/>
            <w:hideMark/>
          </w:tcPr>
          <w:p w14:paraId="387509BD" w14:textId="77777777" w:rsidR="001631C6" w:rsidRPr="00DC68DD" w:rsidRDefault="001631C6" w:rsidP="008F5322">
            <w:pPr>
              <w:rPr>
                <w:bCs/>
                <w:color w:val="000000"/>
                <w:sz w:val="20"/>
                <w:szCs w:val="20"/>
                <w:lang w:val="en-US" w:eastAsia="en-GB"/>
              </w:rPr>
            </w:pPr>
            <w:r w:rsidRPr="00DC68DD">
              <w:rPr>
                <w:sz w:val="20"/>
                <w:szCs w:val="20"/>
                <w:lang w:val="en-US" w:eastAsia="en-GB"/>
              </w:rPr>
              <w:t>The numeric value for the S&amp;P rating assigned to the bond tranche on the issue date, ascending from 1 for AAA to 10 for BBB- and 11 for unrated tranches.</w:t>
            </w:r>
            <w:r>
              <w:rPr>
                <w:sz w:val="20"/>
                <w:szCs w:val="20"/>
                <w:lang w:val="en-US" w:eastAsia="en-GB"/>
              </w:rPr>
              <w:t xml:space="preserve"> In regression models we add a series of dummy variables for each rating.</w:t>
            </w:r>
          </w:p>
        </w:tc>
        <w:tc>
          <w:tcPr>
            <w:tcW w:w="1244" w:type="pct"/>
            <w:hideMark/>
          </w:tcPr>
          <w:p w14:paraId="7D0379E3"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S&amp;P</w:t>
            </w:r>
          </w:p>
        </w:tc>
      </w:tr>
      <w:tr w:rsidR="001631C6" w:rsidRPr="00DC68DD" w14:paraId="7941AE3F" w14:textId="77777777" w:rsidTr="008F5322">
        <w:trPr>
          <w:trHeight w:val="123"/>
        </w:trPr>
        <w:tc>
          <w:tcPr>
            <w:tcW w:w="1093" w:type="pct"/>
            <w:hideMark/>
          </w:tcPr>
          <w:p w14:paraId="75A27E46"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Ln (Maturity)</w:t>
            </w:r>
          </w:p>
        </w:tc>
        <w:tc>
          <w:tcPr>
            <w:tcW w:w="2663" w:type="pct"/>
            <w:hideMark/>
          </w:tcPr>
          <w:p w14:paraId="75D3498C" w14:textId="77777777" w:rsidR="001631C6" w:rsidRPr="00DC68DD" w:rsidRDefault="001631C6" w:rsidP="008F5322">
            <w:pPr>
              <w:rPr>
                <w:bCs/>
                <w:color w:val="000000"/>
                <w:sz w:val="20"/>
                <w:szCs w:val="20"/>
                <w:lang w:val="en-US" w:eastAsia="en-GB"/>
              </w:rPr>
            </w:pPr>
            <w:r w:rsidRPr="00DC68DD">
              <w:rPr>
                <w:sz w:val="20"/>
                <w:szCs w:val="20"/>
                <w:lang w:val="en-US" w:eastAsia="en-GB"/>
              </w:rPr>
              <w:t>The natural logarithm of the tenor of the tranche in years.</w:t>
            </w:r>
          </w:p>
        </w:tc>
        <w:tc>
          <w:tcPr>
            <w:tcW w:w="1244" w:type="pct"/>
            <w:hideMark/>
          </w:tcPr>
          <w:p w14:paraId="45B98575"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w:t>
            </w:r>
          </w:p>
        </w:tc>
      </w:tr>
      <w:tr w:rsidR="001631C6" w:rsidRPr="00DC68DD" w14:paraId="7EF3C03A" w14:textId="77777777" w:rsidTr="008F5322">
        <w:trPr>
          <w:trHeight w:val="123"/>
        </w:trPr>
        <w:tc>
          <w:tcPr>
            <w:tcW w:w="1093" w:type="pct"/>
            <w:hideMark/>
          </w:tcPr>
          <w:p w14:paraId="67C6916F"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Ln (Tranche size)</w:t>
            </w:r>
          </w:p>
        </w:tc>
        <w:tc>
          <w:tcPr>
            <w:tcW w:w="2663" w:type="pct"/>
            <w:hideMark/>
          </w:tcPr>
          <w:p w14:paraId="47C6348D" w14:textId="77777777" w:rsidR="001631C6" w:rsidRPr="00DC68DD" w:rsidRDefault="001631C6" w:rsidP="008F5322">
            <w:pPr>
              <w:rPr>
                <w:bCs/>
                <w:color w:val="000000"/>
                <w:sz w:val="20"/>
                <w:szCs w:val="20"/>
                <w:lang w:val="en-US" w:eastAsia="en-GB"/>
              </w:rPr>
            </w:pPr>
            <w:r w:rsidRPr="00DC68DD">
              <w:rPr>
                <w:sz w:val="20"/>
                <w:szCs w:val="20"/>
                <w:lang w:val="en-US" w:eastAsia="en-GB"/>
              </w:rPr>
              <w:t>The natural logarithm of the amount issued in € millions.</w:t>
            </w:r>
          </w:p>
        </w:tc>
        <w:tc>
          <w:tcPr>
            <w:tcW w:w="1244" w:type="pct"/>
            <w:hideMark/>
          </w:tcPr>
          <w:p w14:paraId="19DAEE46"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w:t>
            </w:r>
          </w:p>
        </w:tc>
      </w:tr>
      <w:tr w:rsidR="001631C6" w:rsidRPr="00DC68DD" w14:paraId="1EC344D4" w14:textId="77777777" w:rsidTr="008F5322">
        <w:trPr>
          <w:trHeight w:val="123"/>
        </w:trPr>
        <w:tc>
          <w:tcPr>
            <w:tcW w:w="1093" w:type="pct"/>
            <w:hideMark/>
          </w:tcPr>
          <w:p w14:paraId="6822783D" w14:textId="77777777" w:rsidR="001631C6" w:rsidRPr="00DC68DD" w:rsidRDefault="001631C6" w:rsidP="008F5322">
            <w:pPr>
              <w:rPr>
                <w:bCs/>
                <w:color w:val="000000"/>
                <w:sz w:val="20"/>
                <w:szCs w:val="20"/>
                <w:lang w:val="en-US" w:eastAsia="en-GB"/>
              </w:rPr>
            </w:pPr>
            <w:r w:rsidRPr="00DC68DD">
              <w:rPr>
                <w:color w:val="000000"/>
                <w:sz w:val="20"/>
                <w:szCs w:val="20"/>
                <w:lang w:val="en-US" w:eastAsia="en-GB"/>
              </w:rPr>
              <w:t>Multi-tranche</w:t>
            </w:r>
          </w:p>
        </w:tc>
        <w:tc>
          <w:tcPr>
            <w:tcW w:w="2663" w:type="pct"/>
            <w:hideMark/>
          </w:tcPr>
          <w:p w14:paraId="0D6BB014" w14:textId="77777777" w:rsidR="001631C6" w:rsidRPr="00DC68DD" w:rsidRDefault="001631C6" w:rsidP="008F5322">
            <w:pPr>
              <w:rPr>
                <w:bCs/>
                <w:color w:val="000000"/>
                <w:sz w:val="20"/>
                <w:szCs w:val="20"/>
                <w:lang w:val="en-US" w:eastAsia="en-GB"/>
              </w:rPr>
            </w:pPr>
            <w:r w:rsidRPr="00DC68DD">
              <w:rPr>
                <w:sz w:val="20"/>
                <w:szCs w:val="20"/>
                <w:lang w:val="en-US" w:eastAsia="en-GB"/>
              </w:rPr>
              <w:t xml:space="preserve">An indicator variable equal to one if the issuer sells </w:t>
            </w:r>
            <w:r>
              <w:rPr>
                <w:sz w:val="20"/>
                <w:szCs w:val="20"/>
                <w:lang w:val="en-US" w:eastAsia="en-GB"/>
              </w:rPr>
              <w:t>two</w:t>
            </w:r>
            <w:r w:rsidRPr="00DC68DD">
              <w:rPr>
                <w:sz w:val="20"/>
                <w:szCs w:val="20"/>
                <w:lang w:val="en-US" w:eastAsia="en-GB"/>
              </w:rPr>
              <w:t xml:space="preserve"> or more </w:t>
            </w:r>
            <w:r>
              <w:rPr>
                <w:sz w:val="20"/>
                <w:szCs w:val="20"/>
                <w:lang w:val="en-US" w:eastAsia="en-GB"/>
              </w:rPr>
              <w:t xml:space="preserve">euro-denominated </w:t>
            </w:r>
            <w:r w:rsidRPr="00DC68DD">
              <w:rPr>
                <w:sz w:val="20"/>
                <w:szCs w:val="20"/>
                <w:lang w:val="en-US" w:eastAsia="en-GB"/>
              </w:rPr>
              <w:t>tranches on the same day, and zero otherwise.</w:t>
            </w:r>
          </w:p>
        </w:tc>
        <w:tc>
          <w:tcPr>
            <w:tcW w:w="1244" w:type="pct"/>
            <w:hideMark/>
          </w:tcPr>
          <w:p w14:paraId="774EA2AA" w14:textId="77777777" w:rsidR="001631C6" w:rsidRPr="00DC68DD" w:rsidRDefault="001631C6" w:rsidP="008F5322">
            <w:pPr>
              <w:rPr>
                <w:bCs/>
                <w:color w:val="000000"/>
                <w:sz w:val="20"/>
                <w:szCs w:val="20"/>
                <w:lang w:val="en-US" w:eastAsia="en-GB"/>
              </w:rPr>
            </w:pPr>
            <w:r w:rsidRPr="00DC68DD">
              <w:rPr>
                <w:bCs/>
                <w:color w:val="000000"/>
                <w:sz w:val="20"/>
                <w:szCs w:val="20"/>
                <w:lang w:val="en-US" w:eastAsia="en-GB"/>
              </w:rPr>
              <w:t>Dealogic</w:t>
            </w:r>
          </w:p>
        </w:tc>
      </w:tr>
      <w:tr w:rsidR="001631C6" w:rsidRPr="00DC68DD" w14:paraId="26B63434" w14:textId="77777777" w:rsidTr="008F5322">
        <w:trPr>
          <w:trHeight w:val="123"/>
        </w:trPr>
        <w:tc>
          <w:tcPr>
            <w:tcW w:w="1093" w:type="pct"/>
            <w:tcBorders>
              <w:bottom w:val="nil"/>
            </w:tcBorders>
          </w:tcPr>
          <w:p w14:paraId="4434303D" w14:textId="77777777" w:rsidR="001631C6" w:rsidRPr="00327F2C" w:rsidRDefault="001631C6" w:rsidP="008F5322">
            <w:pPr>
              <w:rPr>
                <w:sz w:val="20"/>
                <w:szCs w:val="20"/>
                <w:lang w:val="en-US" w:eastAsia="en-GB"/>
              </w:rPr>
            </w:pPr>
            <w:r w:rsidRPr="00327F2C">
              <w:rPr>
                <w:sz w:val="20"/>
                <w:szCs w:val="20"/>
                <w:lang w:val="en-US" w:eastAsia="en-GB"/>
              </w:rPr>
              <w:t>AA-BBB spread</w:t>
            </w:r>
          </w:p>
        </w:tc>
        <w:tc>
          <w:tcPr>
            <w:tcW w:w="2663" w:type="pct"/>
            <w:tcBorders>
              <w:bottom w:val="nil"/>
            </w:tcBorders>
          </w:tcPr>
          <w:p w14:paraId="212B68FB" w14:textId="77777777" w:rsidR="001631C6" w:rsidRPr="00327F2C" w:rsidRDefault="001631C6" w:rsidP="008F5322">
            <w:pPr>
              <w:rPr>
                <w:sz w:val="20"/>
                <w:szCs w:val="20"/>
                <w:lang w:val="en-US" w:eastAsia="en-GB"/>
              </w:rPr>
            </w:pPr>
            <w:r w:rsidRPr="00327F2C">
              <w:rPr>
                <w:sz w:val="20"/>
                <w:szCs w:val="20"/>
                <w:lang w:val="en-US" w:eastAsia="en-GB"/>
              </w:rPr>
              <w:t>The average credit spread for all BBB bonds minus the average credit spread for AA rated bonds in the calendar quarter of the current bond issue.</w:t>
            </w:r>
          </w:p>
        </w:tc>
        <w:tc>
          <w:tcPr>
            <w:tcW w:w="1244" w:type="pct"/>
            <w:tcBorders>
              <w:bottom w:val="nil"/>
            </w:tcBorders>
          </w:tcPr>
          <w:p w14:paraId="19673057" w14:textId="77777777" w:rsidR="001631C6" w:rsidRPr="00327F2C" w:rsidRDefault="001631C6" w:rsidP="008F5322">
            <w:pPr>
              <w:rPr>
                <w:bCs/>
                <w:sz w:val="20"/>
                <w:szCs w:val="20"/>
                <w:lang w:val="en-US" w:eastAsia="en-GB"/>
              </w:rPr>
            </w:pPr>
            <w:r w:rsidRPr="00327F2C">
              <w:rPr>
                <w:bCs/>
                <w:sz w:val="20"/>
                <w:szCs w:val="20"/>
                <w:lang w:val="en-US" w:eastAsia="en-GB"/>
              </w:rPr>
              <w:t>Dealogic</w:t>
            </w:r>
          </w:p>
        </w:tc>
      </w:tr>
      <w:tr w:rsidR="001631C6" w:rsidRPr="00DC68DD" w14:paraId="22027BE6" w14:textId="77777777" w:rsidTr="008F5322">
        <w:trPr>
          <w:trHeight w:val="123"/>
        </w:trPr>
        <w:tc>
          <w:tcPr>
            <w:tcW w:w="1093" w:type="pct"/>
            <w:tcBorders>
              <w:top w:val="nil"/>
              <w:bottom w:val="nil"/>
            </w:tcBorders>
          </w:tcPr>
          <w:p w14:paraId="36FD6404" w14:textId="77777777" w:rsidR="001631C6" w:rsidRPr="00327F2C" w:rsidRDefault="001631C6" w:rsidP="008F5322">
            <w:pPr>
              <w:rPr>
                <w:sz w:val="20"/>
                <w:szCs w:val="20"/>
                <w:lang w:val="en-US" w:eastAsia="en-GB"/>
              </w:rPr>
            </w:pPr>
            <w:r w:rsidRPr="00327F2C">
              <w:rPr>
                <w:sz w:val="20"/>
                <w:szCs w:val="20"/>
                <w:lang w:val="en-US" w:eastAsia="en-GB"/>
              </w:rPr>
              <w:t>Pre-Crisis</w:t>
            </w:r>
          </w:p>
        </w:tc>
        <w:tc>
          <w:tcPr>
            <w:tcW w:w="2663" w:type="pct"/>
            <w:tcBorders>
              <w:top w:val="nil"/>
              <w:bottom w:val="nil"/>
            </w:tcBorders>
          </w:tcPr>
          <w:p w14:paraId="31F2BEFA" w14:textId="77777777" w:rsidR="001631C6" w:rsidRPr="00327F2C" w:rsidRDefault="001631C6" w:rsidP="008F5322">
            <w:pPr>
              <w:rPr>
                <w:sz w:val="20"/>
                <w:szCs w:val="20"/>
                <w:lang w:val="en-US" w:eastAsia="en-GB"/>
              </w:rPr>
            </w:pPr>
            <w:r w:rsidRPr="00327F2C">
              <w:rPr>
                <w:sz w:val="20"/>
                <w:szCs w:val="20"/>
                <w:lang w:val="en-US" w:eastAsia="en-GB"/>
              </w:rPr>
              <w:t>An indicator variable equal to one if the bond issue takes place before November 2006 and zero otherwise.</w:t>
            </w:r>
          </w:p>
        </w:tc>
        <w:tc>
          <w:tcPr>
            <w:tcW w:w="1244" w:type="pct"/>
            <w:tcBorders>
              <w:top w:val="nil"/>
              <w:bottom w:val="nil"/>
            </w:tcBorders>
          </w:tcPr>
          <w:p w14:paraId="48954846" w14:textId="77777777" w:rsidR="001631C6" w:rsidRPr="00327F2C" w:rsidRDefault="001631C6" w:rsidP="008F5322">
            <w:pPr>
              <w:rPr>
                <w:bCs/>
                <w:sz w:val="20"/>
                <w:szCs w:val="20"/>
                <w:lang w:val="en-US" w:eastAsia="en-GB"/>
              </w:rPr>
            </w:pPr>
            <w:r w:rsidRPr="00327F2C">
              <w:rPr>
                <w:bCs/>
                <w:sz w:val="20"/>
                <w:szCs w:val="20"/>
                <w:lang w:val="en-US" w:eastAsia="en-GB"/>
              </w:rPr>
              <w:t>Dealogic</w:t>
            </w:r>
          </w:p>
        </w:tc>
      </w:tr>
      <w:tr w:rsidR="001631C6" w:rsidRPr="00DC68DD" w14:paraId="3E6D1D6D" w14:textId="77777777" w:rsidTr="008F5322">
        <w:trPr>
          <w:trHeight w:val="123"/>
        </w:trPr>
        <w:tc>
          <w:tcPr>
            <w:tcW w:w="1093" w:type="pct"/>
            <w:tcBorders>
              <w:top w:val="nil"/>
              <w:bottom w:val="nil"/>
            </w:tcBorders>
          </w:tcPr>
          <w:p w14:paraId="5457F18F" w14:textId="77777777" w:rsidR="001631C6" w:rsidRPr="00327F2C" w:rsidRDefault="001631C6" w:rsidP="008F5322">
            <w:pPr>
              <w:rPr>
                <w:sz w:val="20"/>
                <w:szCs w:val="20"/>
                <w:lang w:val="en-US" w:eastAsia="en-GB"/>
              </w:rPr>
            </w:pPr>
            <w:r w:rsidRPr="00327F2C">
              <w:rPr>
                <w:sz w:val="20"/>
                <w:szCs w:val="20"/>
                <w:lang w:val="en-US" w:eastAsia="en-GB"/>
              </w:rPr>
              <w:t>Crisis</w:t>
            </w:r>
          </w:p>
        </w:tc>
        <w:tc>
          <w:tcPr>
            <w:tcW w:w="2663" w:type="pct"/>
            <w:tcBorders>
              <w:top w:val="nil"/>
              <w:bottom w:val="nil"/>
            </w:tcBorders>
          </w:tcPr>
          <w:p w14:paraId="4CDACDF8" w14:textId="77777777" w:rsidR="001631C6" w:rsidRPr="00327F2C" w:rsidRDefault="001631C6" w:rsidP="008F5322">
            <w:pPr>
              <w:rPr>
                <w:sz w:val="20"/>
                <w:szCs w:val="20"/>
                <w:lang w:val="en-US" w:eastAsia="en-GB"/>
              </w:rPr>
            </w:pPr>
            <w:r w:rsidRPr="00327F2C">
              <w:rPr>
                <w:sz w:val="20"/>
                <w:szCs w:val="20"/>
                <w:lang w:val="en-US" w:eastAsia="en-GB"/>
              </w:rPr>
              <w:t>An indicator variable equal to one if the bond issue takes place between December 2006 to October 2009 and zero otherwise.</w:t>
            </w:r>
          </w:p>
        </w:tc>
        <w:tc>
          <w:tcPr>
            <w:tcW w:w="1244" w:type="pct"/>
            <w:tcBorders>
              <w:top w:val="nil"/>
              <w:bottom w:val="nil"/>
            </w:tcBorders>
          </w:tcPr>
          <w:p w14:paraId="011C86D4" w14:textId="77777777" w:rsidR="001631C6" w:rsidRPr="00327F2C" w:rsidRDefault="001631C6" w:rsidP="008F5322">
            <w:pPr>
              <w:rPr>
                <w:bCs/>
                <w:sz w:val="20"/>
                <w:szCs w:val="20"/>
                <w:lang w:val="en-US" w:eastAsia="en-GB"/>
              </w:rPr>
            </w:pPr>
            <w:r w:rsidRPr="00327F2C">
              <w:rPr>
                <w:bCs/>
                <w:sz w:val="20"/>
                <w:szCs w:val="20"/>
                <w:lang w:val="en-US" w:eastAsia="en-GB"/>
              </w:rPr>
              <w:t>Dealogic</w:t>
            </w:r>
          </w:p>
        </w:tc>
      </w:tr>
      <w:tr w:rsidR="001631C6" w:rsidRPr="00DC68DD" w14:paraId="26BFCB23" w14:textId="77777777" w:rsidTr="008F5322">
        <w:trPr>
          <w:trHeight w:val="123"/>
        </w:trPr>
        <w:tc>
          <w:tcPr>
            <w:tcW w:w="1093" w:type="pct"/>
            <w:tcBorders>
              <w:top w:val="nil"/>
              <w:bottom w:val="nil"/>
            </w:tcBorders>
          </w:tcPr>
          <w:p w14:paraId="7B0EB117" w14:textId="77777777" w:rsidR="001631C6" w:rsidRPr="00327F2C" w:rsidRDefault="001631C6" w:rsidP="008F5322">
            <w:pPr>
              <w:rPr>
                <w:sz w:val="20"/>
                <w:szCs w:val="20"/>
                <w:lang w:val="en-US" w:eastAsia="en-GB"/>
              </w:rPr>
            </w:pPr>
            <w:r w:rsidRPr="00327F2C">
              <w:rPr>
                <w:sz w:val="20"/>
                <w:szCs w:val="20"/>
                <w:lang w:val="en-US" w:eastAsia="en-GB"/>
              </w:rPr>
              <w:t>Eurozone Crisis</w:t>
            </w:r>
          </w:p>
        </w:tc>
        <w:tc>
          <w:tcPr>
            <w:tcW w:w="2663" w:type="pct"/>
            <w:tcBorders>
              <w:top w:val="nil"/>
              <w:bottom w:val="nil"/>
            </w:tcBorders>
          </w:tcPr>
          <w:p w14:paraId="7DACCA7E" w14:textId="77777777" w:rsidR="001631C6" w:rsidRPr="00327F2C" w:rsidRDefault="001631C6" w:rsidP="008F5322">
            <w:pPr>
              <w:rPr>
                <w:sz w:val="20"/>
                <w:szCs w:val="20"/>
                <w:lang w:val="en-US" w:eastAsia="en-GB"/>
              </w:rPr>
            </w:pPr>
            <w:r w:rsidRPr="00327F2C">
              <w:rPr>
                <w:sz w:val="20"/>
                <w:szCs w:val="20"/>
                <w:lang w:val="en-US" w:eastAsia="en-GB"/>
              </w:rPr>
              <w:t>An indicator variable equal to one if the bond issue takes place between November 2009 to September 2012 and zero otherwise.</w:t>
            </w:r>
          </w:p>
        </w:tc>
        <w:tc>
          <w:tcPr>
            <w:tcW w:w="1244" w:type="pct"/>
            <w:tcBorders>
              <w:top w:val="nil"/>
              <w:bottom w:val="nil"/>
            </w:tcBorders>
          </w:tcPr>
          <w:p w14:paraId="68E14FD0" w14:textId="77777777" w:rsidR="001631C6" w:rsidRPr="00327F2C" w:rsidRDefault="001631C6" w:rsidP="008F5322">
            <w:pPr>
              <w:rPr>
                <w:bCs/>
                <w:sz w:val="20"/>
                <w:szCs w:val="20"/>
                <w:lang w:val="en-US" w:eastAsia="en-GB"/>
              </w:rPr>
            </w:pPr>
            <w:r w:rsidRPr="00327F2C">
              <w:rPr>
                <w:bCs/>
                <w:sz w:val="20"/>
                <w:szCs w:val="20"/>
                <w:lang w:val="en-US" w:eastAsia="en-GB"/>
              </w:rPr>
              <w:t>Dealogic</w:t>
            </w:r>
          </w:p>
        </w:tc>
      </w:tr>
      <w:tr w:rsidR="001631C6" w:rsidRPr="00DC68DD" w14:paraId="477D9E09" w14:textId="77777777" w:rsidTr="008F5322">
        <w:trPr>
          <w:trHeight w:val="123"/>
        </w:trPr>
        <w:tc>
          <w:tcPr>
            <w:tcW w:w="1093" w:type="pct"/>
            <w:tcBorders>
              <w:top w:val="nil"/>
              <w:bottom w:val="single" w:sz="4" w:space="0" w:color="auto"/>
            </w:tcBorders>
          </w:tcPr>
          <w:p w14:paraId="26E0B8C3" w14:textId="77777777" w:rsidR="001631C6" w:rsidRPr="00327F2C" w:rsidRDefault="001631C6" w:rsidP="008F5322">
            <w:pPr>
              <w:rPr>
                <w:sz w:val="20"/>
                <w:szCs w:val="20"/>
                <w:lang w:val="en-US" w:eastAsia="en-GB"/>
              </w:rPr>
            </w:pPr>
            <w:r w:rsidRPr="00327F2C">
              <w:rPr>
                <w:sz w:val="20"/>
                <w:szCs w:val="20"/>
                <w:lang w:val="en-US" w:eastAsia="en-GB"/>
              </w:rPr>
              <w:t>Post-Crisis</w:t>
            </w:r>
          </w:p>
        </w:tc>
        <w:tc>
          <w:tcPr>
            <w:tcW w:w="2663" w:type="pct"/>
            <w:tcBorders>
              <w:top w:val="nil"/>
              <w:bottom w:val="single" w:sz="4" w:space="0" w:color="auto"/>
            </w:tcBorders>
          </w:tcPr>
          <w:p w14:paraId="161CC96A" w14:textId="77777777" w:rsidR="001631C6" w:rsidRPr="00327F2C" w:rsidRDefault="001631C6" w:rsidP="008F5322">
            <w:pPr>
              <w:rPr>
                <w:sz w:val="20"/>
                <w:szCs w:val="20"/>
                <w:lang w:val="en-US" w:eastAsia="en-GB"/>
              </w:rPr>
            </w:pPr>
            <w:r w:rsidRPr="00327F2C">
              <w:rPr>
                <w:sz w:val="20"/>
                <w:szCs w:val="20"/>
                <w:lang w:val="en-US" w:eastAsia="en-GB"/>
              </w:rPr>
              <w:t>An indicator variable equal to one if the bond issue takes place after October 2012 and zero otherwise.</w:t>
            </w:r>
          </w:p>
        </w:tc>
        <w:tc>
          <w:tcPr>
            <w:tcW w:w="1244" w:type="pct"/>
            <w:tcBorders>
              <w:top w:val="nil"/>
              <w:bottom w:val="single" w:sz="4" w:space="0" w:color="auto"/>
            </w:tcBorders>
          </w:tcPr>
          <w:p w14:paraId="6967A04D" w14:textId="77777777" w:rsidR="001631C6" w:rsidRPr="00327F2C" w:rsidRDefault="001631C6" w:rsidP="008F5322">
            <w:pPr>
              <w:rPr>
                <w:bCs/>
                <w:sz w:val="20"/>
                <w:szCs w:val="20"/>
                <w:lang w:val="en-US" w:eastAsia="en-GB"/>
              </w:rPr>
            </w:pPr>
            <w:r w:rsidRPr="00327F2C">
              <w:rPr>
                <w:bCs/>
                <w:sz w:val="20"/>
                <w:szCs w:val="20"/>
                <w:lang w:val="en-US" w:eastAsia="en-GB"/>
              </w:rPr>
              <w:t>Dealogic</w:t>
            </w:r>
          </w:p>
        </w:tc>
      </w:tr>
    </w:tbl>
    <w:p w14:paraId="3924A6F9" w14:textId="77777777" w:rsidR="001631C6" w:rsidRPr="00DC68DD" w:rsidRDefault="001631C6" w:rsidP="001631C6">
      <w:pPr>
        <w:rPr>
          <w:lang w:val="en-US"/>
        </w:rPr>
      </w:pPr>
    </w:p>
    <w:p w14:paraId="4E2660EB" w14:textId="77777777" w:rsidR="001631C6" w:rsidRPr="00DC68DD" w:rsidRDefault="001631C6" w:rsidP="001631C6">
      <w:pPr>
        <w:rPr>
          <w:rFonts w:eastAsiaTheme="majorEastAsia"/>
          <w:bCs/>
          <w:sz w:val="20"/>
          <w:szCs w:val="20"/>
          <w:lang w:val="en-US"/>
        </w:rPr>
      </w:pPr>
      <w:bookmarkStart w:id="18" w:name="_Toc390613824"/>
      <w:bookmarkStart w:id="19" w:name="_Toc415333330"/>
      <w:r w:rsidRPr="00DC68DD">
        <w:rPr>
          <w:b/>
          <w:sz w:val="20"/>
          <w:szCs w:val="20"/>
          <w:lang w:val="en-US"/>
        </w:rPr>
        <w:br w:type="page"/>
      </w:r>
    </w:p>
    <w:p w14:paraId="3160F5A2" w14:textId="77777777" w:rsidR="001631C6" w:rsidRPr="00207BB5" w:rsidRDefault="001631C6" w:rsidP="001631C6">
      <w:pPr>
        <w:pStyle w:val="Heading2"/>
        <w:spacing w:before="0" w:after="0"/>
        <w:rPr>
          <w:rFonts w:cs="Times New Roman"/>
          <w:b/>
          <w:bCs w:val="0"/>
          <w:i w:val="0"/>
          <w:iCs/>
          <w:szCs w:val="24"/>
          <w:lang w:val="en-US"/>
        </w:rPr>
      </w:pPr>
      <w:r w:rsidRPr="00207BB5">
        <w:rPr>
          <w:rFonts w:cs="Times New Roman"/>
          <w:b/>
          <w:bCs w:val="0"/>
          <w:i w:val="0"/>
          <w:iCs/>
          <w:szCs w:val="24"/>
          <w:lang w:val="en-US"/>
        </w:rPr>
        <w:lastRenderedPageBreak/>
        <w:t>Table 2</w:t>
      </w:r>
    </w:p>
    <w:p w14:paraId="6FBC0EA8" w14:textId="77777777" w:rsidR="001631C6" w:rsidRPr="00207BB5" w:rsidRDefault="001631C6" w:rsidP="001631C6">
      <w:pPr>
        <w:pStyle w:val="Heading2"/>
        <w:spacing w:before="0" w:after="0"/>
        <w:rPr>
          <w:rFonts w:cs="Times New Roman"/>
          <w:b/>
          <w:szCs w:val="24"/>
          <w:lang w:val="en-US"/>
        </w:rPr>
      </w:pPr>
      <w:r w:rsidRPr="00207BB5">
        <w:rPr>
          <w:rFonts w:cs="Times New Roman"/>
          <w:szCs w:val="24"/>
          <w:lang w:val="en-US"/>
        </w:rPr>
        <w:t>Summary statistics of bookrunner characteristics and control factors.</w:t>
      </w:r>
    </w:p>
    <w:p w14:paraId="1C8B35D3" w14:textId="77777777" w:rsidR="001631C6" w:rsidRDefault="001631C6" w:rsidP="001631C6">
      <w:pPr>
        <w:jc w:val="both"/>
        <w:rPr>
          <w:sz w:val="20"/>
          <w:szCs w:val="20"/>
          <w:lang w:val="en-US"/>
        </w:rPr>
      </w:pPr>
    </w:p>
    <w:p w14:paraId="239C9D9F" w14:textId="77777777" w:rsidR="001631C6" w:rsidRDefault="001631C6" w:rsidP="001631C6">
      <w:pPr>
        <w:jc w:val="both"/>
        <w:rPr>
          <w:sz w:val="20"/>
          <w:szCs w:val="20"/>
          <w:lang w:val="en-US"/>
        </w:rPr>
      </w:pPr>
      <w:r w:rsidRPr="00DC68DD">
        <w:rPr>
          <w:sz w:val="20"/>
          <w:szCs w:val="20"/>
          <w:lang w:val="en-US"/>
        </w:rPr>
        <w:t xml:space="preserve">The table presents summary statistics of a sample of </w:t>
      </w:r>
      <w:r>
        <w:rPr>
          <w:sz w:val="20"/>
          <w:szCs w:val="20"/>
          <w:lang w:val="en-US"/>
        </w:rPr>
        <w:t>2,409</w:t>
      </w:r>
      <w:r w:rsidRPr="00DC68DD">
        <w:rPr>
          <w:sz w:val="20"/>
          <w:szCs w:val="20"/>
          <w:lang w:val="en-US"/>
        </w:rPr>
        <w:t xml:space="preserve"> euro-denominated public bond tranches issued by </w:t>
      </w:r>
      <w:r>
        <w:rPr>
          <w:sz w:val="20"/>
          <w:szCs w:val="20"/>
          <w:lang w:val="en-US"/>
        </w:rPr>
        <w:t>356</w:t>
      </w:r>
      <w:r w:rsidRPr="00DC68DD">
        <w:rPr>
          <w:sz w:val="20"/>
          <w:szCs w:val="20"/>
          <w:lang w:val="en-US"/>
        </w:rPr>
        <w:t xml:space="preserve"> Western European firms during 2001-</w:t>
      </w:r>
      <w:r>
        <w:rPr>
          <w:sz w:val="20"/>
          <w:szCs w:val="20"/>
          <w:lang w:val="en-US"/>
        </w:rPr>
        <w:t>2020</w:t>
      </w:r>
      <w:r w:rsidRPr="00DC68DD">
        <w:rPr>
          <w:sz w:val="20"/>
          <w:szCs w:val="20"/>
          <w:lang w:val="en-US"/>
        </w:rPr>
        <w:t>. All variables are defined in Table 1.</w:t>
      </w:r>
    </w:p>
    <w:p w14:paraId="4A57988E" w14:textId="77777777" w:rsidR="001631C6" w:rsidRPr="00DC68DD" w:rsidRDefault="001631C6" w:rsidP="001631C6">
      <w:pPr>
        <w:jc w:val="both"/>
        <w:rPr>
          <w:sz w:val="20"/>
          <w:szCs w:val="20"/>
          <w:lang w:val="en-US"/>
        </w:rPr>
      </w:pPr>
    </w:p>
    <w:tbl>
      <w:tblPr>
        <w:tblW w:w="5000" w:type="pct"/>
        <w:tblBorders>
          <w:top w:val="single" w:sz="4" w:space="0" w:color="auto"/>
          <w:bottom w:val="single" w:sz="4" w:space="0" w:color="auto"/>
        </w:tblBorders>
        <w:tblLook w:val="04A0" w:firstRow="1" w:lastRow="0" w:firstColumn="1" w:lastColumn="0" w:noHBand="0" w:noVBand="1"/>
      </w:tblPr>
      <w:tblGrid>
        <w:gridCol w:w="4856"/>
        <w:gridCol w:w="1377"/>
        <w:gridCol w:w="931"/>
        <w:gridCol w:w="931"/>
        <w:gridCol w:w="931"/>
      </w:tblGrid>
      <w:tr w:rsidR="001631C6" w:rsidRPr="00BA6026" w14:paraId="6B88693C" w14:textId="77777777" w:rsidTr="008F5322">
        <w:trPr>
          <w:trHeight w:val="70"/>
        </w:trPr>
        <w:tc>
          <w:tcPr>
            <w:tcW w:w="2690" w:type="pct"/>
            <w:tcBorders>
              <w:top w:val="single" w:sz="4" w:space="0" w:color="auto"/>
              <w:bottom w:val="single" w:sz="4" w:space="0" w:color="auto"/>
            </w:tcBorders>
            <w:shd w:val="clear" w:color="auto" w:fill="auto"/>
            <w:noWrap/>
            <w:vAlign w:val="center"/>
            <w:hideMark/>
          </w:tcPr>
          <w:p w14:paraId="1D84577B" w14:textId="77777777" w:rsidR="001631C6" w:rsidRPr="00BA6026" w:rsidRDefault="001631C6" w:rsidP="008F5322">
            <w:pPr>
              <w:rPr>
                <w:bCs/>
                <w:color w:val="000000"/>
                <w:sz w:val="22"/>
                <w:szCs w:val="22"/>
                <w:lang w:val="en-US" w:eastAsia="en-GB"/>
              </w:rPr>
            </w:pPr>
            <w:r w:rsidRPr="00BA6026">
              <w:rPr>
                <w:bCs/>
                <w:color w:val="000000"/>
                <w:sz w:val="22"/>
                <w:szCs w:val="22"/>
                <w:lang w:val="en-US" w:eastAsia="en-GB"/>
              </w:rPr>
              <w:t> </w:t>
            </w:r>
          </w:p>
        </w:tc>
        <w:tc>
          <w:tcPr>
            <w:tcW w:w="763" w:type="pct"/>
            <w:tcBorders>
              <w:top w:val="single" w:sz="4" w:space="0" w:color="auto"/>
              <w:bottom w:val="single" w:sz="4" w:space="0" w:color="auto"/>
            </w:tcBorders>
            <w:vAlign w:val="center"/>
          </w:tcPr>
          <w:p w14:paraId="791CBFA1" w14:textId="77777777" w:rsidR="001631C6" w:rsidRPr="00BA6026" w:rsidRDefault="001631C6" w:rsidP="008F5322">
            <w:pPr>
              <w:jc w:val="center"/>
              <w:rPr>
                <w:color w:val="000000"/>
                <w:sz w:val="22"/>
                <w:szCs w:val="22"/>
                <w:lang w:val="en-US" w:eastAsia="en-GB"/>
              </w:rPr>
            </w:pPr>
            <w:r w:rsidRPr="00BA6026">
              <w:rPr>
                <w:color w:val="000000"/>
                <w:sz w:val="22"/>
                <w:szCs w:val="22"/>
                <w:lang w:val="en-US" w:eastAsia="en-GB"/>
              </w:rPr>
              <w:t>Observations</w:t>
            </w:r>
          </w:p>
        </w:tc>
        <w:tc>
          <w:tcPr>
            <w:tcW w:w="516" w:type="pct"/>
            <w:tcBorders>
              <w:top w:val="single" w:sz="4" w:space="0" w:color="auto"/>
              <w:bottom w:val="single" w:sz="4" w:space="0" w:color="auto"/>
            </w:tcBorders>
            <w:vAlign w:val="center"/>
          </w:tcPr>
          <w:p w14:paraId="5EF07B4C" w14:textId="77777777" w:rsidR="001631C6" w:rsidRPr="00BA6026" w:rsidRDefault="001631C6" w:rsidP="008F5322">
            <w:pPr>
              <w:jc w:val="center"/>
              <w:rPr>
                <w:bCs/>
                <w:color w:val="000000"/>
                <w:sz w:val="22"/>
                <w:szCs w:val="22"/>
                <w:lang w:val="en-US" w:eastAsia="en-GB"/>
              </w:rPr>
            </w:pPr>
            <w:r w:rsidRPr="00BA6026">
              <w:rPr>
                <w:bCs/>
                <w:color w:val="000000"/>
                <w:sz w:val="22"/>
                <w:szCs w:val="22"/>
                <w:lang w:val="en-US" w:eastAsia="en-GB"/>
              </w:rPr>
              <w:t>Mean</w:t>
            </w:r>
          </w:p>
        </w:tc>
        <w:tc>
          <w:tcPr>
            <w:tcW w:w="516" w:type="pct"/>
            <w:tcBorders>
              <w:top w:val="single" w:sz="4" w:space="0" w:color="auto"/>
              <w:bottom w:val="single" w:sz="4" w:space="0" w:color="auto"/>
            </w:tcBorders>
            <w:vAlign w:val="center"/>
          </w:tcPr>
          <w:p w14:paraId="4AB6FD88" w14:textId="77777777" w:rsidR="001631C6" w:rsidRPr="00BA6026" w:rsidRDefault="001631C6" w:rsidP="008F5322">
            <w:pPr>
              <w:jc w:val="center"/>
              <w:rPr>
                <w:bCs/>
                <w:color w:val="000000"/>
                <w:sz w:val="22"/>
                <w:szCs w:val="22"/>
                <w:lang w:val="en-US" w:eastAsia="en-GB"/>
              </w:rPr>
            </w:pPr>
            <w:r w:rsidRPr="00BA6026">
              <w:rPr>
                <w:bCs/>
                <w:color w:val="000000"/>
                <w:sz w:val="22"/>
                <w:szCs w:val="22"/>
                <w:lang w:val="en-US" w:eastAsia="en-GB"/>
              </w:rPr>
              <w:t>Median</w:t>
            </w:r>
          </w:p>
        </w:tc>
        <w:tc>
          <w:tcPr>
            <w:tcW w:w="516" w:type="pct"/>
            <w:tcBorders>
              <w:top w:val="single" w:sz="4" w:space="0" w:color="auto"/>
              <w:bottom w:val="single" w:sz="4" w:space="0" w:color="auto"/>
            </w:tcBorders>
            <w:vAlign w:val="center"/>
          </w:tcPr>
          <w:p w14:paraId="69292BF6" w14:textId="77777777" w:rsidR="001631C6" w:rsidRPr="00BA6026" w:rsidRDefault="001631C6" w:rsidP="008F5322">
            <w:pPr>
              <w:jc w:val="center"/>
              <w:rPr>
                <w:bCs/>
                <w:color w:val="000000"/>
                <w:sz w:val="22"/>
                <w:szCs w:val="22"/>
                <w:lang w:val="en-US" w:eastAsia="en-GB"/>
              </w:rPr>
            </w:pPr>
            <w:r w:rsidRPr="00BA6026">
              <w:rPr>
                <w:bCs/>
                <w:color w:val="000000"/>
                <w:sz w:val="22"/>
                <w:szCs w:val="22"/>
                <w:lang w:val="en-US" w:eastAsia="en-GB"/>
              </w:rPr>
              <w:t>St. Dev</w:t>
            </w:r>
          </w:p>
        </w:tc>
      </w:tr>
      <w:tr w:rsidR="001631C6" w:rsidRPr="00BA6026" w14:paraId="2FED6DB8" w14:textId="77777777" w:rsidTr="008F5322">
        <w:trPr>
          <w:trHeight w:val="210"/>
        </w:trPr>
        <w:tc>
          <w:tcPr>
            <w:tcW w:w="5000" w:type="pct"/>
            <w:gridSpan w:val="5"/>
            <w:shd w:val="clear" w:color="auto" w:fill="auto"/>
            <w:noWrap/>
            <w:vAlign w:val="center"/>
            <w:hideMark/>
          </w:tcPr>
          <w:p w14:paraId="6B3A2013" w14:textId="77777777" w:rsidR="001631C6" w:rsidRPr="00BA6026" w:rsidRDefault="001631C6" w:rsidP="008F5322">
            <w:pPr>
              <w:rPr>
                <w:color w:val="000000"/>
                <w:sz w:val="22"/>
                <w:szCs w:val="22"/>
                <w:lang w:val="en-US" w:eastAsia="en-GB"/>
              </w:rPr>
            </w:pPr>
            <w:r w:rsidRPr="00BA6026">
              <w:rPr>
                <w:i/>
                <w:color w:val="000000"/>
                <w:sz w:val="22"/>
                <w:szCs w:val="22"/>
                <w:lang w:val="en-US" w:eastAsia="en-GB"/>
              </w:rPr>
              <w:t>Panel A: Bookrunner syndicate structure and credit spread</w:t>
            </w:r>
          </w:p>
        </w:tc>
      </w:tr>
      <w:tr w:rsidR="001631C6" w:rsidRPr="00BA6026" w14:paraId="6F84F74F" w14:textId="77777777" w:rsidTr="008F5322">
        <w:trPr>
          <w:trHeight w:val="210"/>
        </w:trPr>
        <w:tc>
          <w:tcPr>
            <w:tcW w:w="2690" w:type="pct"/>
            <w:shd w:val="clear" w:color="auto" w:fill="auto"/>
            <w:noWrap/>
            <w:vAlign w:val="center"/>
          </w:tcPr>
          <w:p w14:paraId="4296E637"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Credit spread</w:t>
            </w:r>
          </w:p>
        </w:tc>
        <w:tc>
          <w:tcPr>
            <w:tcW w:w="763" w:type="pct"/>
          </w:tcPr>
          <w:p w14:paraId="320A9290"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5AA57C32" w14:textId="77777777" w:rsidR="001631C6" w:rsidRPr="00BA6026" w:rsidRDefault="001631C6" w:rsidP="008F5322">
            <w:pPr>
              <w:jc w:val="center"/>
              <w:rPr>
                <w:color w:val="000000"/>
                <w:sz w:val="22"/>
                <w:szCs w:val="22"/>
                <w:lang w:val="en-US" w:eastAsia="en-GB"/>
              </w:rPr>
            </w:pPr>
            <w:r w:rsidRPr="00BA6026">
              <w:rPr>
                <w:sz w:val="22"/>
                <w:szCs w:val="22"/>
              </w:rPr>
              <w:t>1.151</w:t>
            </w:r>
          </w:p>
        </w:tc>
        <w:tc>
          <w:tcPr>
            <w:tcW w:w="516" w:type="pct"/>
          </w:tcPr>
          <w:p w14:paraId="199A7ADC" w14:textId="77777777" w:rsidR="001631C6" w:rsidRPr="00BA6026" w:rsidRDefault="001631C6" w:rsidP="008F5322">
            <w:pPr>
              <w:jc w:val="center"/>
              <w:rPr>
                <w:sz w:val="22"/>
                <w:szCs w:val="22"/>
                <w:lang w:val="en-US" w:eastAsia="en-GB"/>
              </w:rPr>
            </w:pPr>
            <w:r w:rsidRPr="00BA6026">
              <w:rPr>
                <w:sz w:val="22"/>
                <w:szCs w:val="22"/>
              </w:rPr>
              <w:t>0.850</w:t>
            </w:r>
          </w:p>
        </w:tc>
        <w:tc>
          <w:tcPr>
            <w:tcW w:w="516" w:type="pct"/>
          </w:tcPr>
          <w:p w14:paraId="56680497" w14:textId="77777777" w:rsidR="001631C6" w:rsidRPr="00BA6026" w:rsidRDefault="001631C6" w:rsidP="008F5322">
            <w:pPr>
              <w:jc w:val="center"/>
              <w:rPr>
                <w:sz w:val="22"/>
                <w:szCs w:val="22"/>
                <w:lang w:val="en-US" w:eastAsia="en-GB"/>
              </w:rPr>
            </w:pPr>
            <w:r w:rsidRPr="00BA6026">
              <w:rPr>
                <w:sz w:val="22"/>
                <w:szCs w:val="22"/>
              </w:rPr>
              <w:t>0.960</w:t>
            </w:r>
          </w:p>
        </w:tc>
      </w:tr>
      <w:tr w:rsidR="001631C6" w:rsidRPr="00BA6026" w14:paraId="3D2F00B5" w14:textId="77777777" w:rsidTr="008F5322">
        <w:trPr>
          <w:trHeight w:val="210"/>
        </w:trPr>
        <w:tc>
          <w:tcPr>
            <w:tcW w:w="2690" w:type="pct"/>
            <w:shd w:val="clear" w:color="auto" w:fill="auto"/>
            <w:noWrap/>
            <w:vAlign w:val="center"/>
          </w:tcPr>
          <w:p w14:paraId="5B108576" w14:textId="77777777" w:rsidR="001631C6" w:rsidRPr="00BA6026" w:rsidRDefault="001631C6" w:rsidP="008F5322">
            <w:pPr>
              <w:rPr>
                <w:color w:val="000000"/>
                <w:sz w:val="22"/>
                <w:szCs w:val="22"/>
                <w:lang w:val="en-US" w:eastAsia="en-GB"/>
              </w:rPr>
            </w:pPr>
            <w:r w:rsidRPr="00BA6026">
              <w:rPr>
                <w:bCs/>
                <w:color w:val="000000"/>
                <w:sz w:val="22"/>
                <w:szCs w:val="22"/>
                <w:lang w:val="en-US" w:eastAsia="en-GB"/>
              </w:rPr>
              <w:t>Number of BRs</w:t>
            </w:r>
          </w:p>
        </w:tc>
        <w:tc>
          <w:tcPr>
            <w:tcW w:w="763" w:type="pct"/>
          </w:tcPr>
          <w:p w14:paraId="23DCF223"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6E41DC43" w14:textId="77777777" w:rsidR="001631C6" w:rsidRPr="00BA6026" w:rsidRDefault="001631C6" w:rsidP="008F5322">
            <w:pPr>
              <w:jc w:val="center"/>
              <w:rPr>
                <w:color w:val="000000"/>
                <w:sz w:val="22"/>
                <w:szCs w:val="22"/>
                <w:lang w:val="en-US" w:eastAsia="en-GB"/>
              </w:rPr>
            </w:pPr>
            <w:r w:rsidRPr="00BA6026">
              <w:rPr>
                <w:sz w:val="22"/>
                <w:szCs w:val="22"/>
              </w:rPr>
              <w:t>5.665</w:t>
            </w:r>
          </w:p>
        </w:tc>
        <w:tc>
          <w:tcPr>
            <w:tcW w:w="516" w:type="pct"/>
          </w:tcPr>
          <w:p w14:paraId="6FABF557" w14:textId="77777777" w:rsidR="001631C6" w:rsidRPr="00BA6026" w:rsidRDefault="001631C6" w:rsidP="008F5322">
            <w:pPr>
              <w:jc w:val="center"/>
              <w:rPr>
                <w:sz w:val="22"/>
                <w:szCs w:val="22"/>
                <w:lang w:val="en-US" w:eastAsia="en-GB"/>
              </w:rPr>
            </w:pPr>
            <w:r w:rsidRPr="00BA6026">
              <w:rPr>
                <w:sz w:val="22"/>
                <w:szCs w:val="22"/>
              </w:rPr>
              <w:t>5.000</w:t>
            </w:r>
          </w:p>
        </w:tc>
        <w:tc>
          <w:tcPr>
            <w:tcW w:w="516" w:type="pct"/>
          </w:tcPr>
          <w:p w14:paraId="32F00650" w14:textId="77777777" w:rsidR="001631C6" w:rsidRPr="00BA6026" w:rsidRDefault="001631C6" w:rsidP="008F5322">
            <w:pPr>
              <w:jc w:val="center"/>
              <w:rPr>
                <w:sz w:val="22"/>
                <w:szCs w:val="22"/>
                <w:lang w:val="en-US" w:eastAsia="en-GB"/>
              </w:rPr>
            </w:pPr>
            <w:r w:rsidRPr="00BA6026">
              <w:rPr>
                <w:sz w:val="22"/>
                <w:szCs w:val="22"/>
              </w:rPr>
              <w:t>3.403</w:t>
            </w:r>
          </w:p>
        </w:tc>
      </w:tr>
      <w:tr w:rsidR="001631C6" w:rsidRPr="00BA6026" w14:paraId="0CDF2A28" w14:textId="77777777" w:rsidTr="008F5322">
        <w:trPr>
          <w:trHeight w:val="210"/>
        </w:trPr>
        <w:tc>
          <w:tcPr>
            <w:tcW w:w="2690" w:type="pct"/>
            <w:shd w:val="clear" w:color="auto" w:fill="auto"/>
            <w:noWrap/>
          </w:tcPr>
          <w:p w14:paraId="4F3AEAD5" w14:textId="77777777" w:rsidR="001631C6" w:rsidRPr="00BA6026" w:rsidRDefault="001631C6" w:rsidP="008F5322">
            <w:pPr>
              <w:rPr>
                <w:color w:val="000000"/>
                <w:sz w:val="22"/>
                <w:szCs w:val="22"/>
                <w:lang w:val="en-US" w:eastAsia="en-GB"/>
              </w:rPr>
            </w:pPr>
            <w:r w:rsidRPr="00BA6026">
              <w:rPr>
                <w:bCs/>
                <w:color w:val="000000"/>
                <w:sz w:val="22"/>
                <w:szCs w:val="22"/>
                <w:lang w:val="en-US" w:eastAsia="en-GB"/>
              </w:rPr>
              <w:t>% of Non-domestic BRs</w:t>
            </w:r>
          </w:p>
        </w:tc>
        <w:tc>
          <w:tcPr>
            <w:tcW w:w="763" w:type="pct"/>
          </w:tcPr>
          <w:p w14:paraId="224FC75F"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69A040C1" w14:textId="77777777" w:rsidR="001631C6" w:rsidRPr="00BA6026" w:rsidRDefault="001631C6" w:rsidP="008F5322">
            <w:pPr>
              <w:jc w:val="center"/>
              <w:rPr>
                <w:color w:val="000000"/>
                <w:sz w:val="22"/>
                <w:szCs w:val="22"/>
                <w:lang w:val="en-US" w:eastAsia="en-GB"/>
              </w:rPr>
            </w:pPr>
            <w:r w:rsidRPr="00BA6026">
              <w:rPr>
                <w:sz w:val="22"/>
                <w:szCs w:val="22"/>
              </w:rPr>
              <w:t>0.698</w:t>
            </w:r>
          </w:p>
        </w:tc>
        <w:tc>
          <w:tcPr>
            <w:tcW w:w="516" w:type="pct"/>
          </w:tcPr>
          <w:p w14:paraId="43E123A0" w14:textId="77777777" w:rsidR="001631C6" w:rsidRPr="00BA6026" w:rsidRDefault="001631C6" w:rsidP="008F5322">
            <w:pPr>
              <w:jc w:val="center"/>
              <w:rPr>
                <w:color w:val="000000"/>
                <w:sz w:val="22"/>
                <w:szCs w:val="22"/>
                <w:lang w:val="en-US" w:eastAsia="en-GB"/>
              </w:rPr>
            </w:pPr>
            <w:r w:rsidRPr="00BA6026">
              <w:rPr>
                <w:sz w:val="22"/>
                <w:szCs w:val="22"/>
              </w:rPr>
              <w:t>0.714</w:t>
            </w:r>
          </w:p>
        </w:tc>
        <w:tc>
          <w:tcPr>
            <w:tcW w:w="516" w:type="pct"/>
          </w:tcPr>
          <w:p w14:paraId="2F20801A" w14:textId="77777777" w:rsidR="001631C6" w:rsidRPr="00BA6026" w:rsidRDefault="001631C6" w:rsidP="008F5322">
            <w:pPr>
              <w:jc w:val="center"/>
              <w:rPr>
                <w:color w:val="000000"/>
                <w:sz w:val="22"/>
                <w:szCs w:val="22"/>
                <w:lang w:val="en-US" w:eastAsia="en-GB"/>
              </w:rPr>
            </w:pPr>
            <w:r w:rsidRPr="00BA6026">
              <w:rPr>
                <w:sz w:val="22"/>
                <w:szCs w:val="22"/>
              </w:rPr>
              <w:t>0.219</w:t>
            </w:r>
          </w:p>
        </w:tc>
      </w:tr>
      <w:tr w:rsidR="001631C6" w:rsidRPr="00BA6026" w14:paraId="25AC8E79" w14:textId="77777777" w:rsidTr="008F5322">
        <w:trPr>
          <w:trHeight w:val="210"/>
        </w:trPr>
        <w:tc>
          <w:tcPr>
            <w:tcW w:w="2690" w:type="pct"/>
            <w:shd w:val="clear" w:color="auto" w:fill="auto"/>
            <w:noWrap/>
          </w:tcPr>
          <w:p w14:paraId="686109A9" w14:textId="77777777" w:rsidR="001631C6" w:rsidRPr="00BA6026" w:rsidRDefault="001631C6" w:rsidP="008F5322">
            <w:pPr>
              <w:rPr>
                <w:color w:val="000000"/>
                <w:sz w:val="22"/>
                <w:szCs w:val="22"/>
                <w:lang w:val="en-US" w:eastAsia="en-GB"/>
              </w:rPr>
            </w:pPr>
            <w:r w:rsidRPr="00BA6026">
              <w:rPr>
                <w:bCs/>
                <w:color w:val="000000"/>
                <w:sz w:val="22"/>
                <w:szCs w:val="22"/>
                <w:lang w:val="en-US" w:eastAsia="en-GB"/>
              </w:rPr>
              <w:t>Majority non-domestic BRs</w:t>
            </w:r>
          </w:p>
        </w:tc>
        <w:tc>
          <w:tcPr>
            <w:tcW w:w="763" w:type="pct"/>
          </w:tcPr>
          <w:p w14:paraId="6DBC7D05"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731526D8" w14:textId="77777777" w:rsidR="001631C6" w:rsidRPr="00BA6026" w:rsidRDefault="001631C6" w:rsidP="008F5322">
            <w:pPr>
              <w:jc w:val="center"/>
              <w:rPr>
                <w:color w:val="000000"/>
                <w:sz w:val="22"/>
                <w:szCs w:val="22"/>
                <w:lang w:val="en-US" w:eastAsia="en-GB"/>
              </w:rPr>
            </w:pPr>
            <w:r w:rsidRPr="00BA6026">
              <w:rPr>
                <w:sz w:val="22"/>
                <w:szCs w:val="22"/>
              </w:rPr>
              <w:t>0.821</w:t>
            </w:r>
          </w:p>
        </w:tc>
        <w:tc>
          <w:tcPr>
            <w:tcW w:w="516" w:type="pct"/>
          </w:tcPr>
          <w:p w14:paraId="0D801A64" w14:textId="77777777" w:rsidR="001631C6" w:rsidRPr="00BA6026" w:rsidRDefault="001631C6" w:rsidP="008F5322">
            <w:pPr>
              <w:jc w:val="center"/>
              <w:rPr>
                <w:color w:val="000000"/>
                <w:sz w:val="22"/>
                <w:szCs w:val="22"/>
                <w:lang w:val="en-US" w:eastAsia="en-GB"/>
              </w:rPr>
            </w:pPr>
            <w:r w:rsidRPr="00BA6026">
              <w:rPr>
                <w:sz w:val="22"/>
                <w:szCs w:val="22"/>
              </w:rPr>
              <w:t>1.000</w:t>
            </w:r>
          </w:p>
        </w:tc>
        <w:tc>
          <w:tcPr>
            <w:tcW w:w="516" w:type="pct"/>
          </w:tcPr>
          <w:p w14:paraId="068133CA" w14:textId="77777777" w:rsidR="001631C6" w:rsidRPr="00BA6026" w:rsidRDefault="001631C6" w:rsidP="008F5322">
            <w:pPr>
              <w:jc w:val="center"/>
              <w:rPr>
                <w:color w:val="000000"/>
                <w:sz w:val="22"/>
                <w:szCs w:val="22"/>
                <w:lang w:val="en-US" w:eastAsia="en-GB"/>
              </w:rPr>
            </w:pPr>
            <w:r w:rsidRPr="00BA6026">
              <w:rPr>
                <w:sz w:val="22"/>
                <w:szCs w:val="22"/>
              </w:rPr>
              <w:t>0.384</w:t>
            </w:r>
          </w:p>
        </w:tc>
      </w:tr>
      <w:tr w:rsidR="001631C6" w:rsidRPr="00BA6026" w14:paraId="6DEF0CBD" w14:textId="77777777" w:rsidTr="008F5322">
        <w:trPr>
          <w:trHeight w:val="210"/>
        </w:trPr>
        <w:tc>
          <w:tcPr>
            <w:tcW w:w="2690" w:type="pct"/>
            <w:shd w:val="clear" w:color="auto" w:fill="auto"/>
            <w:noWrap/>
          </w:tcPr>
          <w:p w14:paraId="67E27360" w14:textId="77777777" w:rsidR="001631C6" w:rsidRPr="00BA6026" w:rsidRDefault="001631C6" w:rsidP="008F5322">
            <w:pPr>
              <w:rPr>
                <w:bCs/>
                <w:color w:val="000000"/>
                <w:sz w:val="22"/>
                <w:szCs w:val="22"/>
                <w:lang w:val="en-US" w:eastAsia="en-GB"/>
              </w:rPr>
            </w:pPr>
            <w:r w:rsidRPr="00BA6026">
              <w:rPr>
                <w:bCs/>
                <w:color w:val="000000"/>
                <w:sz w:val="22"/>
                <w:szCs w:val="22"/>
                <w:lang w:val="en-US" w:eastAsia="en-GB"/>
              </w:rPr>
              <w:t>% of Non-domestic Active BRs</w:t>
            </w:r>
          </w:p>
        </w:tc>
        <w:tc>
          <w:tcPr>
            <w:tcW w:w="763" w:type="pct"/>
          </w:tcPr>
          <w:p w14:paraId="75710549"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0BE4B271" w14:textId="77777777" w:rsidR="001631C6" w:rsidRPr="00BA6026" w:rsidRDefault="001631C6" w:rsidP="008F5322">
            <w:pPr>
              <w:jc w:val="center"/>
              <w:rPr>
                <w:color w:val="000000"/>
                <w:sz w:val="22"/>
                <w:szCs w:val="22"/>
                <w:lang w:val="en-US" w:eastAsia="en-GB"/>
              </w:rPr>
            </w:pPr>
            <w:r w:rsidRPr="00BA6026">
              <w:rPr>
                <w:sz w:val="22"/>
                <w:szCs w:val="22"/>
              </w:rPr>
              <w:t>0.698</w:t>
            </w:r>
          </w:p>
        </w:tc>
        <w:tc>
          <w:tcPr>
            <w:tcW w:w="516" w:type="pct"/>
          </w:tcPr>
          <w:p w14:paraId="5F9E4256" w14:textId="77777777" w:rsidR="001631C6" w:rsidRPr="00BA6026" w:rsidRDefault="001631C6" w:rsidP="008F5322">
            <w:pPr>
              <w:jc w:val="center"/>
              <w:rPr>
                <w:sz w:val="22"/>
                <w:szCs w:val="22"/>
                <w:lang w:val="en-US" w:eastAsia="en-GB"/>
              </w:rPr>
            </w:pPr>
            <w:r w:rsidRPr="00BA6026">
              <w:rPr>
                <w:sz w:val="22"/>
                <w:szCs w:val="22"/>
              </w:rPr>
              <w:t>0.714</w:t>
            </w:r>
          </w:p>
        </w:tc>
        <w:tc>
          <w:tcPr>
            <w:tcW w:w="516" w:type="pct"/>
          </w:tcPr>
          <w:p w14:paraId="5563BA4D" w14:textId="77777777" w:rsidR="001631C6" w:rsidRPr="00BA6026" w:rsidRDefault="001631C6" w:rsidP="008F5322">
            <w:pPr>
              <w:jc w:val="center"/>
              <w:rPr>
                <w:sz w:val="22"/>
                <w:szCs w:val="22"/>
                <w:lang w:val="en-US" w:eastAsia="en-GB"/>
              </w:rPr>
            </w:pPr>
            <w:r w:rsidRPr="00BA6026">
              <w:rPr>
                <w:sz w:val="22"/>
                <w:szCs w:val="22"/>
              </w:rPr>
              <w:t>0.230</w:t>
            </w:r>
          </w:p>
        </w:tc>
      </w:tr>
      <w:tr w:rsidR="001631C6" w:rsidRPr="00BA6026" w14:paraId="23C298B2" w14:textId="77777777" w:rsidTr="008F5322">
        <w:trPr>
          <w:trHeight w:val="210"/>
        </w:trPr>
        <w:tc>
          <w:tcPr>
            <w:tcW w:w="2690" w:type="pct"/>
            <w:shd w:val="clear" w:color="auto" w:fill="auto"/>
            <w:noWrap/>
          </w:tcPr>
          <w:p w14:paraId="06C896AA" w14:textId="77777777" w:rsidR="001631C6" w:rsidRPr="00BA6026" w:rsidRDefault="001631C6" w:rsidP="008F5322">
            <w:pPr>
              <w:rPr>
                <w:color w:val="000000"/>
                <w:sz w:val="22"/>
                <w:szCs w:val="22"/>
                <w:lang w:val="en-US" w:eastAsia="en-GB"/>
              </w:rPr>
            </w:pPr>
            <w:r w:rsidRPr="00BA6026">
              <w:rPr>
                <w:bCs/>
                <w:color w:val="000000"/>
                <w:sz w:val="22"/>
                <w:szCs w:val="22"/>
                <w:lang w:val="en-US" w:eastAsia="en-GB"/>
              </w:rPr>
              <w:t>% of Non-domestic Active Top 10 BRs</w:t>
            </w:r>
          </w:p>
        </w:tc>
        <w:tc>
          <w:tcPr>
            <w:tcW w:w="763" w:type="pct"/>
          </w:tcPr>
          <w:p w14:paraId="5848AFBA"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778A66B5" w14:textId="77777777" w:rsidR="001631C6" w:rsidRPr="00BA6026" w:rsidRDefault="001631C6" w:rsidP="008F5322">
            <w:pPr>
              <w:jc w:val="center"/>
              <w:rPr>
                <w:color w:val="000000"/>
                <w:sz w:val="22"/>
                <w:szCs w:val="22"/>
                <w:lang w:val="en-US" w:eastAsia="en-GB"/>
              </w:rPr>
            </w:pPr>
            <w:r w:rsidRPr="00BA6026">
              <w:rPr>
                <w:sz w:val="22"/>
                <w:szCs w:val="22"/>
              </w:rPr>
              <w:t>0.386</w:t>
            </w:r>
          </w:p>
        </w:tc>
        <w:tc>
          <w:tcPr>
            <w:tcW w:w="516" w:type="pct"/>
          </w:tcPr>
          <w:p w14:paraId="13931C6D" w14:textId="77777777" w:rsidR="001631C6" w:rsidRPr="00BA6026" w:rsidRDefault="001631C6" w:rsidP="008F5322">
            <w:pPr>
              <w:jc w:val="center"/>
              <w:rPr>
                <w:color w:val="000000"/>
                <w:sz w:val="22"/>
                <w:szCs w:val="22"/>
                <w:lang w:val="en-US" w:eastAsia="en-GB"/>
              </w:rPr>
            </w:pPr>
            <w:r w:rsidRPr="00BA6026">
              <w:rPr>
                <w:sz w:val="22"/>
                <w:szCs w:val="22"/>
              </w:rPr>
              <w:t>0.333</w:t>
            </w:r>
          </w:p>
        </w:tc>
        <w:tc>
          <w:tcPr>
            <w:tcW w:w="516" w:type="pct"/>
          </w:tcPr>
          <w:p w14:paraId="0DB64004" w14:textId="77777777" w:rsidR="001631C6" w:rsidRPr="00BA6026" w:rsidRDefault="001631C6" w:rsidP="008F5322">
            <w:pPr>
              <w:jc w:val="center"/>
              <w:rPr>
                <w:color w:val="000000"/>
                <w:sz w:val="22"/>
                <w:szCs w:val="22"/>
                <w:lang w:val="en-US" w:eastAsia="en-GB"/>
              </w:rPr>
            </w:pPr>
            <w:r w:rsidRPr="00BA6026">
              <w:rPr>
                <w:sz w:val="22"/>
                <w:szCs w:val="22"/>
              </w:rPr>
              <w:t>0.240</w:t>
            </w:r>
          </w:p>
        </w:tc>
      </w:tr>
      <w:tr w:rsidR="001631C6" w:rsidRPr="00BA6026" w14:paraId="0C930E0A" w14:textId="77777777" w:rsidTr="008F5322">
        <w:trPr>
          <w:trHeight w:val="210"/>
        </w:trPr>
        <w:tc>
          <w:tcPr>
            <w:tcW w:w="2690" w:type="pct"/>
            <w:shd w:val="clear" w:color="auto" w:fill="auto"/>
            <w:noWrap/>
          </w:tcPr>
          <w:p w14:paraId="7B68A3D3" w14:textId="77777777" w:rsidR="001631C6" w:rsidRPr="00BA6026" w:rsidRDefault="001631C6" w:rsidP="008F5322">
            <w:pPr>
              <w:rPr>
                <w:color w:val="000000"/>
                <w:sz w:val="22"/>
                <w:szCs w:val="22"/>
                <w:lang w:val="en-US" w:eastAsia="en-GB"/>
              </w:rPr>
            </w:pPr>
            <w:r w:rsidRPr="00BA6026">
              <w:rPr>
                <w:bCs/>
                <w:color w:val="000000"/>
                <w:sz w:val="22"/>
                <w:szCs w:val="22"/>
                <w:lang w:val="en-US" w:eastAsia="en-GB"/>
              </w:rPr>
              <w:t>% of BRs prior lender</w:t>
            </w:r>
          </w:p>
        </w:tc>
        <w:tc>
          <w:tcPr>
            <w:tcW w:w="763" w:type="pct"/>
          </w:tcPr>
          <w:p w14:paraId="7861DA92"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5D0B1C3B" w14:textId="77777777" w:rsidR="001631C6" w:rsidRPr="00BA6026" w:rsidRDefault="001631C6" w:rsidP="008F5322">
            <w:pPr>
              <w:jc w:val="center"/>
              <w:rPr>
                <w:color w:val="000000"/>
                <w:sz w:val="22"/>
                <w:szCs w:val="22"/>
                <w:lang w:val="en-US" w:eastAsia="en-GB"/>
              </w:rPr>
            </w:pPr>
            <w:r w:rsidRPr="00BA6026">
              <w:rPr>
                <w:sz w:val="22"/>
                <w:szCs w:val="22"/>
              </w:rPr>
              <w:t>0.580</w:t>
            </w:r>
          </w:p>
        </w:tc>
        <w:tc>
          <w:tcPr>
            <w:tcW w:w="516" w:type="pct"/>
          </w:tcPr>
          <w:p w14:paraId="0E46F3C1" w14:textId="77777777" w:rsidR="001631C6" w:rsidRPr="00BA6026" w:rsidRDefault="001631C6" w:rsidP="008F5322">
            <w:pPr>
              <w:jc w:val="center"/>
              <w:rPr>
                <w:color w:val="000000"/>
                <w:sz w:val="22"/>
                <w:szCs w:val="22"/>
                <w:lang w:val="en-US" w:eastAsia="en-GB"/>
              </w:rPr>
            </w:pPr>
            <w:r w:rsidRPr="00BA6026">
              <w:rPr>
                <w:sz w:val="22"/>
                <w:szCs w:val="22"/>
              </w:rPr>
              <w:t>0.750</w:t>
            </w:r>
          </w:p>
        </w:tc>
        <w:tc>
          <w:tcPr>
            <w:tcW w:w="516" w:type="pct"/>
          </w:tcPr>
          <w:p w14:paraId="5301F14E" w14:textId="77777777" w:rsidR="001631C6" w:rsidRPr="00BA6026" w:rsidRDefault="001631C6" w:rsidP="008F5322">
            <w:pPr>
              <w:jc w:val="center"/>
              <w:rPr>
                <w:color w:val="000000"/>
                <w:sz w:val="22"/>
                <w:szCs w:val="22"/>
                <w:lang w:val="en-US" w:eastAsia="en-GB"/>
              </w:rPr>
            </w:pPr>
            <w:r w:rsidRPr="00BA6026">
              <w:rPr>
                <w:sz w:val="22"/>
                <w:szCs w:val="22"/>
              </w:rPr>
              <w:t>0.401</w:t>
            </w:r>
          </w:p>
        </w:tc>
      </w:tr>
      <w:tr w:rsidR="001631C6" w:rsidRPr="00BA6026" w14:paraId="7DDDFBF4" w14:textId="77777777" w:rsidTr="008F5322">
        <w:trPr>
          <w:trHeight w:val="210"/>
        </w:trPr>
        <w:tc>
          <w:tcPr>
            <w:tcW w:w="2690" w:type="pct"/>
            <w:shd w:val="clear" w:color="auto" w:fill="auto"/>
            <w:noWrap/>
            <w:vAlign w:val="center"/>
          </w:tcPr>
          <w:p w14:paraId="008E3ACD" w14:textId="77777777" w:rsidR="001631C6" w:rsidRPr="00BA6026" w:rsidRDefault="001631C6" w:rsidP="008F5322">
            <w:pPr>
              <w:rPr>
                <w:color w:val="000000"/>
                <w:sz w:val="22"/>
                <w:szCs w:val="22"/>
                <w:lang w:val="en-US" w:eastAsia="en-GB"/>
              </w:rPr>
            </w:pPr>
          </w:p>
        </w:tc>
        <w:tc>
          <w:tcPr>
            <w:tcW w:w="763" w:type="pct"/>
            <w:vAlign w:val="center"/>
          </w:tcPr>
          <w:p w14:paraId="6B72818B" w14:textId="77777777" w:rsidR="001631C6" w:rsidRPr="00BA6026" w:rsidRDefault="001631C6" w:rsidP="008F5322">
            <w:pPr>
              <w:jc w:val="center"/>
              <w:rPr>
                <w:color w:val="000000"/>
                <w:sz w:val="22"/>
                <w:szCs w:val="22"/>
                <w:lang w:val="en-US" w:eastAsia="en-GB"/>
              </w:rPr>
            </w:pPr>
          </w:p>
        </w:tc>
        <w:tc>
          <w:tcPr>
            <w:tcW w:w="516" w:type="pct"/>
            <w:vAlign w:val="center"/>
          </w:tcPr>
          <w:p w14:paraId="22E09EBF" w14:textId="77777777" w:rsidR="001631C6" w:rsidRPr="00BA6026" w:rsidRDefault="001631C6" w:rsidP="008F5322">
            <w:pPr>
              <w:jc w:val="center"/>
              <w:rPr>
                <w:color w:val="000000"/>
                <w:sz w:val="22"/>
                <w:szCs w:val="22"/>
                <w:lang w:val="en-US" w:eastAsia="en-GB"/>
              </w:rPr>
            </w:pPr>
          </w:p>
        </w:tc>
        <w:tc>
          <w:tcPr>
            <w:tcW w:w="516" w:type="pct"/>
            <w:vAlign w:val="center"/>
          </w:tcPr>
          <w:p w14:paraId="1E36BDF6" w14:textId="77777777" w:rsidR="001631C6" w:rsidRPr="00BA6026" w:rsidRDefault="001631C6" w:rsidP="008F5322">
            <w:pPr>
              <w:jc w:val="center"/>
              <w:rPr>
                <w:sz w:val="22"/>
                <w:szCs w:val="22"/>
                <w:lang w:val="en-US" w:eastAsia="en-GB"/>
              </w:rPr>
            </w:pPr>
          </w:p>
        </w:tc>
        <w:tc>
          <w:tcPr>
            <w:tcW w:w="516" w:type="pct"/>
            <w:vAlign w:val="center"/>
          </w:tcPr>
          <w:p w14:paraId="35223F2A" w14:textId="77777777" w:rsidR="001631C6" w:rsidRPr="00BA6026" w:rsidRDefault="001631C6" w:rsidP="008F5322">
            <w:pPr>
              <w:jc w:val="center"/>
              <w:rPr>
                <w:sz w:val="22"/>
                <w:szCs w:val="22"/>
                <w:lang w:val="en-US" w:eastAsia="en-GB"/>
              </w:rPr>
            </w:pPr>
          </w:p>
        </w:tc>
      </w:tr>
      <w:tr w:rsidR="001631C6" w:rsidRPr="00BA6026" w14:paraId="543B5B37" w14:textId="77777777" w:rsidTr="008F5322">
        <w:trPr>
          <w:trHeight w:val="210"/>
        </w:trPr>
        <w:tc>
          <w:tcPr>
            <w:tcW w:w="5000" w:type="pct"/>
            <w:gridSpan w:val="5"/>
            <w:shd w:val="clear" w:color="auto" w:fill="auto"/>
            <w:noWrap/>
            <w:vAlign w:val="center"/>
            <w:hideMark/>
          </w:tcPr>
          <w:p w14:paraId="4817CDB4" w14:textId="77777777" w:rsidR="001631C6" w:rsidRPr="00BA6026" w:rsidRDefault="001631C6" w:rsidP="008F5322">
            <w:pPr>
              <w:rPr>
                <w:bCs/>
                <w:i/>
                <w:color w:val="000000"/>
                <w:sz w:val="22"/>
                <w:szCs w:val="22"/>
                <w:lang w:val="en-US" w:eastAsia="en-GB"/>
              </w:rPr>
            </w:pPr>
            <w:r w:rsidRPr="00BA6026">
              <w:rPr>
                <w:bCs/>
                <w:i/>
                <w:color w:val="000000"/>
                <w:sz w:val="22"/>
                <w:szCs w:val="22"/>
                <w:lang w:val="en-US" w:eastAsia="en-GB"/>
              </w:rPr>
              <w:t>Panel B: Tranche and firm characteristics</w:t>
            </w:r>
          </w:p>
        </w:tc>
      </w:tr>
      <w:tr w:rsidR="001631C6" w:rsidRPr="00BA6026" w14:paraId="5A6D68C5" w14:textId="77777777" w:rsidTr="008F5322">
        <w:trPr>
          <w:trHeight w:val="210"/>
        </w:trPr>
        <w:tc>
          <w:tcPr>
            <w:tcW w:w="2690" w:type="pct"/>
            <w:shd w:val="clear" w:color="auto" w:fill="auto"/>
            <w:noWrap/>
            <w:vAlign w:val="center"/>
            <w:hideMark/>
          </w:tcPr>
          <w:p w14:paraId="04272B3F"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No. of bonds</w:t>
            </w:r>
          </w:p>
        </w:tc>
        <w:tc>
          <w:tcPr>
            <w:tcW w:w="763" w:type="pct"/>
          </w:tcPr>
          <w:p w14:paraId="6DB2B054"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7B23794D" w14:textId="77777777" w:rsidR="001631C6" w:rsidRPr="00BA6026" w:rsidRDefault="001631C6" w:rsidP="008F5322">
            <w:pPr>
              <w:jc w:val="center"/>
              <w:rPr>
                <w:color w:val="000000"/>
                <w:sz w:val="22"/>
                <w:szCs w:val="22"/>
                <w:lang w:val="en-US" w:eastAsia="en-GB"/>
              </w:rPr>
            </w:pPr>
            <w:r w:rsidRPr="00BA6026">
              <w:rPr>
                <w:sz w:val="22"/>
                <w:szCs w:val="22"/>
              </w:rPr>
              <w:t>17.329</w:t>
            </w:r>
          </w:p>
        </w:tc>
        <w:tc>
          <w:tcPr>
            <w:tcW w:w="516" w:type="pct"/>
          </w:tcPr>
          <w:p w14:paraId="1AF189AB" w14:textId="77777777" w:rsidR="001631C6" w:rsidRPr="00BA6026" w:rsidRDefault="001631C6" w:rsidP="008F5322">
            <w:pPr>
              <w:jc w:val="center"/>
              <w:rPr>
                <w:color w:val="000000"/>
                <w:sz w:val="22"/>
                <w:szCs w:val="22"/>
                <w:lang w:val="en-US" w:eastAsia="en-GB"/>
              </w:rPr>
            </w:pPr>
            <w:r w:rsidRPr="00BA6026">
              <w:rPr>
                <w:sz w:val="22"/>
                <w:szCs w:val="22"/>
              </w:rPr>
              <w:t>12.000</w:t>
            </w:r>
          </w:p>
        </w:tc>
        <w:tc>
          <w:tcPr>
            <w:tcW w:w="516" w:type="pct"/>
          </w:tcPr>
          <w:p w14:paraId="3F3B20FD" w14:textId="77777777" w:rsidR="001631C6" w:rsidRPr="00BA6026" w:rsidRDefault="001631C6" w:rsidP="008F5322">
            <w:pPr>
              <w:jc w:val="center"/>
              <w:rPr>
                <w:color w:val="000000"/>
                <w:sz w:val="22"/>
                <w:szCs w:val="22"/>
                <w:lang w:val="en-US" w:eastAsia="en-GB"/>
              </w:rPr>
            </w:pPr>
            <w:r w:rsidRPr="00BA6026">
              <w:rPr>
                <w:sz w:val="22"/>
                <w:szCs w:val="22"/>
              </w:rPr>
              <w:t>26.121</w:t>
            </w:r>
          </w:p>
        </w:tc>
      </w:tr>
      <w:tr w:rsidR="001631C6" w:rsidRPr="00BA6026" w14:paraId="6ABC1058" w14:textId="77777777" w:rsidTr="008F5322">
        <w:trPr>
          <w:trHeight w:val="210"/>
        </w:trPr>
        <w:tc>
          <w:tcPr>
            <w:tcW w:w="2690" w:type="pct"/>
            <w:shd w:val="clear" w:color="auto" w:fill="auto"/>
            <w:noWrap/>
            <w:vAlign w:val="center"/>
          </w:tcPr>
          <w:p w14:paraId="325925C2"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Firm size (€bn)</w:t>
            </w:r>
          </w:p>
        </w:tc>
        <w:tc>
          <w:tcPr>
            <w:tcW w:w="763" w:type="pct"/>
          </w:tcPr>
          <w:p w14:paraId="210A554D"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24772BF0" w14:textId="77777777" w:rsidR="001631C6" w:rsidRPr="00BA6026" w:rsidRDefault="001631C6" w:rsidP="008F5322">
            <w:pPr>
              <w:jc w:val="center"/>
              <w:rPr>
                <w:color w:val="000000"/>
                <w:sz w:val="22"/>
                <w:szCs w:val="22"/>
                <w:lang w:val="en-US" w:eastAsia="en-GB"/>
              </w:rPr>
            </w:pPr>
            <w:r w:rsidRPr="00BA6026">
              <w:rPr>
                <w:sz w:val="22"/>
                <w:szCs w:val="22"/>
              </w:rPr>
              <w:t>73.128</w:t>
            </w:r>
          </w:p>
        </w:tc>
        <w:tc>
          <w:tcPr>
            <w:tcW w:w="516" w:type="pct"/>
          </w:tcPr>
          <w:p w14:paraId="0ADD5C2D" w14:textId="77777777" w:rsidR="001631C6" w:rsidRPr="00BA6026" w:rsidRDefault="001631C6" w:rsidP="008F5322">
            <w:pPr>
              <w:jc w:val="center"/>
              <w:rPr>
                <w:color w:val="000000"/>
                <w:sz w:val="22"/>
                <w:szCs w:val="22"/>
                <w:lang w:val="en-US" w:eastAsia="en-GB"/>
              </w:rPr>
            </w:pPr>
            <w:r w:rsidRPr="00BA6026">
              <w:rPr>
                <w:sz w:val="22"/>
                <w:szCs w:val="22"/>
              </w:rPr>
              <w:t>37.391</w:t>
            </w:r>
          </w:p>
        </w:tc>
        <w:tc>
          <w:tcPr>
            <w:tcW w:w="516" w:type="pct"/>
          </w:tcPr>
          <w:p w14:paraId="6925D07C" w14:textId="77777777" w:rsidR="001631C6" w:rsidRPr="00BA6026" w:rsidRDefault="001631C6" w:rsidP="008F5322">
            <w:pPr>
              <w:jc w:val="center"/>
              <w:rPr>
                <w:color w:val="000000"/>
                <w:sz w:val="22"/>
                <w:szCs w:val="22"/>
                <w:lang w:val="en-US" w:eastAsia="en-GB"/>
              </w:rPr>
            </w:pPr>
            <w:r w:rsidRPr="00BA6026">
              <w:rPr>
                <w:sz w:val="22"/>
                <w:szCs w:val="22"/>
              </w:rPr>
              <w:t>124.219</w:t>
            </w:r>
          </w:p>
        </w:tc>
      </w:tr>
      <w:tr w:rsidR="001631C6" w:rsidRPr="00BA6026" w14:paraId="2D194067" w14:textId="77777777" w:rsidTr="008F5322">
        <w:trPr>
          <w:trHeight w:val="210"/>
        </w:trPr>
        <w:tc>
          <w:tcPr>
            <w:tcW w:w="2690" w:type="pct"/>
            <w:shd w:val="clear" w:color="auto" w:fill="auto"/>
            <w:noWrap/>
            <w:vAlign w:val="center"/>
          </w:tcPr>
          <w:p w14:paraId="4BCBDE01"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Profitability</w:t>
            </w:r>
          </w:p>
        </w:tc>
        <w:tc>
          <w:tcPr>
            <w:tcW w:w="763" w:type="pct"/>
          </w:tcPr>
          <w:p w14:paraId="6710A4A0"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04888D48" w14:textId="77777777" w:rsidR="001631C6" w:rsidRPr="00BA6026" w:rsidRDefault="001631C6" w:rsidP="008F5322">
            <w:pPr>
              <w:jc w:val="center"/>
              <w:rPr>
                <w:color w:val="000000"/>
                <w:sz w:val="22"/>
                <w:szCs w:val="22"/>
                <w:lang w:val="en-US" w:eastAsia="en-GB"/>
              </w:rPr>
            </w:pPr>
            <w:r w:rsidRPr="00BA6026">
              <w:rPr>
                <w:sz w:val="22"/>
                <w:szCs w:val="22"/>
              </w:rPr>
              <w:t>0.113</w:t>
            </w:r>
          </w:p>
        </w:tc>
        <w:tc>
          <w:tcPr>
            <w:tcW w:w="516" w:type="pct"/>
          </w:tcPr>
          <w:p w14:paraId="05A0C000" w14:textId="77777777" w:rsidR="001631C6" w:rsidRPr="00BA6026" w:rsidRDefault="001631C6" w:rsidP="008F5322">
            <w:pPr>
              <w:jc w:val="center"/>
              <w:rPr>
                <w:color w:val="000000"/>
                <w:sz w:val="22"/>
                <w:szCs w:val="22"/>
                <w:lang w:val="en-US" w:eastAsia="en-GB"/>
              </w:rPr>
            </w:pPr>
            <w:r w:rsidRPr="00BA6026">
              <w:rPr>
                <w:sz w:val="22"/>
                <w:szCs w:val="22"/>
              </w:rPr>
              <w:t>0.106</w:t>
            </w:r>
          </w:p>
        </w:tc>
        <w:tc>
          <w:tcPr>
            <w:tcW w:w="516" w:type="pct"/>
          </w:tcPr>
          <w:p w14:paraId="02F2865D" w14:textId="77777777" w:rsidR="001631C6" w:rsidRPr="00BA6026" w:rsidRDefault="001631C6" w:rsidP="008F5322">
            <w:pPr>
              <w:jc w:val="center"/>
              <w:rPr>
                <w:color w:val="000000"/>
                <w:sz w:val="22"/>
                <w:szCs w:val="22"/>
                <w:lang w:val="en-US" w:eastAsia="en-GB"/>
              </w:rPr>
            </w:pPr>
            <w:r w:rsidRPr="00BA6026">
              <w:rPr>
                <w:sz w:val="22"/>
                <w:szCs w:val="22"/>
              </w:rPr>
              <w:t>0.055</w:t>
            </w:r>
          </w:p>
        </w:tc>
      </w:tr>
      <w:tr w:rsidR="001631C6" w:rsidRPr="00BA6026" w14:paraId="63539F19" w14:textId="77777777" w:rsidTr="008F5322">
        <w:trPr>
          <w:trHeight w:val="210"/>
        </w:trPr>
        <w:tc>
          <w:tcPr>
            <w:tcW w:w="2690" w:type="pct"/>
            <w:shd w:val="clear" w:color="auto" w:fill="auto"/>
            <w:noWrap/>
            <w:vAlign w:val="center"/>
          </w:tcPr>
          <w:p w14:paraId="3CC8861D"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Intangible assets</w:t>
            </w:r>
          </w:p>
        </w:tc>
        <w:tc>
          <w:tcPr>
            <w:tcW w:w="763" w:type="pct"/>
          </w:tcPr>
          <w:p w14:paraId="73CDD715"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3AC12495" w14:textId="77777777" w:rsidR="001631C6" w:rsidRPr="00BA6026" w:rsidRDefault="001631C6" w:rsidP="008F5322">
            <w:pPr>
              <w:jc w:val="center"/>
              <w:rPr>
                <w:color w:val="000000"/>
                <w:sz w:val="22"/>
                <w:szCs w:val="22"/>
                <w:lang w:val="en-US" w:eastAsia="en-GB"/>
              </w:rPr>
            </w:pPr>
            <w:r w:rsidRPr="00BA6026">
              <w:rPr>
                <w:sz w:val="22"/>
                <w:szCs w:val="22"/>
              </w:rPr>
              <w:t>0.696</w:t>
            </w:r>
          </w:p>
        </w:tc>
        <w:tc>
          <w:tcPr>
            <w:tcW w:w="516" w:type="pct"/>
          </w:tcPr>
          <w:p w14:paraId="1EA54DF5" w14:textId="77777777" w:rsidR="001631C6" w:rsidRPr="00BA6026" w:rsidRDefault="001631C6" w:rsidP="008F5322">
            <w:pPr>
              <w:jc w:val="center"/>
              <w:rPr>
                <w:color w:val="000000"/>
                <w:sz w:val="22"/>
                <w:szCs w:val="22"/>
                <w:lang w:val="en-US" w:eastAsia="en-GB"/>
              </w:rPr>
            </w:pPr>
            <w:r w:rsidRPr="00BA6026">
              <w:rPr>
                <w:sz w:val="22"/>
                <w:szCs w:val="22"/>
              </w:rPr>
              <w:t>0.714</w:t>
            </w:r>
          </w:p>
        </w:tc>
        <w:tc>
          <w:tcPr>
            <w:tcW w:w="516" w:type="pct"/>
          </w:tcPr>
          <w:p w14:paraId="46AC8413" w14:textId="77777777" w:rsidR="001631C6" w:rsidRPr="00BA6026" w:rsidRDefault="001631C6" w:rsidP="008F5322">
            <w:pPr>
              <w:jc w:val="center"/>
              <w:rPr>
                <w:color w:val="000000"/>
                <w:sz w:val="22"/>
                <w:szCs w:val="22"/>
                <w:lang w:val="en-US" w:eastAsia="en-GB"/>
              </w:rPr>
            </w:pPr>
            <w:r w:rsidRPr="00BA6026">
              <w:rPr>
                <w:sz w:val="22"/>
                <w:szCs w:val="22"/>
              </w:rPr>
              <w:t>0.206</w:t>
            </w:r>
          </w:p>
        </w:tc>
      </w:tr>
      <w:tr w:rsidR="001631C6" w:rsidRPr="00BA6026" w14:paraId="54EA210B" w14:textId="77777777" w:rsidTr="008F5322">
        <w:trPr>
          <w:trHeight w:val="210"/>
        </w:trPr>
        <w:tc>
          <w:tcPr>
            <w:tcW w:w="2690" w:type="pct"/>
            <w:shd w:val="clear" w:color="auto" w:fill="auto"/>
            <w:noWrap/>
            <w:vAlign w:val="center"/>
          </w:tcPr>
          <w:p w14:paraId="1A0B65E4"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Leverage</w:t>
            </w:r>
          </w:p>
        </w:tc>
        <w:tc>
          <w:tcPr>
            <w:tcW w:w="763" w:type="pct"/>
          </w:tcPr>
          <w:p w14:paraId="42508D35"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2745F8A1" w14:textId="77777777" w:rsidR="001631C6" w:rsidRPr="00BA6026" w:rsidRDefault="001631C6" w:rsidP="008F5322">
            <w:pPr>
              <w:jc w:val="center"/>
              <w:rPr>
                <w:color w:val="000000"/>
                <w:sz w:val="22"/>
                <w:szCs w:val="22"/>
                <w:lang w:val="en-US" w:eastAsia="en-GB"/>
              </w:rPr>
            </w:pPr>
            <w:r w:rsidRPr="00BA6026">
              <w:rPr>
                <w:sz w:val="22"/>
                <w:szCs w:val="22"/>
              </w:rPr>
              <w:t>0.326</w:t>
            </w:r>
          </w:p>
        </w:tc>
        <w:tc>
          <w:tcPr>
            <w:tcW w:w="516" w:type="pct"/>
          </w:tcPr>
          <w:p w14:paraId="4260122D" w14:textId="77777777" w:rsidR="001631C6" w:rsidRPr="00BA6026" w:rsidRDefault="001631C6" w:rsidP="008F5322">
            <w:pPr>
              <w:jc w:val="center"/>
              <w:rPr>
                <w:color w:val="000000"/>
                <w:sz w:val="22"/>
                <w:szCs w:val="22"/>
                <w:lang w:val="en-US" w:eastAsia="en-GB"/>
              </w:rPr>
            </w:pPr>
            <w:r w:rsidRPr="00BA6026">
              <w:rPr>
                <w:sz w:val="22"/>
                <w:szCs w:val="22"/>
              </w:rPr>
              <w:t>0.320</w:t>
            </w:r>
          </w:p>
        </w:tc>
        <w:tc>
          <w:tcPr>
            <w:tcW w:w="516" w:type="pct"/>
          </w:tcPr>
          <w:p w14:paraId="7AA63271" w14:textId="77777777" w:rsidR="001631C6" w:rsidRPr="00BA6026" w:rsidRDefault="001631C6" w:rsidP="008F5322">
            <w:pPr>
              <w:jc w:val="center"/>
              <w:rPr>
                <w:color w:val="000000"/>
                <w:sz w:val="22"/>
                <w:szCs w:val="22"/>
                <w:lang w:val="en-US" w:eastAsia="en-GB"/>
              </w:rPr>
            </w:pPr>
            <w:r w:rsidRPr="00BA6026">
              <w:rPr>
                <w:sz w:val="22"/>
                <w:szCs w:val="22"/>
              </w:rPr>
              <w:t>0.147</w:t>
            </w:r>
          </w:p>
        </w:tc>
      </w:tr>
      <w:tr w:rsidR="001631C6" w:rsidRPr="00BA6026" w14:paraId="5ECDA290" w14:textId="77777777" w:rsidTr="008F5322">
        <w:trPr>
          <w:trHeight w:val="210"/>
        </w:trPr>
        <w:tc>
          <w:tcPr>
            <w:tcW w:w="2690" w:type="pct"/>
            <w:shd w:val="clear" w:color="auto" w:fill="auto"/>
            <w:noWrap/>
            <w:vAlign w:val="center"/>
          </w:tcPr>
          <w:p w14:paraId="350296E9"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Growth opportunities</w:t>
            </w:r>
          </w:p>
        </w:tc>
        <w:tc>
          <w:tcPr>
            <w:tcW w:w="763" w:type="pct"/>
          </w:tcPr>
          <w:p w14:paraId="3F644269"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045480DA" w14:textId="77777777" w:rsidR="001631C6" w:rsidRPr="00BA6026" w:rsidRDefault="001631C6" w:rsidP="008F5322">
            <w:pPr>
              <w:jc w:val="center"/>
              <w:rPr>
                <w:color w:val="000000"/>
                <w:sz w:val="22"/>
                <w:szCs w:val="22"/>
                <w:lang w:val="en-US" w:eastAsia="en-GB"/>
              </w:rPr>
            </w:pPr>
            <w:r w:rsidRPr="00BA6026">
              <w:rPr>
                <w:sz w:val="22"/>
                <w:szCs w:val="22"/>
              </w:rPr>
              <w:t>1.820</w:t>
            </w:r>
          </w:p>
        </w:tc>
        <w:tc>
          <w:tcPr>
            <w:tcW w:w="516" w:type="pct"/>
          </w:tcPr>
          <w:p w14:paraId="38DFE258" w14:textId="77777777" w:rsidR="001631C6" w:rsidRPr="00BA6026" w:rsidRDefault="001631C6" w:rsidP="008F5322">
            <w:pPr>
              <w:jc w:val="center"/>
              <w:rPr>
                <w:color w:val="000000"/>
                <w:sz w:val="22"/>
                <w:szCs w:val="22"/>
                <w:lang w:val="en-US" w:eastAsia="en-GB"/>
              </w:rPr>
            </w:pPr>
            <w:r w:rsidRPr="00BA6026">
              <w:rPr>
                <w:sz w:val="22"/>
                <w:szCs w:val="22"/>
              </w:rPr>
              <w:t>1.657</w:t>
            </w:r>
          </w:p>
        </w:tc>
        <w:tc>
          <w:tcPr>
            <w:tcW w:w="516" w:type="pct"/>
          </w:tcPr>
          <w:p w14:paraId="7FFB17D1" w14:textId="77777777" w:rsidR="001631C6" w:rsidRPr="00BA6026" w:rsidRDefault="001631C6" w:rsidP="008F5322">
            <w:pPr>
              <w:jc w:val="center"/>
              <w:rPr>
                <w:color w:val="000000"/>
                <w:sz w:val="22"/>
                <w:szCs w:val="22"/>
                <w:lang w:val="en-US" w:eastAsia="en-GB"/>
              </w:rPr>
            </w:pPr>
            <w:r w:rsidRPr="00BA6026">
              <w:rPr>
                <w:sz w:val="22"/>
                <w:szCs w:val="22"/>
              </w:rPr>
              <w:t>0.778</w:t>
            </w:r>
          </w:p>
        </w:tc>
      </w:tr>
      <w:tr w:rsidR="001631C6" w:rsidRPr="00BA6026" w14:paraId="0F177095" w14:textId="77777777" w:rsidTr="008F5322">
        <w:trPr>
          <w:trHeight w:val="210"/>
        </w:trPr>
        <w:tc>
          <w:tcPr>
            <w:tcW w:w="2690" w:type="pct"/>
            <w:shd w:val="clear" w:color="auto" w:fill="auto"/>
            <w:noWrap/>
            <w:vAlign w:val="center"/>
          </w:tcPr>
          <w:p w14:paraId="11E24F0C"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Government owned</w:t>
            </w:r>
          </w:p>
        </w:tc>
        <w:tc>
          <w:tcPr>
            <w:tcW w:w="763" w:type="pct"/>
          </w:tcPr>
          <w:p w14:paraId="31FF45F1"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292B0C70" w14:textId="77777777" w:rsidR="001631C6" w:rsidRPr="00BA6026" w:rsidRDefault="001631C6" w:rsidP="008F5322">
            <w:pPr>
              <w:jc w:val="center"/>
              <w:rPr>
                <w:color w:val="000000"/>
                <w:sz w:val="22"/>
                <w:szCs w:val="22"/>
                <w:lang w:val="en-US" w:eastAsia="en-GB"/>
              </w:rPr>
            </w:pPr>
            <w:r w:rsidRPr="00BA6026">
              <w:rPr>
                <w:sz w:val="22"/>
                <w:szCs w:val="22"/>
              </w:rPr>
              <w:t>0.043</w:t>
            </w:r>
          </w:p>
        </w:tc>
        <w:tc>
          <w:tcPr>
            <w:tcW w:w="516" w:type="pct"/>
          </w:tcPr>
          <w:p w14:paraId="7388EF03" w14:textId="77777777" w:rsidR="001631C6" w:rsidRPr="00BA6026" w:rsidRDefault="001631C6" w:rsidP="008F5322">
            <w:pPr>
              <w:jc w:val="center"/>
              <w:rPr>
                <w:sz w:val="22"/>
                <w:szCs w:val="22"/>
                <w:lang w:val="en-US" w:eastAsia="en-GB"/>
              </w:rPr>
            </w:pPr>
            <w:r w:rsidRPr="00BA6026">
              <w:rPr>
                <w:sz w:val="22"/>
                <w:szCs w:val="22"/>
              </w:rPr>
              <w:t>0.000</w:t>
            </w:r>
          </w:p>
        </w:tc>
        <w:tc>
          <w:tcPr>
            <w:tcW w:w="516" w:type="pct"/>
          </w:tcPr>
          <w:p w14:paraId="67464D7C" w14:textId="77777777" w:rsidR="001631C6" w:rsidRPr="00BA6026" w:rsidRDefault="001631C6" w:rsidP="008F5322">
            <w:pPr>
              <w:jc w:val="center"/>
              <w:rPr>
                <w:sz w:val="22"/>
                <w:szCs w:val="22"/>
                <w:lang w:val="en-US" w:eastAsia="en-GB"/>
              </w:rPr>
            </w:pPr>
            <w:r w:rsidRPr="00BA6026">
              <w:rPr>
                <w:sz w:val="22"/>
                <w:szCs w:val="22"/>
              </w:rPr>
              <w:t>0.203</w:t>
            </w:r>
          </w:p>
        </w:tc>
      </w:tr>
      <w:tr w:rsidR="001631C6" w:rsidRPr="00BA6026" w14:paraId="4BDAAF55" w14:textId="77777777" w:rsidTr="008F5322">
        <w:trPr>
          <w:trHeight w:val="210"/>
        </w:trPr>
        <w:tc>
          <w:tcPr>
            <w:tcW w:w="2690" w:type="pct"/>
            <w:shd w:val="clear" w:color="auto" w:fill="auto"/>
            <w:noWrap/>
            <w:vAlign w:val="center"/>
          </w:tcPr>
          <w:p w14:paraId="1146B223"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Credit rating</w:t>
            </w:r>
          </w:p>
        </w:tc>
        <w:tc>
          <w:tcPr>
            <w:tcW w:w="763" w:type="pct"/>
          </w:tcPr>
          <w:p w14:paraId="602CB06B"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2D78F28E" w14:textId="77777777" w:rsidR="001631C6" w:rsidRPr="00BA6026" w:rsidRDefault="001631C6" w:rsidP="008F5322">
            <w:pPr>
              <w:jc w:val="center"/>
              <w:rPr>
                <w:color w:val="000000"/>
                <w:sz w:val="22"/>
                <w:szCs w:val="22"/>
                <w:lang w:val="en-US" w:eastAsia="en-GB"/>
              </w:rPr>
            </w:pPr>
            <w:r w:rsidRPr="00BA6026">
              <w:rPr>
                <w:sz w:val="22"/>
                <w:szCs w:val="22"/>
              </w:rPr>
              <w:t>7.728</w:t>
            </w:r>
          </w:p>
        </w:tc>
        <w:tc>
          <w:tcPr>
            <w:tcW w:w="516" w:type="pct"/>
          </w:tcPr>
          <w:p w14:paraId="13FE0AD4" w14:textId="77777777" w:rsidR="001631C6" w:rsidRPr="00BA6026" w:rsidRDefault="001631C6" w:rsidP="008F5322">
            <w:pPr>
              <w:jc w:val="center"/>
              <w:rPr>
                <w:color w:val="000000"/>
                <w:sz w:val="22"/>
                <w:szCs w:val="22"/>
                <w:lang w:val="en-US" w:eastAsia="en-GB"/>
              </w:rPr>
            </w:pPr>
            <w:r w:rsidRPr="00BA6026">
              <w:rPr>
                <w:sz w:val="22"/>
                <w:szCs w:val="22"/>
              </w:rPr>
              <w:t>8.000</w:t>
            </w:r>
          </w:p>
        </w:tc>
        <w:tc>
          <w:tcPr>
            <w:tcW w:w="516" w:type="pct"/>
          </w:tcPr>
          <w:p w14:paraId="13F2274F" w14:textId="77777777" w:rsidR="001631C6" w:rsidRPr="00BA6026" w:rsidRDefault="001631C6" w:rsidP="008F5322">
            <w:pPr>
              <w:jc w:val="center"/>
              <w:rPr>
                <w:color w:val="000000"/>
                <w:sz w:val="22"/>
                <w:szCs w:val="22"/>
                <w:lang w:val="en-US" w:eastAsia="en-GB"/>
              </w:rPr>
            </w:pPr>
            <w:r w:rsidRPr="00BA6026">
              <w:rPr>
                <w:sz w:val="22"/>
                <w:szCs w:val="22"/>
              </w:rPr>
              <w:t>2.054</w:t>
            </w:r>
          </w:p>
        </w:tc>
      </w:tr>
      <w:tr w:rsidR="001631C6" w:rsidRPr="00BA6026" w14:paraId="4371BD98" w14:textId="77777777" w:rsidTr="008F5322">
        <w:trPr>
          <w:trHeight w:val="210"/>
        </w:trPr>
        <w:tc>
          <w:tcPr>
            <w:tcW w:w="2690" w:type="pct"/>
            <w:shd w:val="clear" w:color="auto" w:fill="auto"/>
            <w:noWrap/>
            <w:vAlign w:val="center"/>
          </w:tcPr>
          <w:p w14:paraId="1F851B1C"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Maturity</w:t>
            </w:r>
          </w:p>
        </w:tc>
        <w:tc>
          <w:tcPr>
            <w:tcW w:w="763" w:type="pct"/>
          </w:tcPr>
          <w:p w14:paraId="506DC2BC"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1DD47DAA" w14:textId="77777777" w:rsidR="001631C6" w:rsidRPr="00BA6026" w:rsidRDefault="001631C6" w:rsidP="008F5322">
            <w:pPr>
              <w:jc w:val="center"/>
              <w:rPr>
                <w:color w:val="000000"/>
                <w:sz w:val="22"/>
                <w:szCs w:val="22"/>
                <w:lang w:val="en-US" w:eastAsia="en-GB"/>
              </w:rPr>
            </w:pPr>
            <w:r w:rsidRPr="00BA6026">
              <w:rPr>
                <w:sz w:val="22"/>
                <w:szCs w:val="22"/>
              </w:rPr>
              <w:t>7.783</w:t>
            </w:r>
          </w:p>
        </w:tc>
        <w:tc>
          <w:tcPr>
            <w:tcW w:w="516" w:type="pct"/>
          </w:tcPr>
          <w:p w14:paraId="7BE5B4A7" w14:textId="77777777" w:rsidR="001631C6" w:rsidRPr="00BA6026" w:rsidRDefault="001631C6" w:rsidP="008F5322">
            <w:pPr>
              <w:jc w:val="center"/>
              <w:rPr>
                <w:color w:val="000000"/>
                <w:sz w:val="22"/>
                <w:szCs w:val="22"/>
                <w:lang w:val="en-US" w:eastAsia="en-GB"/>
              </w:rPr>
            </w:pPr>
            <w:r w:rsidRPr="00BA6026">
              <w:rPr>
                <w:sz w:val="22"/>
                <w:szCs w:val="22"/>
              </w:rPr>
              <w:t>7.000</w:t>
            </w:r>
          </w:p>
        </w:tc>
        <w:tc>
          <w:tcPr>
            <w:tcW w:w="516" w:type="pct"/>
          </w:tcPr>
          <w:p w14:paraId="365058F7" w14:textId="77777777" w:rsidR="001631C6" w:rsidRPr="00BA6026" w:rsidRDefault="001631C6" w:rsidP="008F5322">
            <w:pPr>
              <w:jc w:val="center"/>
              <w:rPr>
                <w:color w:val="000000"/>
                <w:sz w:val="22"/>
                <w:szCs w:val="22"/>
                <w:lang w:val="en-US" w:eastAsia="en-GB"/>
              </w:rPr>
            </w:pPr>
            <w:r w:rsidRPr="00BA6026">
              <w:rPr>
                <w:sz w:val="22"/>
                <w:szCs w:val="22"/>
              </w:rPr>
              <w:t>3.954</w:t>
            </w:r>
          </w:p>
        </w:tc>
      </w:tr>
      <w:tr w:rsidR="001631C6" w:rsidRPr="00BA6026" w14:paraId="35ADA248" w14:textId="77777777" w:rsidTr="008F5322">
        <w:trPr>
          <w:trHeight w:val="210"/>
        </w:trPr>
        <w:tc>
          <w:tcPr>
            <w:tcW w:w="2690" w:type="pct"/>
            <w:shd w:val="clear" w:color="auto" w:fill="auto"/>
            <w:noWrap/>
            <w:vAlign w:val="center"/>
          </w:tcPr>
          <w:p w14:paraId="7D833D17"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Tranche size (€m)</w:t>
            </w:r>
          </w:p>
        </w:tc>
        <w:tc>
          <w:tcPr>
            <w:tcW w:w="763" w:type="pct"/>
          </w:tcPr>
          <w:p w14:paraId="2ECBA97F"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563236A4" w14:textId="77777777" w:rsidR="001631C6" w:rsidRPr="00BA6026" w:rsidRDefault="001631C6" w:rsidP="008F5322">
            <w:pPr>
              <w:jc w:val="center"/>
              <w:rPr>
                <w:color w:val="000000"/>
                <w:sz w:val="22"/>
                <w:szCs w:val="22"/>
                <w:lang w:val="en-US" w:eastAsia="en-GB"/>
              </w:rPr>
            </w:pPr>
            <w:r w:rsidRPr="00BA6026">
              <w:rPr>
                <w:sz w:val="22"/>
                <w:szCs w:val="22"/>
              </w:rPr>
              <w:t>779.885</w:t>
            </w:r>
          </w:p>
        </w:tc>
        <w:tc>
          <w:tcPr>
            <w:tcW w:w="516" w:type="pct"/>
          </w:tcPr>
          <w:p w14:paraId="5F6712AF" w14:textId="77777777" w:rsidR="001631C6" w:rsidRPr="00BA6026" w:rsidRDefault="001631C6" w:rsidP="008F5322">
            <w:pPr>
              <w:jc w:val="center"/>
              <w:rPr>
                <w:color w:val="000000"/>
                <w:sz w:val="22"/>
                <w:szCs w:val="22"/>
                <w:lang w:val="en-US" w:eastAsia="en-GB"/>
              </w:rPr>
            </w:pPr>
            <w:r w:rsidRPr="00BA6026">
              <w:rPr>
                <w:sz w:val="22"/>
                <w:szCs w:val="22"/>
              </w:rPr>
              <w:t>750.000</w:t>
            </w:r>
          </w:p>
        </w:tc>
        <w:tc>
          <w:tcPr>
            <w:tcW w:w="516" w:type="pct"/>
          </w:tcPr>
          <w:p w14:paraId="1044AD00" w14:textId="77777777" w:rsidR="001631C6" w:rsidRPr="00BA6026" w:rsidRDefault="001631C6" w:rsidP="008F5322">
            <w:pPr>
              <w:jc w:val="center"/>
              <w:rPr>
                <w:color w:val="000000"/>
                <w:sz w:val="22"/>
                <w:szCs w:val="22"/>
                <w:lang w:val="en-US" w:eastAsia="en-GB"/>
              </w:rPr>
            </w:pPr>
            <w:r w:rsidRPr="00BA6026">
              <w:rPr>
                <w:sz w:val="22"/>
                <w:szCs w:val="22"/>
              </w:rPr>
              <w:t>413.054</w:t>
            </w:r>
          </w:p>
        </w:tc>
      </w:tr>
      <w:tr w:rsidR="001631C6" w:rsidRPr="00BA6026" w14:paraId="07E14D1C" w14:textId="77777777" w:rsidTr="008F5322">
        <w:trPr>
          <w:trHeight w:val="70"/>
        </w:trPr>
        <w:tc>
          <w:tcPr>
            <w:tcW w:w="2690" w:type="pct"/>
            <w:shd w:val="clear" w:color="auto" w:fill="auto"/>
            <w:noWrap/>
            <w:vAlign w:val="center"/>
            <w:hideMark/>
          </w:tcPr>
          <w:p w14:paraId="6137705B"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Multi-tranche</w:t>
            </w:r>
          </w:p>
        </w:tc>
        <w:tc>
          <w:tcPr>
            <w:tcW w:w="763" w:type="pct"/>
          </w:tcPr>
          <w:p w14:paraId="26DE48D9"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389D74FD" w14:textId="77777777" w:rsidR="001631C6" w:rsidRPr="00BA6026" w:rsidRDefault="001631C6" w:rsidP="008F5322">
            <w:pPr>
              <w:jc w:val="center"/>
              <w:rPr>
                <w:color w:val="000000"/>
                <w:sz w:val="22"/>
                <w:szCs w:val="22"/>
                <w:lang w:val="en-US" w:eastAsia="en-GB"/>
              </w:rPr>
            </w:pPr>
            <w:r w:rsidRPr="00BA6026">
              <w:rPr>
                <w:sz w:val="22"/>
                <w:szCs w:val="22"/>
              </w:rPr>
              <w:t>0.442</w:t>
            </w:r>
          </w:p>
        </w:tc>
        <w:tc>
          <w:tcPr>
            <w:tcW w:w="516" w:type="pct"/>
          </w:tcPr>
          <w:p w14:paraId="0B9DE4AE" w14:textId="77777777" w:rsidR="001631C6" w:rsidRPr="00BA6026" w:rsidRDefault="001631C6" w:rsidP="008F5322">
            <w:pPr>
              <w:jc w:val="center"/>
              <w:rPr>
                <w:color w:val="000000"/>
                <w:sz w:val="22"/>
                <w:szCs w:val="22"/>
                <w:lang w:val="en-US" w:eastAsia="en-GB"/>
              </w:rPr>
            </w:pPr>
            <w:r w:rsidRPr="00BA6026">
              <w:rPr>
                <w:sz w:val="22"/>
                <w:szCs w:val="22"/>
              </w:rPr>
              <w:t>0.000</w:t>
            </w:r>
          </w:p>
        </w:tc>
        <w:tc>
          <w:tcPr>
            <w:tcW w:w="516" w:type="pct"/>
          </w:tcPr>
          <w:p w14:paraId="435AA7B9" w14:textId="77777777" w:rsidR="001631C6" w:rsidRPr="00BA6026" w:rsidRDefault="001631C6" w:rsidP="008F5322">
            <w:pPr>
              <w:jc w:val="center"/>
              <w:rPr>
                <w:color w:val="000000"/>
                <w:sz w:val="22"/>
                <w:szCs w:val="22"/>
                <w:lang w:val="en-US" w:eastAsia="en-GB"/>
              </w:rPr>
            </w:pPr>
            <w:r w:rsidRPr="00BA6026">
              <w:rPr>
                <w:sz w:val="22"/>
                <w:szCs w:val="22"/>
              </w:rPr>
              <w:t>0.497</w:t>
            </w:r>
          </w:p>
        </w:tc>
      </w:tr>
      <w:tr w:rsidR="001631C6" w:rsidRPr="00BA6026" w14:paraId="5109205A" w14:textId="77777777" w:rsidTr="008F5322">
        <w:trPr>
          <w:trHeight w:val="70"/>
        </w:trPr>
        <w:tc>
          <w:tcPr>
            <w:tcW w:w="2690" w:type="pct"/>
            <w:shd w:val="clear" w:color="auto" w:fill="auto"/>
            <w:noWrap/>
            <w:vAlign w:val="center"/>
          </w:tcPr>
          <w:p w14:paraId="6957EA09" w14:textId="77777777" w:rsidR="001631C6" w:rsidRPr="00BA6026" w:rsidRDefault="001631C6" w:rsidP="008F5322">
            <w:pPr>
              <w:rPr>
                <w:color w:val="000000"/>
                <w:sz w:val="22"/>
                <w:szCs w:val="22"/>
                <w:lang w:val="en-US" w:eastAsia="en-GB"/>
              </w:rPr>
            </w:pPr>
            <w:r w:rsidRPr="00BA6026">
              <w:rPr>
                <w:color w:val="000000"/>
                <w:sz w:val="22"/>
                <w:szCs w:val="22"/>
                <w:lang w:val="en-US" w:eastAsia="en-GB"/>
              </w:rPr>
              <w:t>AA-BBB spread</w:t>
            </w:r>
          </w:p>
        </w:tc>
        <w:tc>
          <w:tcPr>
            <w:tcW w:w="763" w:type="pct"/>
          </w:tcPr>
          <w:p w14:paraId="6CBA4451" w14:textId="77777777" w:rsidR="001631C6" w:rsidRPr="00BA6026" w:rsidRDefault="001631C6" w:rsidP="008F5322">
            <w:pPr>
              <w:jc w:val="center"/>
              <w:rPr>
                <w:color w:val="000000"/>
                <w:sz w:val="22"/>
                <w:szCs w:val="22"/>
                <w:lang w:val="en-US" w:eastAsia="en-GB"/>
              </w:rPr>
            </w:pPr>
            <w:r w:rsidRPr="00BA6026">
              <w:rPr>
                <w:sz w:val="22"/>
                <w:szCs w:val="22"/>
              </w:rPr>
              <w:t>2409</w:t>
            </w:r>
          </w:p>
        </w:tc>
        <w:tc>
          <w:tcPr>
            <w:tcW w:w="516" w:type="pct"/>
          </w:tcPr>
          <w:p w14:paraId="40DBCA97" w14:textId="77777777" w:rsidR="001631C6" w:rsidRPr="00BA6026" w:rsidRDefault="001631C6" w:rsidP="008F5322">
            <w:pPr>
              <w:jc w:val="center"/>
              <w:rPr>
                <w:color w:val="000000"/>
                <w:sz w:val="22"/>
                <w:szCs w:val="22"/>
                <w:lang w:val="en-US" w:eastAsia="en-GB"/>
              </w:rPr>
            </w:pPr>
            <w:r w:rsidRPr="00BA6026">
              <w:rPr>
                <w:sz w:val="22"/>
                <w:szCs w:val="22"/>
              </w:rPr>
              <w:t>1.263</w:t>
            </w:r>
          </w:p>
        </w:tc>
        <w:tc>
          <w:tcPr>
            <w:tcW w:w="516" w:type="pct"/>
          </w:tcPr>
          <w:p w14:paraId="4AF7E3BD" w14:textId="77777777" w:rsidR="001631C6" w:rsidRPr="00BA6026" w:rsidRDefault="001631C6" w:rsidP="008F5322">
            <w:pPr>
              <w:jc w:val="center"/>
              <w:rPr>
                <w:color w:val="000000"/>
                <w:sz w:val="22"/>
                <w:szCs w:val="22"/>
                <w:lang w:val="en-US" w:eastAsia="en-GB"/>
              </w:rPr>
            </w:pPr>
            <w:r w:rsidRPr="00BA6026">
              <w:rPr>
                <w:sz w:val="22"/>
                <w:szCs w:val="22"/>
              </w:rPr>
              <w:t>1.091</w:t>
            </w:r>
          </w:p>
        </w:tc>
        <w:tc>
          <w:tcPr>
            <w:tcW w:w="516" w:type="pct"/>
          </w:tcPr>
          <w:p w14:paraId="22E89E2E" w14:textId="77777777" w:rsidR="001631C6" w:rsidRPr="00BA6026" w:rsidRDefault="001631C6" w:rsidP="008F5322">
            <w:pPr>
              <w:jc w:val="center"/>
              <w:rPr>
                <w:color w:val="000000"/>
                <w:sz w:val="22"/>
                <w:szCs w:val="22"/>
                <w:lang w:val="en-US" w:eastAsia="en-GB"/>
              </w:rPr>
            </w:pPr>
            <w:r w:rsidRPr="00BA6026">
              <w:rPr>
                <w:sz w:val="22"/>
                <w:szCs w:val="22"/>
              </w:rPr>
              <w:t>0.728</w:t>
            </w:r>
          </w:p>
        </w:tc>
      </w:tr>
    </w:tbl>
    <w:p w14:paraId="662B0E22" w14:textId="77777777" w:rsidR="001631C6" w:rsidRDefault="001631C6" w:rsidP="001631C6">
      <w:pPr>
        <w:pStyle w:val="Heading2"/>
        <w:rPr>
          <w:rFonts w:cs="Times New Roman"/>
          <w:sz w:val="20"/>
          <w:szCs w:val="20"/>
          <w:lang w:val="en-US"/>
        </w:rPr>
        <w:sectPr w:rsidR="001631C6" w:rsidSect="00780752">
          <w:footerReference w:type="default" r:id="rId16"/>
          <w:pgSz w:w="11906" w:h="16838" w:code="9"/>
          <w:pgMar w:top="1440" w:right="1440" w:bottom="1440" w:left="1440" w:header="709" w:footer="709" w:gutter="0"/>
          <w:cols w:space="708"/>
          <w:docGrid w:linePitch="360"/>
        </w:sectPr>
      </w:pPr>
      <w:r w:rsidRPr="00DC68DD">
        <w:rPr>
          <w:rFonts w:cs="Times New Roman"/>
          <w:sz w:val="20"/>
          <w:szCs w:val="20"/>
          <w:lang w:val="en-US"/>
        </w:rPr>
        <w:br w:type="page"/>
      </w:r>
    </w:p>
    <w:p w14:paraId="1CCA2EB5" w14:textId="77777777" w:rsidR="001631C6" w:rsidRPr="00207BB5" w:rsidRDefault="001631C6" w:rsidP="001631C6">
      <w:pPr>
        <w:pStyle w:val="Heading2"/>
        <w:spacing w:before="0" w:after="0"/>
        <w:rPr>
          <w:rFonts w:cs="Times New Roman"/>
          <w:b/>
          <w:bCs w:val="0"/>
          <w:i w:val="0"/>
          <w:iCs/>
          <w:szCs w:val="24"/>
          <w:lang w:val="en-US"/>
        </w:rPr>
      </w:pPr>
      <w:r w:rsidRPr="00207BB5">
        <w:rPr>
          <w:rFonts w:cs="Times New Roman"/>
          <w:b/>
          <w:bCs w:val="0"/>
          <w:i w:val="0"/>
          <w:iCs/>
          <w:szCs w:val="24"/>
          <w:lang w:val="en-US"/>
        </w:rPr>
        <w:lastRenderedPageBreak/>
        <w:t>Table 3</w:t>
      </w:r>
    </w:p>
    <w:p w14:paraId="136E8F01" w14:textId="77777777" w:rsidR="001631C6" w:rsidRPr="00207BB5" w:rsidRDefault="001631C6" w:rsidP="001631C6">
      <w:pPr>
        <w:rPr>
          <w:i/>
          <w:iCs/>
          <w:lang w:val="en-US"/>
        </w:rPr>
      </w:pPr>
      <w:r w:rsidRPr="00207BB5">
        <w:rPr>
          <w:i/>
          <w:iCs/>
          <w:lang w:val="en-US"/>
        </w:rPr>
        <w:t>Summary statistics by country.</w:t>
      </w:r>
    </w:p>
    <w:p w14:paraId="1370C426" w14:textId="77777777" w:rsidR="001631C6" w:rsidRDefault="001631C6" w:rsidP="001631C6">
      <w:pPr>
        <w:jc w:val="both"/>
        <w:rPr>
          <w:sz w:val="20"/>
          <w:szCs w:val="20"/>
          <w:lang w:val="en-US"/>
        </w:rPr>
      </w:pPr>
    </w:p>
    <w:p w14:paraId="6821B4C7" w14:textId="77777777" w:rsidR="001631C6" w:rsidRPr="00DC68DD" w:rsidRDefault="001631C6" w:rsidP="001631C6">
      <w:pPr>
        <w:jc w:val="both"/>
        <w:rPr>
          <w:sz w:val="20"/>
          <w:szCs w:val="20"/>
          <w:lang w:val="en-US"/>
        </w:rPr>
      </w:pPr>
      <w:r w:rsidRPr="00DC68DD">
        <w:rPr>
          <w:sz w:val="20"/>
          <w:szCs w:val="20"/>
          <w:lang w:val="en-US"/>
        </w:rPr>
        <w:t xml:space="preserve">The table presents summary statistics </w:t>
      </w:r>
      <w:r>
        <w:rPr>
          <w:sz w:val="20"/>
          <w:szCs w:val="20"/>
          <w:lang w:val="en-US"/>
        </w:rPr>
        <w:t>separated by the country of the issuing firm’s headquarters for</w:t>
      </w:r>
      <w:r w:rsidRPr="00DC68DD">
        <w:rPr>
          <w:sz w:val="20"/>
          <w:szCs w:val="20"/>
          <w:lang w:val="en-US"/>
        </w:rPr>
        <w:t xml:space="preserve"> a sample of </w:t>
      </w:r>
      <w:r>
        <w:rPr>
          <w:sz w:val="20"/>
          <w:szCs w:val="20"/>
          <w:lang w:val="en-US"/>
        </w:rPr>
        <w:t>2409</w:t>
      </w:r>
      <w:r w:rsidRPr="00DC68DD">
        <w:rPr>
          <w:sz w:val="20"/>
          <w:szCs w:val="20"/>
          <w:lang w:val="en-US"/>
        </w:rPr>
        <w:t xml:space="preserve"> euro-denominated public bond tranches issued by </w:t>
      </w:r>
      <w:r>
        <w:rPr>
          <w:sz w:val="20"/>
          <w:szCs w:val="20"/>
          <w:lang w:val="en-US"/>
        </w:rPr>
        <w:t>356</w:t>
      </w:r>
      <w:r w:rsidRPr="00DC68DD">
        <w:rPr>
          <w:sz w:val="20"/>
          <w:szCs w:val="20"/>
          <w:lang w:val="en-US"/>
        </w:rPr>
        <w:t xml:space="preserve"> Western European firms during 2001-20</w:t>
      </w:r>
      <w:r>
        <w:rPr>
          <w:sz w:val="20"/>
          <w:szCs w:val="20"/>
          <w:lang w:val="en-US"/>
        </w:rPr>
        <w:t>20</w:t>
      </w:r>
      <w:r w:rsidRPr="00DC68DD">
        <w:rPr>
          <w:sz w:val="20"/>
          <w:szCs w:val="20"/>
          <w:lang w:val="en-US"/>
        </w:rPr>
        <w:t xml:space="preserve">. </w:t>
      </w:r>
      <w:r>
        <w:rPr>
          <w:sz w:val="20"/>
          <w:szCs w:val="20"/>
          <w:lang w:val="en-US"/>
        </w:rPr>
        <w:t xml:space="preserve">Mean values are reported above medians. </w:t>
      </w:r>
      <w:r w:rsidRPr="00DC68DD">
        <w:rPr>
          <w:sz w:val="20"/>
          <w:szCs w:val="20"/>
          <w:lang w:val="en-US"/>
        </w:rPr>
        <w:t>All variables are defined in Table 1.</w:t>
      </w:r>
    </w:p>
    <w:p w14:paraId="7021215D" w14:textId="77777777" w:rsidR="001631C6" w:rsidRPr="00DC68DD" w:rsidRDefault="001631C6" w:rsidP="001631C6">
      <w:pPr>
        <w:ind w:firstLine="720"/>
        <w:rPr>
          <w:lang w:val="en-US"/>
        </w:rPr>
      </w:pPr>
    </w:p>
    <w:tbl>
      <w:tblPr>
        <w:tblW w:w="5000" w:type="pct"/>
        <w:tblLook w:val="04A0" w:firstRow="1" w:lastRow="0" w:firstColumn="1" w:lastColumn="0" w:noHBand="0" w:noVBand="1"/>
      </w:tblPr>
      <w:tblGrid>
        <w:gridCol w:w="1567"/>
        <w:gridCol w:w="1499"/>
        <w:gridCol w:w="1081"/>
        <w:gridCol w:w="1615"/>
        <w:gridCol w:w="1295"/>
        <w:gridCol w:w="1388"/>
        <w:gridCol w:w="1076"/>
        <w:gridCol w:w="916"/>
        <w:gridCol w:w="1303"/>
        <w:gridCol w:w="1158"/>
      </w:tblGrid>
      <w:tr w:rsidR="001631C6" w:rsidRPr="00F77F84" w14:paraId="4A271D3C" w14:textId="77777777" w:rsidTr="008F5322">
        <w:trPr>
          <w:trHeight w:val="20"/>
        </w:trPr>
        <w:tc>
          <w:tcPr>
            <w:tcW w:w="607" w:type="pct"/>
            <w:tcBorders>
              <w:top w:val="single" w:sz="4" w:space="0" w:color="auto"/>
              <w:left w:val="nil"/>
              <w:bottom w:val="single" w:sz="4" w:space="0" w:color="auto"/>
              <w:right w:val="nil"/>
            </w:tcBorders>
            <w:shd w:val="clear" w:color="auto" w:fill="auto"/>
            <w:noWrap/>
            <w:vAlign w:val="center"/>
            <w:hideMark/>
          </w:tcPr>
          <w:p w14:paraId="4209DC47" w14:textId="77777777" w:rsidR="001631C6" w:rsidRPr="00F77F84" w:rsidRDefault="001631C6" w:rsidP="008F5322">
            <w:pPr>
              <w:rPr>
                <w:sz w:val="20"/>
                <w:szCs w:val="20"/>
                <w:lang w:val="en-US"/>
              </w:rPr>
            </w:pPr>
          </w:p>
        </w:tc>
        <w:tc>
          <w:tcPr>
            <w:tcW w:w="581" w:type="pct"/>
            <w:tcBorders>
              <w:top w:val="single" w:sz="4" w:space="0" w:color="auto"/>
              <w:left w:val="nil"/>
              <w:bottom w:val="single" w:sz="4" w:space="0" w:color="auto"/>
              <w:right w:val="nil"/>
            </w:tcBorders>
            <w:shd w:val="clear" w:color="auto" w:fill="auto"/>
            <w:vAlign w:val="center"/>
            <w:hideMark/>
          </w:tcPr>
          <w:p w14:paraId="0F54746D" w14:textId="77777777" w:rsidR="001631C6" w:rsidRPr="00F77F84" w:rsidRDefault="001631C6" w:rsidP="008F5322">
            <w:pPr>
              <w:rPr>
                <w:color w:val="000000"/>
                <w:sz w:val="20"/>
                <w:szCs w:val="20"/>
                <w:lang w:val="en-US"/>
              </w:rPr>
            </w:pPr>
            <w:r w:rsidRPr="00F77F84">
              <w:rPr>
                <w:color w:val="000000"/>
                <w:sz w:val="20"/>
                <w:szCs w:val="20"/>
                <w:lang w:val="en-US"/>
              </w:rPr>
              <w:t xml:space="preserve"> No. of observations </w:t>
            </w:r>
          </w:p>
        </w:tc>
        <w:tc>
          <w:tcPr>
            <w:tcW w:w="419" w:type="pct"/>
            <w:tcBorders>
              <w:top w:val="single" w:sz="4" w:space="0" w:color="auto"/>
              <w:left w:val="nil"/>
              <w:bottom w:val="single" w:sz="4" w:space="0" w:color="auto"/>
              <w:right w:val="nil"/>
            </w:tcBorders>
            <w:shd w:val="clear" w:color="auto" w:fill="auto"/>
            <w:vAlign w:val="center"/>
            <w:hideMark/>
          </w:tcPr>
          <w:p w14:paraId="36032AE7" w14:textId="77777777" w:rsidR="001631C6" w:rsidRPr="00F77F84" w:rsidRDefault="001631C6" w:rsidP="008F5322">
            <w:pPr>
              <w:jc w:val="center"/>
              <w:rPr>
                <w:color w:val="000000"/>
                <w:sz w:val="20"/>
                <w:szCs w:val="20"/>
                <w:lang w:val="en-US"/>
              </w:rPr>
            </w:pPr>
            <w:r w:rsidRPr="00F77F84">
              <w:rPr>
                <w:color w:val="000000"/>
                <w:sz w:val="20"/>
                <w:szCs w:val="20"/>
                <w:lang w:val="en-US" w:eastAsia="en-GB"/>
              </w:rPr>
              <w:t>Credit spread</w:t>
            </w:r>
          </w:p>
        </w:tc>
        <w:tc>
          <w:tcPr>
            <w:tcW w:w="626" w:type="pct"/>
            <w:tcBorders>
              <w:top w:val="single" w:sz="4" w:space="0" w:color="auto"/>
              <w:left w:val="nil"/>
              <w:bottom w:val="single" w:sz="4" w:space="0" w:color="auto"/>
              <w:right w:val="nil"/>
            </w:tcBorders>
            <w:shd w:val="clear" w:color="auto" w:fill="auto"/>
            <w:vAlign w:val="center"/>
            <w:hideMark/>
          </w:tcPr>
          <w:p w14:paraId="3291A753" w14:textId="77777777" w:rsidR="001631C6" w:rsidRPr="00F77F84" w:rsidRDefault="001631C6" w:rsidP="008F5322">
            <w:pPr>
              <w:jc w:val="center"/>
              <w:rPr>
                <w:color w:val="000000"/>
                <w:sz w:val="20"/>
                <w:szCs w:val="20"/>
                <w:lang w:val="en-US"/>
              </w:rPr>
            </w:pPr>
            <w:r w:rsidRPr="00BA6026">
              <w:rPr>
                <w:bCs/>
                <w:color w:val="000000"/>
                <w:sz w:val="22"/>
                <w:szCs w:val="22"/>
                <w:lang w:val="en-US" w:eastAsia="en-GB"/>
              </w:rPr>
              <w:t>% of Non-domestic BRs</w:t>
            </w:r>
          </w:p>
        </w:tc>
        <w:tc>
          <w:tcPr>
            <w:tcW w:w="502" w:type="pct"/>
            <w:tcBorders>
              <w:top w:val="single" w:sz="4" w:space="0" w:color="auto"/>
              <w:left w:val="nil"/>
              <w:bottom w:val="single" w:sz="4" w:space="0" w:color="auto"/>
              <w:right w:val="nil"/>
            </w:tcBorders>
            <w:shd w:val="clear" w:color="auto" w:fill="auto"/>
            <w:vAlign w:val="center"/>
            <w:hideMark/>
          </w:tcPr>
          <w:p w14:paraId="18CCF8F7" w14:textId="77777777" w:rsidR="001631C6" w:rsidRPr="00F77F84" w:rsidRDefault="001631C6" w:rsidP="008F5322">
            <w:pPr>
              <w:jc w:val="center"/>
              <w:rPr>
                <w:color w:val="000000"/>
                <w:sz w:val="20"/>
                <w:szCs w:val="20"/>
                <w:lang w:val="en-US"/>
              </w:rPr>
            </w:pPr>
            <w:r w:rsidRPr="00F77F84">
              <w:rPr>
                <w:color w:val="000000"/>
                <w:sz w:val="20"/>
                <w:szCs w:val="20"/>
                <w:lang w:val="en-US"/>
              </w:rPr>
              <w:t>No. of bond issues</w:t>
            </w:r>
          </w:p>
        </w:tc>
        <w:tc>
          <w:tcPr>
            <w:tcW w:w="538" w:type="pct"/>
            <w:tcBorders>
              <w:top w:val="single" w:sz="4" w:space="0" w:color="auto"/>
              <w:left w:val="nil"/>
              <w:bottom w:val="single" w:sz="4" w:space="0" w:color="auto"/>
              <w:right w:val="nil"/>
            </w:tcBorders>
            <w:shd w:val="clear" w:color="auto" w:fill="auto"/>
            <w:vAlign w:val="center"/>
            <w:hideMark/>
          </w:tcPr>
          <w:p w14:paraId="0A77DF18" w14:textId="77777777" w:rsidR="001631C6" w:rsidRPr="00F77F84" w:rsidRDefault="001631C6" w:rsidP="008F5322">
            <w:pPr>
              <w:jc w:val="center"/>
              <w:rPr>
                <w:color w:val="000000"/>
                <w:sz w:val="20"/>
                <w:szCs w:val="20"/>
                <w:lang w:val="en-US"/>
              </w:rPr>
            </w:pPr>
            <w:r w:rsidRPr="00F77F84">
              <w:rPr>
                <w:color w:val="000000"/>
                <w:sz w:val="20"/>
                <w:szCs w:val="20"/>
                <w:lang w:val="en-US"/>
              </w:rPr>
              <w:t>% of BRs prior lender</w:t>
            </w:r>
          </w:p>
        </w:tc>
        <w:tc>
          <w:tcPr>
            <w:tcW w:w="417" w:type="pct"/>
            <w:tcBorders>
              <w:top w:val="single" w:sz="4" w:space="0" w:color="auto"/>
              <w:left w:val="nil"/>
              <w:bottom w:val="single" w:sz="4" w:space="0" w:color="auto"/>
              <w:right w:val="nil"/>
            </w:tcBorders>
            <w:shd w:val="clear" w:color="auto" w:fill="auto"/>
            <w:vAlign w:val="center"/>
            <w:hideMark/>
          </w:tcPr>
          <w:p w14:paraId="33B65A82" w14:textId="77777777" w:rsidR="001631C6" w:rsidRPr="00F77F84" w:rsidRDefault="001631C6" w:rsidP="008F5322">
            <w:pPr>
              <w:jc w:val="center"/>
              <w:rPr>
                <w:color w:val="000000"/>
                <w:sz w:val="20"/>
                <w:szCs w:val="20"/>
                <w:lang w:val="en-US"/>
              </w:rPr>
            </w:pPr>
            <w:r w:rsidRPr="00F77F84">
              <w:rPr>
                <w:color w:val="000000"/>
                <w:sz w:val="20"/>
                <w:szCs w:val="20"/>
                <w:lang w:val="en-US" w:eastAsia="en-GB"/>
              </w:rPr>
              <w:t>Credit rating</w:t>
            </w:r>
          </w:p>
        </w:tc>
        <w:tc>
          <w:tcPr>
            <w:tcW w:w="355" w:type="pct"/>
            <w:tcBorders>
              <w:top w:val="single" w:sz="4" w:space="0" w:color="auto"/>
              <w:left w:val="nil"/>
              <w:bottom w:val="single" w:sz="4" w:space="0" w:color="auto"/>
              <w:right w:val="nil"/>
            </w:tcBorders>
            <w:shd w:val="clear" w:color="auto" w:fill="auto"/>
            <w:vAlign w:val="center"/>
            <w:hideMark/>
          </w:tcPr>
          <w:p w14:paraId="75BB0F4E" w14:textId="77777777" w:rsidR="001631C6" w:rsidRPr="00F77F84" w:rsidRDefault="001631C6" w:rsidP="008F5322">
            <w:pPr>
              <w:jc w:val="center"/>
              <w:rPr>
                <w:color w:val="000000"/>
                <w:sz w:val="20"/>
                <w:szCs w:val="20"/>
                <w:lang w:val="en-US"/>
              </w:rPr>
            </w:pPr>
            <w:r w:rsidRPr="00F77F84">
              <w:rPr>
                <w:color w:val="000000"/>
                <w:sz w:val="20"/>
                <w:szCs w:val="20"/>
                <w:lang w:val="en-US" w:eastAsia="en-GB"/>
              </w:rPr>
              <w:t>Maturity</w:t>
            </w:r>
          </w:p>
        </w:tc>
        <w:tc>
          <w:tcPr>
            <w:tcW w:w="505" w:type="pct"/>
            <w:tcBorders>
              <w:top w:val="single" w:sz="4" w:space="0" w:color="auto"/>
              <w:left w:val="nil"/>
              <w:bottom w:val="single" w:sz="4" w:space="0" w:color="auto"/>
              <w:right w:val="nil"/>
            </w:tcBorders>
            <w:shd w:val="clear" w:color="auto" w:fill="auto"/>
            <w:vAlign w:val="center"/>
            <w:hideMark/>
          </w:tcPr>
          <w:p w14:paraId="24471AA0" w14:textId="77777777" w:rsidR="001631C6" w:rsidRPr="00F77F84" w:rsidRDefault="001631C6" w:rsidP="008F5322">
            <w:pPr>
              <w:jc w:val="center"/>
              <w:rPr>
                <w:color w:val="000000"/>
                <w:sz w:val="20"/>
                <w:szCs w:val="20"/>
                <w:lang w:val="en-US"/>
              </w:rPr>
            </w:pPr>
            <w:r w:rsidRPr="00F77F84">
              <w:rPr>
                <w:color w:val="000000"/>
                <w:sz w:val="20"/>
                <w:szCs w:val="20"/>
                <w:lang w:val="en-US"/>
              </w:rPr>
              <w:t>Tranche Size, €m</w:t>
            </w:r>
          </w:p>
        </w:tc>
        <w:tc>
          <w:tcPr>
            <w:tcW w:w="449" w:type="pct"/>
            <w:tcBorders>
              <w:top w:val="single" w:sz="4" w:space="0" w:color="auto"/>
              <w:left w:val="nil"/>
              <w:bottom w:val="single" w:sz="4" w:space="0" w:color="auto"/>
              <w:right w:val="nil"/>
            </w:tcBorders>
            <w:shd w:val="clear" w:color="auto" w:fill="auto"/>
            <w:vAlign w:val="center"/>
            <w:hideMark/>
          </w:tcPr>
          <w:p w14:paraId="56D52632" w14:textId="77777777" w:rsidR="001631C6" w:rsidRPr="00F77F84" w:rsidRDefault="001631C6" w:rsidP="008F5322">
            <w:pPr>
              <w:jc w:val="center"/>
              <w:rPr>
                <w:color w:val="000000"/>
                <w:sz w:val="20"/>
                <w:szCs w:val="20"/>
                <w:lang w:val="en-US"/>
              </w:rPr>
            </w:pPr>
            <w:r w:rsidRPr="00F77F84">
              <w:rPr>
                <w:color w:val="000000"/>
                <w:sz w:val="20"/>
                <w:szCs w:val="20"/>
                <w:lang w:val="en-US"/>
              </w:rPr>
              <w:t>Firm Size, €bn</w:t>
            </w:r>
          </w:p>
        </w:tc>
      </w:tr>
      <w:tr w:rsidR="001631C6" w:rsidRPr="00F77F84" w14:paraId="5913974C" w14:textId="77777777" w:rsidTr="008F5322">
        <w:trPr>
          <w:trHeight w:val="20"/>
        </w:trPr>
        <w:tc>
          <w:tcPr>
            <w:tcW w:w="607" w:type="pct"/>
            <w:tcBorders>
              <w:top w:val="single" w:sz="4" w:space="0" w:color="auto"/>
              <w:left w:val="nil"/>
              <w:bottom w:val="nil"/>
              <w:right w:val="nil"/>
            </w:tcBorders>
            <w:shd w:val="clear" w:color="auto" w:fill="auto"/>
            <w:noWrap/>
            <w:vAlign w:val="bottom"/>
            <w:hideMark/>
          </w:tcPr>
          <w:p w14:paraId="5999752A" w14:textId="77777777" w:rsidR="001631C6" w:rsidRPr="00F77F84" w:rsidRDefault="001631C6" w:rsidP="008F5322">
            <w:pPr>
              <w:rPr>
                <w:color w:val="000000"/>
                <w:sz w:val="20"/>
                <w:szCs w:val="20"/>
                <w:lang w:val="en-US"/>
              </w:rPr>
            </w:pPr>
            <w:r w:rsidRPr="00F77F84">
              <w:rPr>
                <w:color w:val="000000"/>
                <w:sz w:val="20"/>
                <w:szCs w:val="20"/>
                <w:lang w:val="en-US"/>
              </w:rPr>
              <w:t>Austria</w:t>
            </w:r>
          </w:p>
        </w:tc>
        <w:tc>
          <w:tcPr>
            <w:tcW w:w="581" w:type="pct"/>
            <w:tcBorders>
              <w:top w:val="single" w:sz="4" w:space="0" w:color="auto"/>
              <w:left w:val="nil"/>
              <w:bottom w:val="nil"/>
              <w:right w:val="nil"/>
            </w:tcBorders>
            <w:shd w:val="clear" w:color="auto" w:fill="auto"/>
            <w:noWrap/>
            <w:vAlign w:val="bottom"/>
            <w:hideMark/>
          </w:tcPr>
          <w:p w14:paraId="6F30BB73" w14:textId="77777777" w:rsidR="001631C6" w:rsidRPr="00F77F84" w:rsidRDefault="001631C6" w:rsidP="008F5322">
            <w:pPr>
              <w:jc w:val="center"/>
              <w:rPr>
                <w:color w:val="000000"/>
                <w:sz w:val="20"/>
                <w:szCs w:val="20"/>
                <w:lang w:val="en-US"/>
              </w:rPr>
            </w:pPr>
            <w:r w:rsidRPr="00F77F84">
              <w:rPr>
                <w:color w:val="000000"/>
                <w:sz w:val="20"/>
                <w:szCs w:val="20"/>
              </w:rPr>
              <w:t xml:space="preserve">             34 </w:t>
            </w:r>
          </w:p>
        </w:tc>
        <w:tc>
          <w:tcPr>
            <w:tcW w:w="419" w:type="pct"/>
            <w:tcBorders>
              <w:top w:val="single" w:sz="4" w:space="0" w:color="auto"/>
              <w:left w:val="nil"/>
              <w:bottom w:val="nil"/>
              <w:right w:val="nil"/>
            </w:tcBorders>
            <w:shd w:val="clear" w:color="auto" w:fill="auto"/>
            <w:noWrap/>
            <w:vAlign w:val="bottom"/>
            <w:hideMark/>
          </w:tcPr>
          <w:p w14:paraId="3B9419E6" w14:textId="77777777" w:rsidR="001631C6" w:rsidRPr="00F77F84" w:rsidRDefault="001631C6" w:rsidP="008F5322">
            <w:pPr>
              <w:jc w:val="center"/>
              <w:rPr>
                <w:color w:val="000000"/>
                <w:sz w:val="20"/>
                <w:szCs w:val="20"/>
                <w:lang w:val="en-US"/>
              </w:rPr>
            </w:pPr>
            <w:r w:rsidRPr="00F77F84">
              <w:rPr>
                <w:color w:val="000000"/>
                <w:sz w:val="20"/>
                <w:szCs w:val="20"/>
              </w:rPr>
              <w:t xml:space="preserve">     1.206 </w:t>
            </w:r>
          </w:p>
        </w:tc>
        <w:tc>
          <w:tcPr>
            <w:tcW w:w="626" w:type="pct"/>
            <w:tcBorders>
              <w:top w:val="single" w:sz="4" w:space="0" w:color="auto"/>
              <w:left w:val="nil"/>
              <w:bottom w:val="nil"/>
              <w:right w:val="nil"/>
            </w:tcBorders>
            <w:shd w:val="clear" w:color="auto" w:fill="auto"/>
            <w:noWrap/>
            <w:vAlign w:val="bottom"/>
            <w:hideMark/>
          </w:tcPr>
          <w:p w14:paraId="3BB24E6B" w14:textId="77777777" w:rsidR="001631C6" w:rsidRPr="00F77F84" w:rsidRDefault="001631C6" w:rsidP="008F5322">
            <w:pPr>
              <w:jc w:val="center"/>
              <w:rPr>
                <w:color w:val="000000"/>
                <w:sz w:val="20"/>
                <w:szCs w:val="20"/>
                <w:lang w:val="en-US"/>
              </w:rPr>
            </w:pPr>
            <w:r w:rsidRPr="00F77F84">
              <w:rPr>
                <w:color w:val="000000"/>
                <w:sz w:val="20"/>
                <w:szCs w:val="20"/>
              </w:rPr>
              <w:t xml:space="preserve">     0.867 </w:t>
            </w:r>
          </w:p>
        </w:tc>
        <w:tc>
          <w:tcPr>
            <w:tcW w:w="502" w:type="pct"/>
            <w:tcBorders>
              <w:top w:val="single" w:sz="4" w:space="0" w:color="auto"/>
              <w:left w:val="nil"/>
              <w:bottom w:val="nil"/>
              <w:right w:val="nil"/>
            </w:tcBorders>
            <w:shd w:val="clear" w:color="auto" w:fill="auto"/>
            <w:noWrap/>
            <w:vAlign w:val="bottom"/>
            <w:hideMark/>
          </w:tcPr>
          <w:p w14:paraId="42772BBF" w14:textId="77777777" w:rsidR="001631C6" w:rsidRPr="00F77F84" w:rsidRDefault="001631C6" w:rsidP="008F5322">
            <w:pPr>
              <w:jc w:val="center"/>
              <w:rPr>
                <w:color w:val="000000"/>
                <w:sz w:val="20"/>
                <w:szCs w:val="20"/>
                <w:lang w:val="en-US"/>
              </w:rPr>
            </w:pPr>
            <w:r w:rsidRPr="00F77F84">
              <w:rPr>
                <w:color w:val="000000"/>
                <w:sz w:val="20"/>
                <w:szCs w:val="20"/>
              </w:rPr>
              <w:t xml:space="preserve">     5.559 </w:t>
            </w:r>
          </w:p>
        </w:tc>
        <w:tc>
          <w:tcPr>
            <w:tcW w:w="538" w:type="pct"/>
            <w:tcBorders>
              <w:top w:val="single" w:sz="4" w:space="0" w:color="auto"/>
              <w:left w:val="nil"/>
              <w:bottom w:val="nil"/>
              <w:right w:val="nil"/>
            </w:tcBorders>
            <w:shd w:val="clear" w:color="auto" w:fill="auto"/>
            <w:noWrap/>
            <w:vAlign w:val="bottom"/>
            <w:hideMark/>
          </w:tcPr>
          <w:p w14:paraId="70D62629" w14:textId="77777777" w:rsidR="001631C6" w:rsidRPr="00F77F84" w:rsidRDefault="001631C6" w:rsidP="008F5322">
            <w:pPr>
              <w:jc w:val="center"/>
              <w:rPr>
                <w:color w:val="000000"/>
                <w:sz w:val="20"/>
                <w:szCs w:val="20"/>
                <w:lang w:val="en-US"/>
              </w:rPr>
            </w:pPr>
            <w:r w:rsidRPr="00F77F84">
              <w:rPr>
                <w:color w:val="000000"/>
                <w:sz w:val="20"/>
                <w:szCs w:val="20"/>
              </w:rPr>
              <w:t xml:space="preserve">     0.545 </w:t>
            </w:r>
          </w:p>
        </w:tc>
        <w:tc>
          <w:tcPr>
            <w:tcW w:w="417" w:type="pct"/>
            <w:tcBorders>
              <w:top w:val="single" w:sz="4" w:space="0" w:color="auto"/>
              <w:left w:val="nil"/>
              <w:bottom w:val="nil"/>
              <w:right w:val="nil"/>
            </w:tcBorders>
            <w:shd w:val="clear" w:color="auto" w:fill="auto"/>
            <w:noWrap/>
            <w:vAlign w:val="bottom"/>
            <w:hideMark/>
          </w:tcPr>
          <w:p w14:paraId="6282E2B0" w14:textId="77777777" w:rsidR="001631C6" w:rsidRPr="00F77F84" w:rsidRDefault="001631C6" w:rsidP="008F5322">
            <w:pPr>
              <w:jc w:val="center"/>
              <w:rPr>
                <w:color w:val="000000"/>
                <w:sz w:val="20"/>
                <w:szCs w:val="20"/>
                <w:lang w:val="en-US"/>
              </w:rPr>
            </w:pPr>
            <w:r w:rsidRPr="00F77F84">
              <w:rPr>
                <w:color w:val="000000"/>
                <w:sz w:val="20"/>
                <w:szCs w:val="20"/>
              </w:rPr>
              <w:t xml:space="preserve">     9.382 </w:t>
            </w:r>
          </w:p>
        </w:tc>
        <w:tc>
          <w:tcPr>
            <w:tcW w:w="355" w:type="pct"/>
            <w:tcBorders>
              <w:top w:val="single" w:sz="4" w:space="0" w:color="auto"/>
              <w:left w:val="nil"/>
              <w:bottom w:val="nil"/>
              <w:right w:val="nil"/>
            </w:tcBorders>
            <w:shd w:val="clear" w:color="auto" w:fill="auto"/>
            <w:noWrap/>
            <w:vAlign w:val="bottom"/>
            <w:hideMark/>
          </w:tcPr>
          <w:p w14:paraId="523F5413" w14:textId="77777777" w:rsidR="001631C6" w:rsidRPr="00F77F84" w:rsidRDefault="001631C6" w:rsidP="008F5322">
            <w:pPr>
              <w:jc w:val="center"/>
              <w:rPr>
                <w:color w:val="000000"/>
                <w:sz w:val="20"/>
                <w:szCs w:val="20"/>
                <w:lang w:val="en-US"/>
              </w:rPr>
            </w:pPr>
            <w:r w:rsidRPr="00F77F84">
              <w:rPr>
                <w:color w:val="000000"/>
                <w:sz w:val="20"/>
                <w:szCs w:val="20"/>
              </w:rPr>
              <w:t xml:space="preserve">     8.255 </w:t>
            </w:r>
          </w:p>
        </w:tc>
        <w:tc>
          <w:tcPr>
            <w:tcW w:w="505" w:type="pct"/>
            <w:tcBorders>
              <w:top w:val="single" w:sz="4" w:space="0" w:color="auto"/>
              <w:left w:val="nil"/>
              <w:bottom w:val="nil"/>
              <w:right w:val="nil"/>
            </w:tcBorders>
            <w:shd w:val="clear" w:color="auto" w:fill="auto"/>
            <w:noWrap/>
            <w:vAlign w:val="bottom"/>
            <w:hideMark/>
          </w:tcPr>
          <w:p w14:paraId="62894A72" w14:textId="77777777" w:rsidR="001631C6" w:rsidRPr="00F77F84" w:rsidRDefault="001631C6" w:rsidP="008F5322">
            <w:pPr>
              <w:jc w:val="center"/>
              <w:rPr>
                <w:color w:val="000000"/>
                <w:sz w:val="20"/>
                <w:szCs w:val="20"/>
                <w:lang w:val="en-US"/>
              </w:rPr>
            </w:pPr>
            <w:r w:rsidRPr="00F77F84">
              <w:rPr>
                <w:color w:val="000000"/>
                <w:sz w:val="20"/>
                <w:szCs w:val="20"/>
              </w:rPr>
              <w:t xml:space="preserve">  567.353 </w:t>
            </w:r>
          </w:p>
        </w:tc>
        <w:tc>
          <w:tcPr>
            <w:tcW w:w="449" w:type="pct"/>
            <w:tcBorders>
              <w:top w:val="single" w:sz="4" w:space="0" w:color="auto"/>
              <w:left w:val="nil"/>
              <w:bottom w:val="nil"/>
              <w:right w:val="nil"/>
            </w:tcBorders>
            <w:shd w:val="clear" w:color="auto" w:fill="auto"/>
            <w:noWrap/>
            <w:vAlign w:val="bottom"/>
            <w:hideMark/>
          </w:tcPr>
          <w:p w14:paraId="47F9E6AF" w14:textId="77777777" w:rsidR="001631C6" w:rsidRPr="00F77F84" w:rsidRDefault="001631C6" w:rsidP="008F5322">
            <w:pPr>
              <w:jc w:val="center"/>
              <w:rPr>
                <w:color w:val="000000"/>
                <w:sz w:val="20"/>
                <w:szCs w:val="20"/>
                <w:lang w:val="en-US"/>
              </w:rPr>
            </w:pPr>
            <w:r w:rsidRPr="00F77F84">
              <w:rPr>
                <w:color w:val="000000"/>
                <w:sz w:val="20"/>
                <w:szCs w:val="20"/>
              </w:rPr>
              <w:t xml:space="preserve">    20.975 </w:t>
            </w:r>
          </w:p>
        </w:tc>
      </w:tr>
      <w:tr w:rsidR="001631C6" w:rsidRPr="00F77F84" w14:paraId="1911C3D8" w14:textId="77777777" w:rsidTr="008F5322">
        <w:trPr>
          <w:trHeight w:val="20"/>
        </w:trPr>
        <w:tc>
          <w:tcPr>
            <w:tcW w:w="607" w:type="pct"/>
            <w:tcBorders>
              <w:top w:val="nil"/>
              <w:left w:val="nil"/>
              <w:bottom w:val="nil"/>
              <w:right w:val="nil"/>
            </w:tcBorders>
            <w:shd w:val="clear" w:color="auto" w:fill="auto"/>
            <w:noWrap/>
            <w:vAlign w:val="bottom"/>
            <w:hideMark/>
          </w:tcPr>
          <w:p w14:paraId="5FA022A3"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1D5DB3DD"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2EC9E74C" w14:textId="77777777" w:rsidR="001631C6" w:rsidRPr="00F77F84" w:rsidRDefault="001631C6" w:rsidP="008F5322">
            <w:pPr>
              <w:jc w:val="center"/>
              <w:rPr>
                <w:color w:val="000000"/>
                <w:sz w:val="20"/>
                <w:szCs w:val="20"/>
                <w:lang w:val="en-US"/>
              </w:rPr>
            </w:pPr>
            <w:r w:rsidRPr="00F77F84">
              <w:rPr>
                <w:color w:val="000000"/>
                <w:sz w:val="20"/>
                <w:szCs w:val="20"/>
              </w:rPr>
              <w:t xml:space="preserve"> [1.015] </w:t>
            </w:r>
          </w:p>
        </w:tc>
        <w:tc>
          <w:tcPr>
            <w:tcW w:w="626" w:type="pct"/>
            <w:tcBorders>
              <w:top w:val="nil"/>
              <w:left w:val="nil"/>
              <w:bottom w:val="nil"/>
              <w:right w:val="nil"/>
            </w:tcBorders>
            <w:shd w:val="clear" w:color="auto" w:fill="auto"/>
            <w:noWrap/>
            <w:vAlign w:val="bottom"/>
            <w:hideMark/>
          </w:tcPr>
          <w:p w14:paraId="12BB296D" w14:textId="77777777" w:rsidR="001631C6" w:rsidRPr="00F77F84" w:rsidRDefault="001631C6" w:rsidP="008F5322">
            <w:pPr>
              <w:jc w:val="center"/>
              <w:rPr>
                <w:color w:val="000000"/>
                <w:sz w:val="20"/>
                <w:szCs w:val="20"/>
                <w:lang w:val="en-US"/>
              </w:rPr>
            </w:pPr>
            <w:r w:rsidRPr="00F77F84">
              <w:rPr>
                <w:color w:val="000000"/>
                <w:sz w:val="20"/>
                <w:szCs w:val="20"/>
              </w:rPr>
              <w:t xml:space="preserve"> [0.833] </w:t>
            </w:r>
          </w:p>
        </w:tc>
        <w:tc>
          <w:tcPr>
            <w:tcW w:w="502" w:type="pct"/>
            <w:tcBorders>
              <w:top w:val="nil"/>
              <w:left w:val="nil"/>
              <w:bottom w:val="nil"/>
              <w:right w:val="nil"/>
            </w:tcBorders>
            <w:shd w:val="clear" w:color="auto" w:fill="auto"/>
            <w:noWrap/>
            <w:vAlign w:val="bottom"/>
            <w:hideMark/>
          </w:tcPr>
          <w:p w14:paraId="3130F3C5" w14:textId="77777777" w:rsidR="001631C6" w:rsidRPr="00F77F84" w:rsidRDefault="001631C6" w:rsidP="008F5322">
            <w:pPr>
              <w:jc w:val="center"/>
              <w:rPr>
                <w:color w:val="000000"/>
                <w:sz w:val="20"/>
                <w:szCs w:val="20"/>
                <w:lang w:val="en-US"/>
              </w:rPr>
            </w:pPr>
            <w:r w:rsidRPr="00F77F84">
              <w:rPr>
                <w:color w:val="000000"/>
                <w:sz w:val="20"/>
                <w:szCs w:val="20"/>
              </w:rPr>
              <w:t xml:space="preserve"> [4.000] </w:t>
            </w:r>
          </w:p>
        </w:tc>
        <w:tc>
          <w:tcPr>
            <w:tcW w:w="538" w:type="pct"/>
            <w:tcBorders>
              <w:top w:val="nil"/>
              <w:left w:val="nil"/>
              <w:bottom w:val="nil"/>
              <w:right w:val="nil"/>
            </w:tcBorders>
            <w:shd w:val="clear" w:color="auto" w:fill="auto"/>
            <w:noWrap/>
            <w:vAlign w:val="bottom"/>
            <w:hideMark/>
          </w:tcPr>
          <w:p w14:paraId="3E0496BF" w14:textId="77777777" w:rsidR="001631C6" w:rsidRPr="00F77F84" w:rsidRDefault="001631C6" w:rsidP="008F5322">
            <w:pPr>
              <w:jc w:val="center"/>
              <w:rPr>
                <w:color w:val="000000"/>
                <w:sz w:val="20"/>
                <w:szCs w:val="20"/>
                <w:lang w:val="en-US"/>
              </w:rPr>
            </w:pPr>
            <w:r w:rsidRPr="00F77F84">
              <w:rPr>
                <w:color w:val="000000"/>
                <w:sz w:val="20"/>
                <w:szCs w:val="20"/>
              </w:rPr>
              <w:t xml:space="preserve"> [0.750] </w:t>
            </w:r>
          </w:p>
        </w:tc>
        <w:tc>
          <w:tcPr>
            <w:tcW w:w="417" w:type="pct"/>
            <w:tcBorders>
              <w:top w:val="nil"/>
              <w:left w:val="nil"/>
              <w:bottom w:val="nil"/>
              <w:right w:val="nil"/>
            </w:tcBorders>
            <w:shd w:val="clear" w:color="auto" w:fill="auto"/>
            <w:noWrap/>
            <w:vAlign w:val="bottom"/>
            <w:hideMark/>
          </w:tcPr>
          <w:p w14:paraId="5117F07B" w14:textId="77777777" w:rsidR="001631C6" w:rsidRPr="00F77F84" w:rsidRDefault="001631C6" w:rsidP="008F5322">
            <w:pPr>
              <w:jc w:val="center"/>
              <w:rPr>
                <w:color w:val="000000"/>
                <w:sz w:val="20"/>
                <w:szCs w:val="20"/>
                <w:lang w:val="en-US"/>
              </w:rPr>
            </w:pPr>
            <w:r w:rsidRPr="00F77F84">
              <w:rPr>
                <w:color w:val="000000"/>
                <w:sz w:val="20"/>
                <w:szCs w:val="20"/>
              </w:rPr>
              <w:t xml:space="preserve"> [11.000] </w:t>
            </w:r>
          </w:p>
        </w:tc>
        <w:tc>
          <w:tcPr>
            <w:tcW w:w="355" w:type="pct"/>
            <w:tcBorders>
              <w:top w:val="nil"/>
              <w:left w:val="nil"/>
              <w:bottom w:val="nil"/>
              <w:right w:val="nil"/>
            </w:tcBorders>
            <w:shd w:val="clear" w:color="auto" w:fill="auto"/>
            <w:noWrap/>
            <w:vAlign w:val="bottom"/>
            <w:hideMark/>
          </w:tcPr>
          <w:p w14:paraId="1E718962" w14:textId="77777777" w:rsidR="001631C6" w:rsidRPr="00F77F84" w:rsidRDefault="001631C6" w:rsidP="008F5322">
            <w:pPr>
              <w:jc w:val="center"/>
              <w:rPr>
                <w:color w:val="000000"/>
                <w:sz w:val="20"/>
                <w:szCs w:val="20"/>
                <w:lang w:val="en-US"/>
              </w:rPr>
            </w:pPr>
            <w:r w:rsidRPr="00F77F84">
              <w:rPr>
                <w:color w:val="000000"/>
                <w:sz w:val="20"/>
                <w:szCs w:val="20"/>
              </w:rPr>
              <w:t xml:space="preserve"> [7.003] </w:t>
            </w:r>
          </w:p>
        </w:tc>
        <w:tc>
          <w:tcPr>
            <w:tcW w:w="505" w:type="pct"/>
            <w:tcBorders>
              <w:top w:val="nil"/>
              <w:left w:val="nil"/>
              <w:bottom w:val="nil"/>
              <w:right w:val="nil"/>
            </w:tcBorders>
            <w:shd w:val="clear" w:color="auto" w:fill="auto"/>
            <w:noWrap/>
            <w:vAlign w:val="bottom"/>
            <w:hideMark/>
          </w:tcPr>
          <w:p w14:paraId="04B04142" w14:textId="77777777" w:rsidR="001631C6" w:rsidRPr="00F77F84" w:rsidRDefault="001631C6" w:rsidP="008F5322">
            <w:pPr>
              <w:jc w:val="center"/>
              <w:rPr>
                <w:color w:val="000000"/>
                <w:sz w:val="20"/>
                <w:szCs w:val="20"/>
                <w:lang w:val="en-US"/>
              </w:rPr>
            </w:pPr>
            <w:r w:rsidRPr="00F77F84">
              <w:rPr>
                <w:color w:val="000000"/>
                <w:sz w:val="20"/>
                <w:szCs w:val="20"/>
              </w:rPr>
              <w:t xml:space="preserve"> [500.000] </w:t>
            </w:r>
          </w:p>
        </w:tc>
        <w:tc>
          <w:tcPr>
            <w:tcW w:w="449" w:type="pct"/>
            <w:tcBorders>
              <w:top w:val="nil"/>
              <w:left w:val="nil"/>
              <w:bottom w:val="nil"/>
              <w:right w:val="nil"/>
            </w:tcBorders>
            <w:shd w:val="clear" w:color="auto" w:fill="auto"/>
            <w:noWrap/>
            <w:vAlign w:val="bottom"/>
            <w:hideMark/>
          </w:tcPr>
          <w:p w14:paraId="78C42D7B" w14:textId="77777777" w:rsidR="001631C6" w:rsidRPr="00F77F84" w:rsidRDefault="001631C6" w:rsidP="008F5322">
            <w:pPr>
              <w:jc w:val="center"/>
              <w:rPr>
                <w:color w:val="000000"/>
                <w:sz w:val="20"/>
                <w:szCs w:val="20"/>
                <w:lang w:val="en-US"/>
              </w:rPr>
            </w:pPr>
            <w:r w:rsidRPr="00F77F84">
              <w:rPr>
                <w:color w:val="000000"/>
                <w:sz w:val="20"/>
                <w:szCs w:val="20"/>
              </w:rPr>
              <w:t xml:space="preserve"> [18.248] </w:t>
            </w:r>
          </w:p>
        </w:tc>
      </w:tr>
      <w:tr w:rsidR="001631C6" w:rsidRPr="00F77F84" w14:paraId="1DC0BEF5" w14:textId="77777777" w:rsidTr="008F5322">
        <w:trPr>
          <w:trHeight w:val="20"/>
        </w:trPr>
        <w:tc>
          <w:tcPr>
            <w:tcW w:w="607" w:type="pct"/>
            <w:tcBorders>
              <w:top w:val="nil"/>
              <w:left w:val="nil"/>
              <w:bottom w:val="nil"/>
              <w:right w:val="nil"/>
            </w:tcBorders>
            <w:shd w:val="clear" w:color="auto" w:fill="auto"/>
            <w:noWrap/>
            <w:vAlign w:val="bottom"/>
            <w:hideMark/>
          </w:tcPr>
          <w:p w14:paraId="5992E832" w14:textId="77777777" w:rsidR="001631C6" w:rsidRPr="00F77F84" w:rsidRDefault="001631C6" w:rsidP="008F5322">
            <w:pPr>
              <w:rPr>
                <w:color w:val="000000"/>
                <w:sz w:val="20"/>
                <w:szCs w:val="20"/>
                <w:lang w:val="en-US"/>
              </w:rPr>
            </w:pPr>
            <w:r w:rsidRPr="00F77F84">
              <w:rPr>
                <w:color w:val="000000"/>
                <w:sz w:val="20"/>
                <w:szCs w:val="20"/>
                <w:lang w:val="en-US"/>
              </w:rPr>
              <w:t>Belgium</w:t>
            </w:r>
          </w:p>
        </w:tc>
        <w:tc>
          <w:tcPr>
            <w:tcW w:w="581" w:type="pct"/>
            <w:tcBorders>
              <w:top w:val="nil"/>
              <w:left w:val="nil"/>
              <w:bottom w:val="nil"/>
              <w:right w:val="nil"/>
            </w:tcBorders>
            <w:shd w:val="clear" w:color="auto" w:fill="auto"/>
            <w:noWrap/>
            <w:vAlign w:val="bottom"/>
            <w:hideMark/>
          </w:tcPr>
          <w:p w14:paraId="73E29EE0" w14:textId="77777777" w:rsidR="001631C6" w:rsidRPr="00F77F84" w:rsidRDefault="001631C6" w:rsidP="008F5322">
            <w:pPr>
              <w:jc w:val="center"/>
              <w:rPr>
                <w:color w:val="000000"/>
                <w:sz w:val="20"/>
                <w:szCs w:val="20"/>
                <w:lang w:val="en-US"/>
              </w:rPr>
            </w:pPr>
            <w:r w:rsidRPr="00F77F84">
              <w:rPr>
                <w:color w:val="000000"/>
                <w:sz w:val="20"/>
                <w:szCs w:val="20"/>
              </w:rPr>
              <w:t xml:space="preserve">             59 </w:t>
            </w:r>
          </w:p>
        </w:tc>
        <w:tc>
          <w:tcPr>
            <w:tcW w:w="419" w:type="pct"/>
            <w:tcBorders>
              <w:top w:val="nil"/>
              <w:left w:val="nil"/>
              <w:bottom w:val="nil"/>
              <w:right w:val="nil"/>
            </w:tcBorders>
            <w:shd w:val="clear" w:color="auto" w:fill="auto"/>
            <w:noWrap/>
            <w:vAlign w:val="bottom"/>
            <w:hideMark/>
          </w:tcPr>
          <w:p w14:paraId="57F5F9F9" w14:textId="77777777" w:rsidR="001631C6" w:rsidRPr="00F77F84" w:rsidRDefault="001631C6" w:rsidP="008F5322">
            <w:pPr>
              <w:jc w:val="center"/>
              <w:rPr>
                <w:color w:val="000000"/>
                <w:sz w:val="20"/>
                <w:szCs w:val="20"/>
                <w:lang w:val="en-US"/>
              </w:rPr>
            </w:pPr>
            <w:r w:rsidRPr="00F77F84">
              <w:rPr>
                <w:color w:val="000000"/>
                <w:sz w:val="20"/>
                <w:szCs w:val="20"/>
              </w:rPr>
              <w:t xml:space="preserve">     1.232 </w:t>
            </w:r>
          </w:p>
        </w:tc>
        <w:tc>
          <w:tcPr>
            <w:tcW w:w="626" w:type="pct"/>
            <w:tcBorders>
              <w:top w:val="nil"/>
              <w:left w:val="nil"/>
              <w:bottom w:val="nil"/>
              <w:right w:val="nil"/>
            </w:tcBorders>
            <w:shd w:val="clear" w:color="auto" w:fill="auto"/>
            <w:noWrap/>
            <w:vAlign w:val="bottom"/>
            <w:hideMark/>
          </w:tcPr>
          <w:p w14:paraId="1283B661" w14:textId="77777777" w:rsidR="001631C6" w:rsidRPr="00F77F84" w:rsidRDefault="001631C6" w:rsidP="008F5322">
            <w:pPr>
              <w:jc w:val="center"/>
              <w:rPr>
                <w:color w:val="000000"/>
                <w:sz w:val="20"/>
                <w:szCs w:val="20"/>
                <w:lang w:val="en-US"/>
              </w:rPr>
            </w:pPr>
            <w:r w:rsidRPr="00F77F84">
              <w:rPr>
                <w:color w:val="000000"/>
                <w:sz w:val="20"/>
                <w:szCs w:val="20"/>
              </w:rPr>
              <w:t xml:space="preserve">     0.910 </w:t>
            </w:r>
          </w:p>
        </w:tc>
        <w:tc>
          <w:tcPr>
            <w:tcW w:w="502" w:type="pct"/>
            <w:tcBorders>
              <w:top w:val="nil"/>
              <w:left w:val="nil"/>
              <w:bottom w:val="nil"/>
              <w:right w:val="nil"/>
            </w:tcBorders>
            <w:shd w:val="clear" w:color="auto" w:fill="auto"/>
            <w:noWrap/>
            <w:vAlign w:val="bottom"/>
            <w:hideMark/>
          </w:tcPr>
          <w:p w14:paraId="61F85072" w14:textId="77777777" w:rsidR="001631C6" w:rsidRPr="00F77F84" w:rsidRDefault="001631C6" w:rsidP="008F5322">
            <w:pPr>
              <w:jc w:val="center"/>
              <w:rPr>
                <w:color w:val="000000"/>
                <w:sz w:val="20"/>
                <w:szCs w:val="20"/>
                <w:lang w:val="en-US"/>
              </w:rPr>
            </w:pPr>
            <w:r w:rsidRPr="00F77F84">
              <w:rPr>
                <w:color w:val="000000"/>
                <w:sz w:val="20"/>
                <w:szCs w:val="20"/>
              </w:rPr>
              <w:t xml:space="preserve">     5.373 </w:t>
            </w:r>
          </w:p>
        </w:tc>
        <w:tc>
          <w:tcPr>
            <w:tcW w:w="538" w:type="pct"/>
            <w:tcBorders>
              <w:top w:val="nil"/>
              <w:left w:val="nil"/>
              <w:bottom w:val="nil"/>
              <w:right w:val="nil"/>
            </w:tcBorders>
            <w:shd w:val="clear" w:color="auto" w:fill="auto"/>
            <w:noWrap/>
            <w:vAlign w:val="bottom"/>
            <w:hideMark/>
          </w:tcPr>
          <w:p w14:paraId="0E3321E0" w14:textId="77777777" w:rsidR="001631C6" w:rsidRPr="00F77F84" w:rsidRDefault="001631C6" w:rsidP="008F5322">
            <w:pPr>
              <w:jc w:val="center"/>
              <w:rPr>
                <w:color w:val="000000"/>
                <w:sz w:val="20"/>
                <w:szCs w:val="20"/>
                <w:lang w:val="en-US"/>
              </w:rPr>
            </w:pPr>
            <w:r w:rsidRPr="00F77F84">
              <w:rPr>
                <w:color w:val="000000"/>
                <w:sz w:val="20"/>
                <w:szCs w:val="20"/>
              </w:rPr>
              <w:t xml:space="preserve">     0.617 </w:t>
            </w:r>
          </w:p>
        </w:tc>
        <w:tc>
          <w:tcPr>
            <w:tcW w:w="417" w:type="pct"/>
            <w:tcBorders>
              <w:top w:val="nil"/>
              <w:left w:val="nil"/>
              <w:bottom w:val="nil"/>
              <w:right w:val="nil"/>
            </w:tcBorders>
            <w:shd w:val="clear" w:color="auto" w:fill="auto"/>
            <w:noWrap/>
            <w:vAlign w:val="bottom"/>
            <w:hideMark/>
          </w:tcPr>
          <w:p w14:paraId="5AA73689" w14:textId="77777777" w:rsidR="001631C6" w:rsidRPr="00F77F84" w:rsidRDefault="001631C6" w:rsidP="008F5322">
            <w:pPr>
              <w:jc w:val="center"/>
              <w:rPr>
                <w:color w:val="000000"/>
                <w:sz w:val="20"/>
                <w:szCs w:val="20"/>
                <w:lang w:val="en-US"/>
              </w:rPr>
            </w:pPr>
            <w:r w:rsidRPr="00F77F84">
              <w:rPr>
                <w:color w:val="000000"/>
                <w:sz w:val="20"/>
                <w:szCs w:val="20"/>
              </w:rPr>
              <w:t xml:space="preserve">     7.881 </w:t>
            </w:r>
          </w:p>
        </w:tc>
        <w:tc>
          <w:tcPr>
            <w:tcW w:w="355" w:type="pct"/>
            <w:tcBorders>
              <w:top w:val="nil"/>
              <w:left w:val="nil"/>
              <w:bottom w:val="nil"/>
              <w:right w:val="nil"/>
            </w:tcBorders>
            <w:shd w:val="clear" w:color="auto" w:fill="auto"/>
            <w:noWrap/>
            <w:vAlign w:val="bottom"/>
            <w:hideMark/>
          </w:tcPr>
          <w:p w14:paraId="5BE40D65" w14:textId="77777777" w:rsidR="001631C6" w:rsidRPr="00F77F84" w:rsidRDefault="001631C6" w:rsidP="008F5322">
            <w:pPr>
              <w:jc w:val="center"/>
              <w:rPr>
                <w:color w:val="000000"/>
                <w:sz w:val="20"/>
                <w:szCs w:val="20"/>
                <w:lang w:val="en-US"/>
              </w:rPr>
            </w:pPr>
            <w:r w:rsidRPr="00F77F84">
              <w:rPr>
                <w:color w:val="000000"/>
                <w:sz w:val="20"/>
                <w:szCs w:val="20"/>
              </w:rPr>
              <w:t xml:space="preserve">     9.357 </w:t>
            </w:r>
          </w:p>
        </w:tc>
        <w:tc>
          <w:tcPr>
            <w:tcW w:w="505" w:type="pct"/>
            <w:tcBorders>
              <w:top w:val="nil"/>
              <w:left w:val="nil"/>
              <w:bottom w:val="nil"/>
              <w:right w:val="nil"/>
            </w:tcBorders>
            <w:shd w:val="clear" w:color="auto" w:fill="auto"/>
            <w:noWrap/>
            <w:vAlign w:val="bottom"/>
            <w:hideMark/>
          </w:tcPr>
          <w:p w14:paraId="56E2BD8C" w14:textId="77777777" w:rsidR="001631C6" w:rsidRPr="00F77F84" w:rsidRDefault="001631C6" w:rsidP="008F5322">
            <w:pPr>
              <w:jc w:val="center"/>
              <w:rPr>
                <w:color w:val="000000"/>
                <w:sz w:val="20"/>
                <w:szCs w:val="20"/>
                <w:lang w:val="en-US"/>
              </w:rPr>
            </w:pPr>
            <w:r w:rsidRPr="00F77F84">
              <w:rPr>
                <w:color w:val="000000"/>
                <w:sz w:val="20"/>
                <w:szCs w:val="20"/>
              </w:rPr>
              <w:t xml:space="preserve">  804.915 </w:t>
            </w:r>
          </w:p>
        </w:tc>
        <w:tc>
          <w:tcPr>
            <w:tcW w:w="449" w:type="pct"/>
            <w:tcBorders>
              <w:top w:val="nil"/>
              <w:left w:val="nil"/>
              <w:bottom w:val="nil"/>
              <w:right w:val="nil"/>
            </w:tcBorders>
            <w:shd w:val="clear" w:color="auto" w:fill="auto"/>
            <w:noWrap/>
            <w:vAlign w:val="bottom"/>
            <w:hideMark/>
          </w:tcPr>
          <w:p w14:paraId="538E863D" w14:textId="77777777" w:rsidR="001631C6" w:rsidRPr="00F77F84" w:rsidRDefault="001631C6" w:rsidP="008F5322">
            <w:pPr>
              <w:jc w:val="center"/>
              <w:rPr>
                <w:color w:val="000000"/>
                <w:sz w:val="20"/>
                <w:szCs w:val="20"/>
                <w:lang w:val="en-US"/>
              </w:rPr>
            </w:pPr>
            <w:r w:rsidRPr="00F77F84">
              <w:rPr>
                <w:color w:val="000000"/>
                <w:sz w:val="20"/>
                <w:szCs w:val="20"/>
              </w:rPr>
              <w:t xml:space="preserve">    54.471 </w:t>
            </w:r>
          </w:p>
        </w:tc>
      </w:tr>
      <w:tr w:rsidR="001631C6" w:rsidRPr="00F77F84" w14:paraId="23FCF96B" w14:textId="77777777" w:rsidTr="008F5322">
        <w:trPr>
          <w:trHeight w:val="20"/>
        </w:trPr>
        <w:tc>
          <w:tcPr>
            <w:tcW w:w="607" w:type="pct"/>
            <w:tcBorders>
              <w:top w:val="nil"/>
              <w:left w:val="nil"/>
              <w:bottom w:val="nil"/>
              <w:right w:val="nil"/>
            </w:tcBorders>
            <w:shd w:val="clear" w:color="auto" w:fill="auto"/>
            <w:noWrap/>
            <w:vAlign w:val="bottom"/>
            <w:hideMark/>
          </w:tcPr>
          <w:p w14:paraId="066A8CF5"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40AE3F36"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77BBDAE6" w14:textId="77777777" w:rsidR="001631C6" w:rsidRPr="00F77F84" w:rsidRDefault="001631C6" w:rsidP="008F5322">
            <w:pPr>
              <w:jc w:val="center"/>
              <w:rPr>
                <w:color w:val="000000"/>
                <w:sz w:val="20"/>
                <w:szCs w:val="20"/>
                <w:lang w:val="en-US"/>
              </w:rPr>
            </w:pPr>
            <w:r w:rsidRPr="00F77F84">
              <w:rPr>
                <w:color w:val="000000"/>
                <w:sz w:val="20"/>
                <w:szCs w:val="20"/>
              </w:rPr>
              <w:t xml:space="preserve"> [0.920] </w:t>
            </w:r>
          </w:p>
        </w:tc>
        <w:tc>
          <w:tcPr>
            <w:tcW w:w="626" w:type="pct"/>
            <w:tcBorders>
              <w:top w:val="nil"/>
              <w:left w:val="nil"/>
              <w:bottom w:val="nil"/>
              <w:right w:val="nil"/>
            </w:tcBorders>
            <w:shd w:val="clear" w:color="auto" w:fill="auto"/>
            <w:noWrap/>
            <w:vAlign w:val="bottom"/>
            <w:hideMark/>
          </w:tcPr>
          <w:p w14:paraId="7CC9930D"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502" w:type="pct"/>
            <w:tcBorders>
              <w:top w:val="nil"/>
              <w:left w:val="nil"/>
              <w:bottom w:val="nil"/>
              <w:right w:val="nil"/>
            </w:tcBorders>
            <w:shd w:val="clear" w:color="auto" w:fill="auto"/>
            <w:noWrap/>
            <w:vAlign w:val="bottom"/>
            <w:hideMark/>
          </w:tcPr>
          <w:p w14:paraId="5C1B5055" w14:textId="77777777" w:rsidR="001631C6" w:rsidRPr="00F77F84" w:rsidRDefault="001631C6" w:rsidP="008F5322">
            <w:pPr>
              <w:jc w:val="center"/>
              <w:rPr>
                <w:color w:val="000000"/>
                <w:sz w:val="20"/>
                <w:szCs w:val="20"/>
                <w:lang w:val="en-US"/>
              </w:rPr>
            </w:pPr>
            <w:r w:rsidRPr="00F77F84">
              <w:rPr>
                <w:color w:val="000000"/>
                <w:sz w:val="20"/>
                <w:szCs w:val="20"/>
              </w:rPr>
              <w:t xml:space="preserve"> [5.000] </w:t>
            </w:r>
          </w:p>
        </w:tc>
        <w:tc>
          <w:tcPr>
            <w:tcW w:w="538" w:type="pct"/>
            <w:tcBorders>
              <w:top w:val="nil"/>
              <w:left w:val="nil"/>
              <w:bottom w:val="nil"/>
              <w:right w:val="nil"/>
            </w:tcBorders>
            <w:shd w:val="clear" w:color="auto" w:fill="auto"/>
            <w:noWrap/>
            <w:vAlign w:val="bottom"/>
            <w:hideMark/>
          </w:tcPr>
          <w:p w14:paraId="1EE5BB67" w14:textId="77777777" w:rsidR="001631C6" w:rsidRPr="00F77F84" w:rsidRDefault="001631C6" w:rsidP="008F5322">
            <w:pPr>
              <w:jc w:val="center"/>
              <w:rPr>
                <w:color w:val="000000"/>
                <w:sz w:val="20"/>
                <w:szCs w:val="20"/>
                <w:lang w:val="en-US"/>
              </w:rPr>
            </w:pPr>
            <w:r w:rsidRPr="00F77F84">
              <w:rPr>
                <w:color w:val="000000"/>
                <w:sz w:val="20"/>
                <w:szCs w:val="20"/>
              </w:rPr>
              <w:t xml:space="preserve"> [0.750] </w:t>
            </w:r>
          </w:p>
        </w:tc>
        <w:tc>
          <w:tcPr>
            <w:tcW w:w="417" w:type="pct"/>
            <w:tcBorders>
              <w:top w:val="nil"/>
              <w:left w:val="nil"/>
              <w:bottom w:val="nil"/>
              <w:right w:val="nil"/>
            </w:tcBorders>
            <w:shd w:val="clear" w:color="auto" w:fill="auto"/>
            <w:noWrap/>
            <w:vAlign w:val="bottom"/>
            <w:hideMark/>
          </w:tcPr>
          <w:p w14:paraId="6E530ED2"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355" w:type="pct"/>
            <w:tcBorders>
              <w:top w:val="nil"/>
              <w:left w:val="nil"/>
              <w:bottom w:val="nil"/>
              <w:right w:val="nil"/>
            </w:tcBorders>
            <w:shd w:val="clear" w:color="auto" w:fill="auto"/>
            <w:noWrap/>
            <w:vAlign w:val="bottom"/>
            <w:hideMark/>
          </w:tcPr>
          <w:p w14:paraId="036C752B" w14:textId="77777777" w:rsidR="001631C6" w:rsidRPr="00F77F84" w:rsidRDefault="001631C6" w:rsidP="008F5322">
            <w:pPr>
              <w:jc w:val="center"/>
              <w:rPr>
                <w:color w:val="000000"/>
                <w:sz w:val="20"/>
                <w:szCs w:val="20"/>
                <w:lang w:val="en-US"/>
              </w:rPr>
            </w:pPr>
            <w:r w:rsidRPr="00F77F84">
              <w:rPr>
                <w:color w:val="000000"/>
                <w:sz w:val="20"/>
                <w:szCs w:val="20"/>
              </w:rPr>
              <w:t xml:space="preserve"> [8.970] </w:t>
            </w:r>
          </w:p>
        </w:tc>
        <w:tc>
          <w:tcPr>
            <w:tcW w:w="505" w:type="pct"/>
            <w:tcBorders>
              <w:top w:val="nil"/>
              <w:left w:val="nil"/>
              <w:bottom w:val="nil"/>
              <w:right w:val="nil"/>
            </w:tcBorders>
            <w:shd w:val="clear" w:color="auto" w:fill="auto"/>
            <w:noWrap/>
            <w:vAlign w:val="bottom"/>
            <w:hideMark/>
          </w:tcPr>
          <w:p w14:paraId="72D7B53B" w14:textId="77777777" w:rsidR="001631C6" w:rsidRPr="00F77F84" w:rsidRDefault="001631C6" w:rsidP="008F5322">
            <w:pPr>
              <w:jc w:val="center"/>
              <w:rPr>
                <w:color w:val="000000"/>
                <w:sz w:val="20"/>
                <w:szCs w:val="20"/>
                <w:lang w:val="en-US"/>
              </w:rPr>
            </w:pPr>
            <w:r w:rsidRPr="00F77F84">
              <w:rPr>
                <w:color w:val="000000"/>
                <w:sz w:val="20"/>
                <w:szCs w:val="20"/>
              </w:rPr>
              <w:t xml:space="preserve"> [600.000] </w:t>
            </w:r>
          </w:p>
        </w:tc>
        <w:tc>
          <w:tcPr>
            <w:tcW w:w="449" w:type="pct"/>
            <w:tcBorders>
              <w:top w:val="nil"/>
              <w:left w:val="nil"/>
              <w:bottom w:val="nil"/>
              <w:right w:val="nil"/>
            </w:tcBorders>
            <w:shd w:val="clear" w:color="auto" w:fill="auto"/>
            <w:noWrap/>
            <w:vAlign w:val="bottom"/>
            <w:hideMark/>
          </w:tcPr>
          <w:p w14:paraId="585084A1" w14:textId="77777777" w:rsidR="001631C6" w:rsidRPr="00F77F84" w:rsidRDefault="001631C6" w:rsidP="008F5322">
            <w:pPr>
              <w:jc w:val="center"/>
              <w:rPr>
                <w:color w:val="000000"/>
                <w:sz w:val="20"/>
                <w:szCs w:val="20"/>
                <w:lang w:val="en-US"/>
              </w:rPr>
            </w:pPr>
            <w:r w:rsidRPr="00F77F84">
              <w:rPr>
                <w:color w:val="000000"/>
                <w:sz w:val="20"/>
                <w:szCs w:val="20"/>
              </w:rPr>
              <w:t xml:space="preserve"> [17.184] </w:t>
            </w:r>
          </w:p>
        </w:tc>
      </w:tr>
      <w:tr w:rsidR="001631C6" w:rsidRPr="00F77F84" w14:paraId="4BCF4782" w14:textId="77777777" w:rsidTr="008F5322">
        <w:trPr>
          <w:trHeight w:val="20"/>
        </w:trPr>
        <w:tc>
          <w:tcPr>
            <w:tcW w:w="607" w:type="pct"/>
            <w:tcBorders>
              <w:top w:val="nil"/>
              <w:left w:val="nil"/>
              <w:bottom w:val="nil"/>
              <w:right w:val="nil"/>
            </w:tcBorders>
            <w:shd w:val="clear" w:color="auto" w:fill="auto"/>
            <w:noWrap/>
            <w:vAlign w:val="bottom"/>
            <w:hideMark/>
          </w:tcPr>
          <w:p w14:paraId="3AF94B0C" w14:textId="77777777" w:rsidR="001631C6" w:rsidRPr="00F77F84" w:rsidRDefault="001631C6" w:rsidP="008F5322">
            <w:pPr>
              <w:rPr>
                <w:color w:val="000000"/>
                <w:sz w:val="20"/>
                <w:szCs w:val="20"/>
                <w:lang w:val="en-US"/>
              </w:rPr>
            </w:pPr>
            <w:r w:rsidRPr="00F77F84">
              <w:rPr>
                <w:color w:val="000000"/>
                <w:sz w:val="20"/>
                <w:szCs w:val="20"/>
                <w:lang w:val="en-US"/>
              </w:rPr>
              <w:t>France</w:t>
            </w:r>
          </w:p>
        </w:tc>
        <w:tc>
          <w:tcPr>
            <w:tcW w:w="581" w:type="pct"/>
            <w:tcBorders>
              <w:top w:val="nil"/>
              <w:left w:val="nil"/>
              <w:bottom w:val="nil"/>
              <w:right w:val="nil"/>
            </w:tcBorders>
            <w:shd w:val="clear" w:color="auto" w:fill="auto"/>
            <w:noWrap/>
            <w:vAlign w:val="bottom"/>
            <w:hideMark/>
          </w:tcPr>
          <w:p w14:paraId="08C0E8A6" w14:textId="77777777" w:rsidR="001631C6" w:rsidRPr="00F77F84" w:rsidRDefault="001631C6" w:rsidP="008F5322">
            <w:pPr>
              <w:jc w:val="center"/>
              <w:rPr>
                <w:color w:val="000000"/>
                <w:sz w:val="20"/>
                <w:szCs w:val="20"/>
                <w:lang w:val="en-US"/>
              </w:rPr>
            </w:pPr>
            <w:r w:rsidRPr="00F77F84">
              <w:rPr>
                <w:color w:val="000000"/>
                <w:sz w:val="20"/>
                <w:szCs w:val="20"/>
              </w:rPr>
              <w:t xml:space="preserve">           740 </w:t>
            </w:r>
          </w:p>
        </w:tc>
        <w:tc>
          <w:tcPr>
            <w:tcW w:w="419" w:type="pct"/>
            <w:tcBorders>
              <w:top w:val="nil"/>
              <w:left w:val="nil"/>
              <w:bottom w:val="nil"/>
              <w:right w:val="nil"/>
            </w:tcBorders>
            <w:shd w:val="clear" w:color="auto" w:fill="auto"/>
            <w:noWrap/>
            <w:vAlign w:val="bottom"/>
            <w:hideMark/>
          </w:tcPr>
          <w:p w14:paraId="6BA9E13F" w14:textId="77777777" w:rsidR="001631C6" w:rsidRPr="00F77F84" w:rsidRDefault="001631C6" w:rsidP="008F5322">
            <w:pPr>
              <w:jc w:val="center"/>
              <w:rPr>
                <w:color w:val="000000"/>
                <w:sz w:val="20"/>
                <w:szCs w:val="20"/>
                <w:lang w:val="en-US"/>
              </w:rPr>
            </w:pPr>
            <w:r w:rsidRPr="00F77F84">
              <w:rPr>
                <w:color w:val="000000"/>
                <w:sz w:val="20"/>
                <w:szCs w:val="20"/>
              </w:rPr>
              <w:t xml:space="preserve">     1.143 </w:t>
            </w:r>
          </w:p>
        </w:tc>
        <w:tc>
          <w:tcPr>
            <w:tcW w:w="626" w:type="pct"/>
            <w:tcBorders>
              <w:top w:val="nil"/>
              <w:left w:val="nil"/>
              <w:bottom w:val="nil"/>
              <w:right w:val="nil"/>
            </w:tcBorders>
            <w:shd w:val="clear" w:color="auto" w:fill="auto"/>
            <w:noWrap/>
            <w:vAlign w:val="bottom"/>
            <w:hideMark/>
          </w:tcPr>
          <w:p w14:paraId="6F332FE2" w14:textId="77777777" w:rsidR="001631C6" w:rsidRPr="00F77F84" w:rsidRDefault="001631C6" w:rsidP="008F5322">
            <w:pPr>
              <w:jc w:val="center"/>
              <w:rPr>
                <w:color w:val="000000"/>
                <w:sz w:val="20"/>
                <w:szCs w:val="20"/>
                <w:lang w:val="en-US"/>
              </w:rPr>
            </w:pPr>
            <w:r w:rsidRPr="00F77F84">
              <w:rPr>
                <w:color w:val="000000"/>
                <w:sz w:val="20"/>
                <w:szCs w:val="20"/>
              </w:rPr>
              <w:t xml:space="preserve">     0.593 </w:t>
            </w:r>
          </w:p>
        </w:tc>
        <w:tc>
          <w:tcPr>
            <w:tcW w:w="502" w:type="pct"/>
            <w:tcBorders>
              <w:top w:val="nil"/>
              <w:left w:val="nil"/>
              <w:bottom w:val="nil"/>
              <w:right w:val="nil"/>
            </w:tcBorders>
            <w:shd w:val="clear" w:color="auto" w:fill="auto"/>
            <w:noWrap/>
            <w:vAlign w:val="bottom"/>
            <w:hideMark/>
          </w:tcPr>
          <w:p w14:paraId="19C0F700" w14:textId="77777777" w:rsidR="001631C6" w:rsidRPr="00F77F84" w:rsidRDefault="001631C6" w:rsidP="008F5322">
            <w:pPr>
              <w:jc w:val="center"/>
              <w:rPr>
                <w:color w:val="000000"/>
                <w:sz w:val="20"/>
                <w:szCs w:val="20"/>
                <w:lang w:val="en-US"/>
              </w:rPr>
            </w:pPr>
            <w:r w:rsidRPr="00F77F84">
              <w:rPr>
                <w:color w:val="000000"/>
                <w:sz w:val="20"/>
                <w:szCs w:val="20"/>
              </w:rPr>
              <w:t xml:space="preserve">    19.031 </w:t>
            </w:r>
          </w:p>
        </w:tc>
        <w:tc>
          <w:tcPr>
            <w:tcW w:w="538" w:type="pct"/>
            <w:tcBorders>
              <w:top w:val="nil"/>
              <w:left w:val="nil"/>
              <w:bottom w:val="nil"/>
              <w:right w:val="nil"/>
            </w:tcBorders>
            <w:shd w:val="clear" w:color="auto" w:fill="auto"/>
            <w:noWrap/>
            <w:vAlign w:val="bottom"/>
            <w:hideMark/>
          </w:tcPr>
          <w:p w14:paraId="1AD08542" w14:textId="77777777" w:rsidR="001631C6" w:rsidRPr="00F77F84" w:rsidRDefault="001631C6" w:rsidP="008F5322">
            <w:pPr>
              <w:jc w:val="center"/>
              <w:rPr>
                <w:color w:val="000000"/>
                <w:sz w:val="20"/>
                <w:szCs w:val="20"/>
                <w:lang w:val="en-US"/>
              </w:rPr>
            </w:pPr>
            <w:r w:rsidRPr="00F77F84">
              <w:rPr>
                <w:color w:val="000000"/>
                <w:sz w:val="20"/>
                <w:szCs w:val="20"/>
              </w:rPr>
              <w:t xml:space="preserve">     0.555 </w:t>
            </w:r>
          </w:p>
        </w:tc>
        <w:tc>
          <w:tcPr>
            <w:tcW w:w="417" w:type="pct"/>
            <w:tcBorders>
              <w:top w:val="nil"/>
              <w:left w:val="nil"/>
              <w:bottom w:val="nil"/>
              <w:right w:val="nil"/>
            </w:tcBorders>
            <w:shd w:val="clear" w:color="auto" w:fill="auto"/>
            <w:noWrap/>
            <w:vAlign w:val="bottom"/>
            <w:hideMark/>
          </w:tcPr>
          <w:p w14:paraId="4C94E8AD" w14:textId="77777777" w:rsidR="001631C6" w:rsidRPr="00F77F84" w:rsidRDefault="001631C6" w:rsidP="008F5322">
            <w:pPr>
              <w:jc w:val="center"/>
              <w:rPr>
                <w:color w:val="000000"/>
                <w:sz w:val="20"/>
                <w:szCs w:val="20"/>
                <w:lang w:val="en-US"/>
              </w:rPr>
            </w:pPr>
            <w:r w:rsidRPr="00F77F84">
              <w:rPr>
                <w:color w:val="000000"/>
                <w:sz w:val="20"/>
                <w:szCs w:val="20"/>
              </w:rPr>
              <w:t xml:space="preserve">     7.772 </w:t>
            </w:r>
          </w:p>
        </w:tc>
        <w:tc>
          <w:tcPr>
            <w:tcW w:w="355" w:type="pct"/>
            <w:tcBorders>
              <w:top w:val="nil"/>
              <w:left w:val="nil"/>
              <w:bottom w:val="nil"/>
              <w:right w:val="nil"/>
            </w:tcBorders>
            <w:shd w:val="clear" w:color="auto" w:fill="auto"/>
            <w:noWrap/>
            <w:vAlign w:val="bottom"/>
            <w:hideMark/>
          </w:tcPr>
          <w:p w14:paraId="07AF1B6E" w14:textId="77777777" w:rsidR="001631C6" w:rsidRPr="00F77F84" w:rsidRDefault="001631C6" w:rsidP="008F5322">
            <w:pPr>
              <w:jc w:val="center"/>
              <w:rPr>
                <w:color w:val="000000"/>
                <w:sz w:val="20"/>
                <w:szCs w:val="20"/>
                <w:lang w:val="en-US"/>
              </w:rPr>
            </w:pPr>
            <w:r w:rsidRPr="00F77F84">
              <w:rPr>
                <w:color w:val="000000"/>
                <w:sz w:val="20"/>
                <w:szCs w:val="20"/>
              </w:rPr>
              <w:t xml:space="preserve">     7.934 </w:t>
            </w:r>
          </w:p>
        </w:tc>
        <w:tc>
          <w:tcPr>
            <w:tcW w:w="505" w:type="pct"/>
            <w:tcBorders>
              <w:top w:val="nil"/>
              <w:left w:val="nil"/>
              <w:bottom w:val="nil"/>
              <w:right w:val="nil"/>
            </w:tcBorders>
            <w:shd w:val="clear" w:color="auto" w:fill="auto"/>
            <w:noWrap/>
            <w:vAlign w:val="bottom"/>
            <w:hideMark/>
          </w:tcPr>
          <w:p w14:paraId="63BBF19F" w14:textId="77777777" w:rsidR="001631C6" w:rsidRPr="00F77F84" w:rsidRDefault="001631C6" w:rsidP="008F5322">
            <w:pPr>
              <w:jc w:val="center"/>
              <w:rPr>
                <w:color w:val="000000"/>
                <w:sz w:val="20"/>
                <w:szCs w:val="20"/>
                <w:lang w:val="en-US"/>
              </w:rPr>
            </w:pPr>
            <w:r w:rsidRPr="00F77F84">
              <w:rPr>
                <w:color w:val="000000"/>
                <w:sz w:val="20"/>
                <w:szCs w:val="20"/>
              </w:rPr>
              <w:t xml:space="preserve">  736.061 </w:t>
            </w:r>
          </w:p>
        </w:tc>
        <w:tc>
          <w:tcPr>
            <w:tcW w:w="449" w:type="pct"/>
            <w:tcBorders>
              <w:top w:val="nil"/>
              <w:left w:val="nil"/>
              <w:bottom w:val="nil"/>
              <w:right w:val="nil"/>
            </w:tcBorders>
            <w:shd w:val="clear" w:color="auto" w:fill="auto"/>
            <w:noWrap/>
            <w:vAlign w:val="bottom"/>
            <w:hideMark/>
          </w:tcPr>
          <w:p w14:paraId="3C31567A" w14:textId="77777777" w:rsidR="001631C6" w:rsidRPr="00F77F84" w:rsidRDefault="001631C6" w:rsidP="008F5322">
            <w:pPr>
              <w:jc w:val="center"/>
              <w:rPr>
                <w:color w:val="000000"/>
                <w:sz w:val="20"/>
                <w:szCs w:val="20"/>
                <w:lang w:val="en-US"/>
              </w:rPr>
            </w:pPr>
            <w:r w:rsidRPr="00F77F84">
              <w:rPr>
                <w:color w:val="000000"/>
                <w:sz w:val="20"/>
                <w:szCs w:val="20"/>
              </w:rPr>
              <w:t xml:space="preserve">    62.456 </w:t>
            </w:r>
          </w:p>
        </w:tc>
      </w:tr>
      <w:tr w:rsidR="001631C6" w:rsidRPr="00F77F84" w14:paraId="3C5672E5" w14:textId="77777777" w:rsidTr="008F5322">
        <w:trPr>
          <w:trHeight w:val="20"/>
        </w:trPr>
        <w:tc>
          <w:tcPr>
            <w:tcW w:w="607" w:type="pct"/>
            <w:tcBorders>
              <w:top w:val="nil"/>
              <w:left w:val="nil"/>
              <w:bottom w:val="nil"/>
              <w:right w:val="nil"/>
            </w:tcBorders>
            <w:shd w:val="clear" w:color="auto" w:fill="auto"/>
            <w:noWrap/>
            <w:vAlign w:val="bottom"/>
            <w:hideMark/>
          </w:tcPr>
          <w:p w14:paraId="69F7211D"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48BE3C09"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451211B1" w14:textId="77777777" w:rsidR="001631C6" w:rsidRPr="00F77F84" w:rsidRDefault="001631C6" w:rsidP="008F5322">
            <w:pPr>
              <w:jc w:val="center"/>
              <w:rPr>
                <w:color w:val="000000"/>
                <w:sz w:val="20"/>
                <w:szCs w:val="20"/>
                <w:lang w:val="en-US"/>
              </w:rPr>
            </w:pPr>
            <w:r w:rsidRPr="00F77F84">
              <w:rPr>
                <w:color w:val="000000"/>
                <w:sz w:val="20"/>
                <w:szCs w:val="20"/>
              </w:rPr>
              <w:t xml:space="preserve"> [0.850] </w:t>
            </w:r>
          </w:p>
        </w:tc>
        <w:tc>
          <w:tcPr>
            <w:tcW w:w="626" w:type="pct"/>
            <w:tcBorders>
              <w:top w:val="nil"/>
              <w:left w:val="nil"/>
              <w:bottom w:val="nil"/>
              <w:right w:val="nil"/>
            </w:tcBorders>
            <w:shd w:val="clear" w:color="auto" w:fill="auto"/>
            <w:noWrap/>
            <w:vAlign w:val="bottom"/>
            <w:hideMark/>
          </w:tcPr>
          <w:p w14:paraId="613D86C5" w14:textId="77777777" w:rsidR="001631C6" w:rsidRPr="00F77F84" w:rsidRDefault="001631C6" w:rsidP="008F5322">
            <w:pPr>
              <w:jc w:val="center"/>
              <w:rPr>
                <w:color w:val="000000"/>
                <w:sz w:val="20"/>
                <w:szCs w:val="20"/>
                <w:lang w:val="en-US"/>
              </w:rPr>
            </w:pPr>
            <w:r w:rsidRPr="00F77F84">
              <w:rPr>
                <w:color w:val="000000"/>
                <w:sz w:val="20"/>
                <w:szCs w:val="20"/>
              </w:rPr>
              <w:t xml:space="preserve"> [0.600] </w:t>
            </w:r>
          </w:p>
        </w:tc>
        <w:tc>
          <w:tcPr>
            <w:tcW w:w="502" w:type="pct"/>
            <w:tcBorders>
              <w:top w:val="nil"/>
              <w:left w:val="nil"/>
              <w:bottom w:val="nil"/>
              <w:right w:val="nil"/>
            </w:tcBorders>
            <w:shd w:val="clear" w:color="auto" w:fill="auto"/>
            <w:noWrap/>
            <w:vAlign w:val="bottom"/>
            <w:hideMark/>
          </w:tcPr>
          <w:p w14:paraId="10681ABF" w14:textId="77777777" w:rsidR="001631C6" w:rsidRPr="00F77F84" w:rsidRDefault="001631C6" w:rsidP="008F5322">
            <w:pPr>
              <w:jc w:val="center"/>
              <w:rPr>
                <w:color w:val="000000"/>
                <w:sz w:val="20"/>
                <w:szCs w:val="20"/>
                <w:lang w:val="en-US"/>
              </w:rPr>
            </w:pPr>
            <w:r w:rsidRPr="00F77F84">
              <w:rPr>
                <w:color w:val="000000"/>
                <w:sz w:val="20"/>
                <w:szCs w:val="20"/>
              </w:rPr>
              <w:t xml:space="preserve"> [18.000] </w:t>
            </w:r>
          </w:p>
        </w:tc>
        <w:tc>
          <w:tcPr>
            <w:tcW w:w="538" w:type="pct"/>
            <w:tcBorders>
              <w:top w:val="nil"/>
              <w:left w:val="nil"/>
              <w:bottom w:val="nil"/>
              <w:right w:val="nil"/>
            </w:tcBorders>
            <w:shd w:val="clear" w:color="auto" w:fill="auto"/>
            <w:noWrap/>
            <w:vAlign w:val="bottom"/>
            <w:hideMark/>
          </w:tcPr>
          <w:p w14:paraId="04D6C970" w14:textId="77777777" w:rsidR="001631C6" w:rsidRPr="00F77F84" w:rsidRDefault="001631C6" w:rsidP="008F5322">
            <w:pPr>
              <w:jc w:val="center"/>
              <w:rPr>
                <w:color w:val="000000"/>
                <w:sz w:val="20"/>
                <w:szCs w:val="20"/>
                <w:lang w:val="en-US"/>
              </w:rPr>
            </w:pPr>
            <w:r w:rsidRPr="00F77F84">
              <w:rPr>
                <w:color w:val="000000"/>
                <w:sz w:val="20"/>
                <w:szCs w:val="20"/>
              </w:rPr>
              <w:t xml:space="preserve"> [0.667] </w:t>
            </w:r>
          </w:p>
        </w:tc>
        <w:tc>
          <w:tcPr>
            <w:tcW w:w="417" w:type="pct"/>
            <w:tcBorders>
              <w:top w:val="nil"/>
              <w:left w:val="nil"/>
              <w:bottom w:val="nil"/>
              <w:right w:val="nil"/>
            </w:tcBorders>
            <w:shd w:val="clear" w:color="auto" w:fill="auto"/>
            <w:noWrap/>
            <w:vAlign w:val="bottom"/>
            <w:hideMark/>
          </w:tcPr>
          <w:p w14:paraId="3EFA7C12"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355" w:type="pct"/>
            <w:tcBorders>
              <w:top w:val="nil"/>
              <w:left w:val="nil"/>
              <w:bottom w:val="nil"/>
              <w:right w:val="nil"/>
            </w:tcBorders>
            <w:shd w:val="clear" w:color="auto" w:fill="auto"/>
            <w:noWrap/>
            <w:vAlign w:val="bottom"/>
            <w:hideMark/>
          </w:tcPr>
          <w:p w14:paraId="2A7682BA"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505" w:type="pct"/>
            <w:tcBorders>
              <w:top w:val="nil"/>
              <w:left w:val="nil"/>
              <w:bottom w:val="nil"/>
              <w:right w:val="nil"/>
            </w:tcBorders>
            <w:shd w:val="clear" w:color="auto" w:fill="auto"/>
            <w:noWrap/>
            <w:vAlign w:val="bottom"/>
            <w:hideMark/>
          </w:tcPr>
          <w:p w14:paraId="1F81D84A" w14:textId="77777777" w:rsidR="001631C6" w:rsidRPr="00F77F84" w:rsidRDefault="001631C6" w:rsidP="008F5322">
            <w:pPr>
              <w:jc w:val="center"/>
              <w:rPr>
                <w:color w:val="000000"/>
                <w:sz w:val="20"/>
                <w:szCs w:val="20"/>
                <w:lang w:val="en-US"/>
              </w:rPr>
            </w:pPr>
            <w:r w:rsidRPr="00F77F84">
              <w:rPr>
                <w:color w:val="000000"/>
                <w:sz w:val="20"/>
                <w:szCs w:val="20"/>
              </w:rPr>
              <w:t xml:space="preserve"> [650.000] </w:t>
            </w:r>
          </w:p>
        </w:tc>
        <w:tc>
          <w:tcPr>
            <w:tcW w:w="449" w:type="pct"/>
            <w:tcBorders>
              <w:top w:val="nil"/>
              <w:left w:val="nil"/>
              <w:bottom w:val="nil"/>
              <w:right w:val="nil"/>
            </w:tcBorders>
            <w:shd w:val="clear" w:color="auto" w:fill="auto"/>
            <w:noWrap/>
            <w:vAlign w:val="bottom"/>
            <w:hideMark/>
          </w:tcPr>
          <w:p w14:paraId="535343A2" w14:textId="77777777" w:rsidR="001631C6" w:rsidRPr="00F77F84" w:rsidRDefault="001631C6" w:rsidP="008F5322">
            <w:pPr>
              <w:jc w:val="center"/>
              <w:rPr>
                <w:color w:val="000000"/>
                <w:sz w:val="20"/>
                <w:szCs w:val="20"/>
                <w:lang w:val="en-US"/>
              </w:rPr>
            </w:pPr>
            <w:r w:rsidRPr="00F77F84">
              <w:rPr>
                <w:color w:val="000000"/>
                <w:sz w:val="20"/>
                <w:szCs w:val="20"/>
              </w:rPr>
              <w:t xml:space="preserve"> [39.005] </w:t>
            </w:r>
          </w:p>
        </w:tc>
      </w:tr>
      <w:tr w:rsidR="001631C6" w:rsidRPr="00F77F84" w14:paraId="5A7C3BCF" w14:textId="77777777" w:rsidTr="008F5322">
        <w:trPr>
          <w:trHeight w:val="20"/>
        </w:trPr>
        <w:tc>
          <w:tcPr>
            <w:tcW w:w="607" w:type="pct"/>
            <w:tcBorders>
              <w:top w:val="nil"/>
              <w:left w:val="nil"/>
              <w:bottom w:val="nil"/>
              <w:right w:val="nil"/>
            </w:tcBorders>
            <w:shd w:val="clear" w:color="auto" w:fill="auto"/>
            <w:noWrap/>
            <w:vAlign w:val="bottom"/>
            <w:hideMark/>
          </w:tcPr>
          <w:p w14:paraId="5B829B40" w14:textId="77777777" w:rsidR="001631C6" w:rsidRPr="00F77F84" w:rsidRDefault="001631C6" w:rsidP="008F5322">
            <w:pPr>
              <w:rPr>
                <w:color w:val="000000"/>
                <w:sz w:val="20"/>
                <w:szCs w:val="20"/>
                <w:lang w:val="en-US"/>
              </w:rPr>
            </w:pPr>
            <w:r w:rsidRPr="00F77F84">
              <w:rPr>
                <w:color w:val="000000"/>
                <w:sz w:val="20"/>
                <w:szCs w:val="20"/>
                <w:lang w:val="en-US"/>
              </w:rPr>
              <w:t>Germany</w:t>
            </w:r>
          </w:p>
        </w:tc>
        <w:tc>
          <w:tcPr>
            <w:tcW w:w="581" w:type="pct"/>
            <w:tcBorders>
              <w:top w:val="nil"/>
              <w:left w:val="nil"/>
              <w:bottom w:val="nil"/>
              <w:right w:val="nil"/>
            </w:tcBorders>
            <w:shd w:val="clear" w:color="auto" w:fill="auto"/>
            <w:noWrap/>
            <w:vAlign w:val="bottom"/>
            <w:hideMark/>
          </w:tcPr>
          <w:p w14:paraId="3C8ABAD8" w14:textId="77777777" w:rsidR="001631C6" w:rsidRPr="00F77F84" w:rsidRDefault="001631C6" w:rsidP="008F5322">
            <w:pPr>
              <w:jc w:val="center"/>
              <w:rPr>
                <w:color w:val="000000"/>
                <w:sz w:val="20"/>
                <w:szCs w:val="20"/>
                <w:lang w:val="en-US"/>
              </w:rPr>
            </w:pPr>
            <w:r w:rsidRPr="00F77F84">
              <w:rPr>
                <w:color w:val="000000"/>
                <w:sz w:val="20"/>
                <w:szCs w:val="20"/>
              </w:rPr>
              <w:t xml:space="preserve">           615 </w:t>
            </w:r>
          </w:p>
        </w:tc>
        <w:tc>
          <w:tcPr>
            <w:tcW w:w="419" w:type="pct"/>
            <w:tcBorders>
              <w:top w:val="nil"/>
              <w:left w:val="nil"/>
              <w:bottom w:val="nil"/>
              <w:right w:val="nil"/>
            </w:tcBorders>
            <w:shd w:val="clear" w:color="auto" w:fill="auto"/>
            <w:noWrap/>
            <w:vAlign w:val="bottom"/>
            <w:hideMark/>
          </w:tcPr>
          <w:p w14:paraId="312ECD15" w14:textId="77777777" w:rsidR="001631C6" w:rsidRPr="00F77F84" w:rsidRDefault="001631C6" w:rsidP="008F5322">
            <w:pPr>
              <w:jc w:val="center"/>
              <w:rPr>
                <w:color w:val="000000"/>
                <w:sz w:val="20"/>
                <w:szCs w:val="20"/>
                <w:lang w:val="en-US"/>
              </w:rPr>
            </w:pPr>
            <w:r w:rsidRPr="00F77F84">
              <w:rPr>
                <w:color w:val="000000"/>
                <w:sz w:val="20"/>
                <w:szCs w:val="20"/>
              </w:rPr>
              <w:t xml:space="preserve">     1.052 </w:t>
            </w:r>
          </w:p>
        </w:tc>
        <w:tc>
          <w:tcPr>
            <w:tcW w:w="626" w:type="pct"/>
            <w:tcBorders>
              <w:top w:val="nil"/>
              <w:left w:val="nil"/>
              <w:bottom w:val="nil"/>
              <w:right w:val="nil"/>
            </w:tcBorders>
            <w:shd w:val="clear" w:color="auto" w:fill="auto"/>
            <w:noWrap/>
            <w:vAlign w:val="bottom"/>
            <w:hideMark/>
          </w:tcPr>
          <w:p w14:paraId="6B7E6595" w14:textId="77777777" w:rsidR="001631C6" w:rsidRPr="00F77F84" w:rsidRDefault="001631C6" w:rsidP="008F5322">
            <w:pPr>
              <w:jc w:val="center"/>
              <w:rPr>
                <w:color w:val="000000"/>
                <w:sz w:val="20"/>
                <w:szCs w:val="20"/>
                <w:lang w:val="en-US"/>
              </w:rPr>
            </w:pPr>
            <w:r w:rsidRPr="00F77F84">
              <w:rPr>
                <w:color w:val="000000"/>
                <w:sz w:val="20"/>
                <w:szCs w:val="20"/>
              </w:rPr>
              <w:t xml:space="preserve">     0.702 </w:t>
            </w:r>
          </w:p>
        </w:tc>
        <w:tc>
          <w:tcPr>
            <w:tcW w:w="502" w:type="pct"/>
            <w:tcBorders>
              <w:top w:val="nil"/>
              <w:left w:val="nil"/>
              <w:bottom w:val="nil"/>
              <w:right w:val="nil"/>
            </w:tcBorders>
            <w:shd w:val="clear" w:color="auto" w:fill="auto"/>
            <w:noWrap/>
            <w:vAlign w:val="bottom"/>
            <w:hideMark/>
          </w:tcPr>
          <w:p w14:paraId="6B0C05DA" w14:textId="77777777" w:rsidR="001631C6" w:rsidRPr="00F77F84" w:rsidRDefault="001631C6" w:rsidP="008F5322">
            <w:pPr>
              <w:jc w:val="center"/>
              <w:rPr>
                <w:color w:val="000000"/>
                <w:sz w:val="20"/>
                <w:szCs w:val="20"/>
                <w:lang w:val="en-US"/>
              </w:rPr>
            </w:pPr>
            <w:r w:rsidRPr="00F77F84">
              <w:rPr>
                <w:color w:val="000000"/>
                <w:sz w:val="20"/>
                <w:szCs w:val="20"/>
              </w:rPr>
              <w:t xml:space="preserve">    30.293 </w:t>
            </w:r>
          </w:p>
        </w:tc>
        <w:tc>
          <w:tcPr>
            <w:tcW w:w="538" w:type="pct"/>
            <w:tcBorders>
              <w:top w:val="nil"/>
              <w:left w:val="nil"/>
              <w:bottom w:val="nil"/>
              <w:right w:val="nil"/>
            </w:tcBorders>
            <w:shd w:val="clear" w:color="auto" w:fill="auto"/>
            <w:noWrap/>
            <w:vAlign w:val="bottom"/>
            <w:hideMark/>
          </w:tcPr>
          <w:p w14:paraId="47497ECC" w14:textId="77777777" w:rsidR="001631C6" w:rsidRPr="00F77F84" w:rsidRDefault="001631C6" w:rsidP="008F5322">
            <w:pPr>
              <w:jc w:val="center"/>
              <w:rPr>
                <w:color w:val="000000"/>
                <w:sz w:val="20"/>
                <w:szCs w:val="20"/>
                <w:lang w:val="en-US"/>
              </w:rPr>
            </w:pPr>
            <w:r w:rsidRPr="00F77F84">
              <w:rPr>
                <w:color w:val="000000"/>
                <w:sz w:val="20"/>
                <w:szCs w:val="20"/>
              </w:rPr>
              <w:t xml:space="preserve">     0.598 </w:t>
            </w:r>
          </w:p>
        </w:tc>
        <w:tc>
          <w:tcPr>
            <w:tcW w:w="417" w:type="pct"/>
            <w:tcBorders>
              <w:top w:val="nil"/>
              <w:left w:val="nil"/>
              <w:bottom w:val="nil"/>
              <w:right w:val="nil"/>
            </w:tcBorders>
            <w:shd w:val="clear" w:color="auto" w:fill="auto"/>
            <w:noWrap/>
            <w:vAlign w:val="bottom"/>
            <w:hideMark/>
          </w:tcPr>
          <w:p w14:paraId="699222A9" w14:textId="77777777" w:rsidR="001631C6" w:rsidRPr="00F77F84" w:rsidRDefault="001631C6" w:rsidP="008F5322">
            <w:pPr>
              <w:jc w:val="center"/>
              <w:rPr>
                <w:color w:val="000000"/>
                <w:sz w:val="20"/>
                <w:szCs w:val="20"/>
                <w:lang w:val="en-US"/>
              </w:rPr>
            </w:pPr>
            <w:r w:rsidRPr="00F77F84">
              <w:rPr>
                <w:color w:val="000000"/>
                <w:sz w:val="20"/>
                <w:szCs w:val="20"/>
              </w:rPr>
              <w:t xml:space="preserve">     7.576 </w:t>
            </w:r>
          </w:p>
        </w:tc>
        <w:tc>
          <w:tcPr>
            <w:tcW w:w="355" w:type="pct"/>
            <w:tcBorders>
              <w:top w:val="nil"/>
              <w:left w:val="nil"/>
              <w:bottom w:val="nil"/>
              <w:right w:val="nil"/>
            </w:tcBorders>
            <w:shd w:val="clear" w:color="auto" w:fill="auto"/>
            <w:noWrap/>
            <w:vAlign w:val="bottom"/>
            <w:hideMark/>
          </w:tcPr>
          <w:p w14:paraId="2648A355" w14:textId="77777777" w:rsidR="001631C6" w:rsidRPr="00F77F84" w:rsidRDefault="001631C6" w:rsidP="008F5322">
            <w:pPr>
              <w:jc w:val="center"/>
              <w:rPr>
                <w:color w:val="000000"/>
                <w:sz w:val="20"/>
                <w:szCs w:val="20"/>
                <w:lang w:val="en-US"/>
              </w:rPr>
            </w:pPr>
            <w:r w:rsidRPr="00F77F84">
              <w:rPr>
                <w:color w:val="000000"/>
                <w:sz w:val="20"/>
                <w:szCs w:val="20"/>
              </w:rPr>
              <w:t xml:space="preserve">     7.156 </w:t>
            </w:r>
          </w:p>
        </w:tc>
        <w:tc>
          <w:tcPr>
            <w:tcW w:w="505" w:type="pct"/>
            <w:tcBorders>
              <w:top w:val="nil"/>
              <w:left w:val="nil"/>
              <w:bottom w:val="nil"/>
              <w:right w:val="nil"/>
            </w:tcBorders>
            <w:shd w:val="clear" w:color="auto" w:fill="auto"/>
            <w:noWrap/>
            <w:vAlign w:val="bottom"/>
            <w:hideMark/>
          </w:tcPr>
          <w:p w14:paraId="4BAEC9F9" w14:textId="77777777" w:rsidR="001631C6" w:rsidRPr="00F77F84" w:rsidRDefault="001631C6" w:rsidP="008F5322">
            <w:pPr>
              <w:jc w:val="center"/>
              <w:rPr>
                <w:color w:val="000000"/>
                <w:sz w:val="20"/>
                <w:szCs w:val="20"/>
                <w:lang w:val="en-US"/>
              </w:rPr>
            </w:pPr>
            <w:r w:rsidRPr="00F77F84">
              <w:rPr>
                <w:color w:val="000000"/>
                <w:sz w:val="20"/>
                <w:szCs w:val="20"/>
              </w:rPr>
              <w:t xml:space="preserve">  852.281 </w:t>
            </w:r>
          </w:p>
        </w:tc>
        <w:tc>
          <w:tcPr>
            <w:tcW w:w="449" w:type="pct"/>
            <w:tcBorders>
              <w:top w:val="nil"/>
              <w:left w:val="nil"/>
              <w:bottom w:val="nil"/>
              <w:right w:val="nil"/>
            </w:tcBorders>
            <w:shd w:val="clear" w:color="auto" w:fill="auto"/>
            <w:noWrap/>
            <w:vAlign w:val="bottom"/>
            <w:hideMark/>
          </w:tcPr>
          <w:p w14:paraId="0B8723FC" w14:textId="77777777" w:rsidR="001631C6" w:rsidRPr="00F77F84" w:rsidRDefault="001631C6" w:rsidP="008F5322">
            <w:pPr>
              <w:jc w:val="center"/>
              <w:rPr>
                <w:color w:val="000000"/>
                <w:sz w:val="20"/>
                <w:szCs w:val="20"/>
                <w:lang w:val="en-US"/>
              </w:rPr>
            </w:pPr>
            <w:r w:rsidRPr="00F77F84">
              <w:rPr>
                <w:color w:val="000000"/>
                <w:sz w:val="20"/>
                <w:szCs w:val="20"/>
              </w:rPr>
              <w:t xml:space="preserve">  119.566 </w:t>
            </w:r>
          </w:p>
        </w:tc>
      </w:tr>
      <w:tr w:rsidR="001631C6" w:rsidRPr="00F77F84" w14:paraId="43C0E465" w14:textId="77777777" w:rsidTr="008F5322">
        <w:trPr>
          <w:trHeight w:val="20"/>
        </w:trPr>
        <w:tc>
          <w:tcPr>
            <w:tcW w:w="607" w:type="pct"/>
            <w:tcBorders>
              <w:top w:val="nil"/>
              <w:left w:val="nil"/>
              <w:bottom w:val="nil"/>
              <w:right w:val="nil"/>
            </w:tcBorders>
            <w:shd w:val="clear" w:color="auto" w:fill="auto"/>
            <w:noWrap/>
            <w:vAlign w:val="bottom"/>
            <w:hideMark/>
          </w:tcPr>
          <w:p w14:paraId="6B0F560E"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46653977"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345A771A" w14:textId="77777777" w:rsidR="001631C6" w:rsidRPr="00F77F84" w:rsidRDefault="001631C6" w:rsidP="008F5322">
            <w:pPr>
              <w:jc w:val="center"/>
              <w:rPr>
                <w:color w:val="000000"/>
                <w:sz w:val="20"/>
                <w:szCs w:val="20"/>
                <w:lang w:val="en-US"/>
              </w:rPr>
            </w:pPr>
            <w:r w:rsidRPr="00F77F84">
              <w:rPr>
                <w:color w:val="000000"/>
                <w:sz w:val="20"/>
                <w:szCs w:val="20"/>
              </w:rPr>
              <w:t xml:space="preserve"> [0.720] </w:t>
            </w:r>
          </w:p>
        </w:tc>
        <w:tc>
          <w:tcPr>
            <w:tcW w:w="626" w:type="pct"/>
            <w:tcBorders>
              <w:top w:val="nil"/>
              <w:left w:val="nil"/>
              <w:bottom w:val="nil"/>
              <w:right w:val="nil"/>
            </w:tcBorders>
            <w:shd w:val="clear" w:color="auto" w:fill="auto"/>
            <w:noWrap/>
            <w:vAlign w:val="bottom"/>
            <w:hideMark/>
          </w:tcPr>
          <w:p w14:paraId="0D97F75E" w14:textId="77777777" w:rsidR="001631C6" w:rsidRPr="00F77F84" w:rsidRDefault="001631C6" w:rsidP="008F5322">
            <w:pPr>
              <w:jc w:val="center"/>
              <w:rPr>
                <w:color w:val="000000"/>
                <w:sz w:val="20"/>
                <w:szCs w:val="20"/>
                <w:lang w:val="en-US"/>
              </w:rPr>
            </w:pPr>
            <w:r w:rsidRPr="00F77F84">
              <w:rPr>
                <w:color w:val="000000"/>
                <w:sz w:val="20"/>
                <w:szCs w:val="20"/>
              </w:rPr>
              <w:t xml:space="preserve"> [0.750] </w:t>
            </w:r>
          </w:p>
        </w:tc>
        <w:tc>
          <w:tcPr>
            <w:tcW w:w="502" w:type="pct"/>
            <w:tcBorders>
              <w:top w:val="nil"/>
              <w:left w:val="nil"/>
              <w:bottom w:val="nil"/>
              <w:right w:val="nil"/>
            </w:tcBorders>
            <w:shd w:val="clear" w:color="auto" w:fill="auto"/>
            <w:noWrap/>
            <w:vAlign w:val="bottom"/>
            <w:hideMark/>
          </w:tcPr>
          <w:p w14:paraId="19F9793D" w14:textId="77777777" w:rsidR="001631C6" w:rsidRPr="00F77F84" w:rsidRDefault="001631C6" w:rsidP="008F5322">
            <w:pPr>
              <w:jc w:val="center"/>
              <w:rPr>
                <w:color w:val="000000"/>
                <w:sz w:val="20"/>
                <w:szCs w:val="20"/>
                <w:lang w:val="en-US"/>
              </w:rPr>
            </w:pPr>
            <w:r w:rsidRPr="00F77F84">
              <w:rPr>
                <w:color w:val="000000"/>
                <w:sz w:val="20"/>
                <w:szCs w:val="20"/>
              </w:rPr>
              <w:t xml:space="preserve"> [17.000] </w:t>
            </w:r>
          </w:p>
        </w:tc>
        <w:tc>
          <w:tcPr>
            <w:tcW w:w="538" w:type="pct"/>
            <w:tcBorders>
              <w:top w:val="nil"/>
              <w:left w:val="nil"/>
              <w:bottom w:val="nil"/>
              <w:right w:val="nil"/>
            </w:tcBorders>
            <w:shd w:val="clear" w:color="auto" w:fill="auto"/>
            <w:noWrap/>
            <w:vAlign w:val="bottom"/>
            <w:hideMark/>
          </w:tcPr>
          <w:p w14:paraId="12ACD375" w14:textId="77777777" w:rsidR="001631C6" w:rsidRPr="00F77F84" w:rsidRDefault="001631C6" w:rsidP="008F5322">
            <w:pPr>
              <w:jc w:val="center"/>
              <w:rPr>
                <w:color w:val="000000"/>
                <w:sz w:val="20"/>
                <w:szCs w:val="20"/>
                <w:lang w:val="en-US"/>
              </w:rPr>
            </w:pPr>
            <w:r w:rsidRPr="00F77F84">
              <w:rPr>
                <w:color w:val="000000"/>
                <w:sz w:val="20"/>
                <w:szCs w:val="20"/>
              </w:rPr>
              <w:t xml:space="preserve"> [0.750] </w:t>
            </w:r>
          </w:p>
        </w:tc>
        <w:tc>
          <w:tcPr>
            <w:tcW w:w="417" w:type="pct"/>
            <w:tcBorders>
              <w:top w:val="nil"/>
              <w:left w:val="nil"/>
              <w:bottom w:val="nil"/>
              <w:right w:val="nil"/>
            </w:tcBorders>
            <w:shd w:val="clear" w:color="auto" w:fill="auto"/>
            <w:noWrap/>
            <w:vAlign w:val="bottom"/>
            <w:hideMark/>
          </w:tcPr>
          <w:p w14:paraId="0B38EF1F"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355" w:type="pct"/>
            <w:tcBorders>
              <w:top w:val="nil"/>
              <w:left w:val="nil"/>
              <w:bottom w:val="nil"/>
              <w:right w:val="nil"/>
            </w:tcBorders>
            <w:shd w:val="clear" w:color="auto" w:fill="auto"/>
            <w:noWrap/>
            <w:vAlign w:val="bottom"/>
            <w:hideMark/>
          </w:tcPr>
          <w:p w14:paraId="223A33E8" w14:textId="77777777" w:rsidR="001631C6" w:rsidRPr="00F77F84" w:rsidRDefault="001631C6" w:rsidP="008F5322">
            <w:pPr>
              <w:jc w:val="center"/>
              <w:rPr>
                <w:color w:val="000000"/>
                <w:sz w:val="20"/>
                <w:szCs w:val="20"/>
                <w:lang w:val="en-US"/>
              </w:rPr>
            </w:pPr>
            <w:r w:rsidRPr="00F77F84">
              <w:rPr>
                <w:color w:val="000000"/>
                <w:sz w:val="20"/>
                <w:szCs w:val="20"/>
              </w:rPr>
              <w:t xml:space="preserve"> [6.500] </w:t>
            </w:r>
          </w:p>
        </w:tc>
        <w:tc>
          <w:tcPr>
            <w:tcW w:w="505" w:type="pct"/>
            <w:tcBorders>
              <w:top w:val="nil"/>
              <w:left w:val="nil"/>
              <w:bottom w:val="nil"/>
              <w:right w:val="nil"/>
            </w:tcBorders>
            <w:shd w:val="clear" w:color="auto" w:fill="auto"/>
            <w:noWrap/>
            <w:vAlign w:val="bottom"/>
            <w:hideMark/>
          </w:tcPr>
          <w:p w14:paraId="2DE6153D" w14:textId="77777777" w:rsidR="001631C6" w:rsidRPr="00F77F84" w:rsidRDefault="001631C6" w:rsidP="008F5322">
            <w:pPr>
              <w:jc w:val="center"/>
              <w:rPr>
                <w:color w:val="000000"/>
                <w:sz w:val="20"/>
                <w:szCs w:val="20"/>
                <w:lang w:val="en-US"/>
              </w:rPr>
            </w:pPr>
            <w:r w:rsidRPr="00F77F84">
              <w:rPr>
                <w:color w:val="000000"/>
                <w:sz w:val="20"/>
                <w:szCs w:val="20"/>
              </w:rPr>
              <w:t xml:space="preserve"> [750.000] </w:t>
            </w:r>
          </w:p>
        </w:tc>
        <w:tc>
          <w:tcPr>
            <w:tcW w:w="449" w:type="pct"/>
            <w:tcBorders>
              <w:top w:val="nil"/>
              <w:left w:val="nil"/>
              <w:bottom w:val="nil"/>
              <w:right w:val="nil"/>
            </w:tcBorders>
            <w:shd w:val="clear" w:color="auto" w:fill="auto"/>
            <w:noWrap/>
            <w:vAlign w:val="bottom"/>
            <w:hideMark/>
          </w:tcPr>
          <w:p w14:paraId="6EC98359" w14:textId="77777777" w:rsidR="001631C6" w:rsidRPr="00F77F84" w:rsidRDefault="001631C6" w:rsidP="008F5322">
            <w:pPr>
              <w:jc w:val="center"/>
              <w:rPr>
                <w:color w:val="000000"/>
                <w:sz w:val="20"/>
                <w:szCs w:val="20"/>
                <w:lang w:val="en-US"/>
              </w:rPr>
            </w:pPr>
            <w:r w:rsidRPr="00F77F84">
              <w:rPr>
                <w:color w:val="000000"/>
                <w:sz w:val="20"/>
                <w:szCs w:val="20"/>
              </w:rPr>
              <w:t xml:space="preserve"> [66.167] </w:t>
            </w:r>
          </w:p>
        </w:tc>
      </w:tr>
      <w:tr w:rsidR="001631C6" w:rsidRPr="00F77F84" w14:paraId="282D5BC3" w14:textId="77777777" w:rsidTr="008F5322">
        <w:trPr>
          <w:trHeight w:val="20"/>
        </w:trPr>
        <w:tc>
          <w:tcPr>
            <w:tcW w:w="607" w:type="pct"/>
            <w:tcBorders>
              <w:top w:val="nil"/>
              <w:left w:val="nil"/>
              <w:bottom w:val="nil"/>
              <w:right w:val="nil"/>
            </w:tcBorders>
            <w:shd w:val="clear" w:color="auto" w:fill="auto"/>
            <w:noWrap/>
            <w:vAlign w:val="bottom"/>
            <w:hideMark/>
          </w:tcPr>
          <w:p w14:paraId="5A06C24B" w14:textId="77777777" w:rsidR="001631C6" w:rsidRPr="00F77F84" w:rsidRDefault="001631C6" w:rsidP="008F5322">
            <w:pPr>
              <w:rPr>
                <w:color w:val="000000"/>
                <w:sz w:val="20"/>
                <w:szCs w:val="20"/>
                <w:lang w:val="en-US"/>
              </w:rPr>
            </w:pPr>
            <w:r w:rsidRPr="00F77F84">
              <w:rPr>
                <w:color w:val="000000"/>
                <w:sz w:val="20"/>
                <w:szCs w:val="20"/>
                <w:lang w:val="en-US"/>
              </w:rPr>
              <w:t>Greece</w:t>
            </w:r>
          </w:p>
        </w:tc>
        <w:tc>
          <w:tcPr>
            <w:tcW w:w="581" w:type="pct"/>
            <w:tcBorders>
              <w:top w:val="nil"/>
              <w:left w:val="nil"/>
              <w:bottom w:val="nil"/>
              <w:right w:val="nil"/>
            </w:tcBorders>
            <w:shd w:val="clear" w:color="auto" w:fill="auto"/>
            <w:noWrap/>
            <w:vAlign w:val="bottom"/>
            <w:hideMark/>
          </w:tcPr>
          <w:p w14:paraId="50589BA6" w14:textId="77777777" w:rsidR="001631C6" w:rsidRPr="00F77F84" w:rsidRDefault="001631C6" w:rsidP="008F5322">
            <w:pPr>
              <w:jc w:val="center"/>
              <w:rPr>
                <w:color w:val="000000"/>
                <w:sz w:val="20"/>
                <w:szCs w:val="20"/>
                <w:lang w:val="en-US"/>
              </w:rPr>
            </w:pPr>
            <w:r w:rsidRPr="00F77F84">
              <w:rPr>
                <w:color w:val="000000"/>
                <w:sz w:val="20"/>
                <w:szCs w:val="20"/>
              </w:rPr>
              <w:t xml:space="preserve">             11 </w:t>
            </w:r>
          </w:p>
        </w:tc>
        <w:tc>
          <w:tcPr>
            <w:tcW w:w="419" w:type="pct"/>
            <w:tcBorders>
              <w:top w:val="nil"/>
              <w:left w:val="nil"/>
              <w:bottom w:val="nil"/>
              <w:right w:val="nil"/>
            </w:tcBorders>
            <w:shd w:val="clear" w:color="auto" w:fill="auto"/>
            <w:noWrap/>
            <w:vAlign w:val="bottom"/>
            <w:hideMark/>
          </w:tcPr>
          <w:p w14:paraId="7258186D" w14:textId="77777777" w:rsidR="001631C6" w:rsidRPr="00F77F84" w:rsidRDefault="001631C6" w:rsidP="008F5322">
            <w:pPr>
              <w:jc w:val="center"/>
              <w:rPr>
                <w:color w:val="000000"/>
                <w:sz w:val="20"/>
                <w:szCs w:val="20"/>
                <w:lang w:val="en-US"/>
              </w:rPr>
            </w:pPr>
            <w:r w:rsidRPr="00F77F84">
              <w:rPr>
                <w:color w:val="000000"/>
                <w:sz w:val="20"/>
                <w:szCs w:val="20"/>
              </w:rPr>
              <w:t xml:space="preserve">     1.140 </w:t>
            </w:r>
          </w:p>
        </w:tc>
        <w:tc>
          <w:tcPr>
            <w:tcW w:w="626" w:type="pct"/>
            <w:tcBorders>
              <w:top w:val="nil"/>
              <w:left w:val="nil"/>
              <w:bottom w:val="nil"/>
              <w:right w:val="nil"/>
            </w:tcBorders>
            <w:shd w:val="clear" w:color="auto" w:fill="auto"/>
            <w:noWrap/>
            <w:vAlign w:val="bottom"/>
            <w:hideMark/>
          </w:tcPr>
          <w:p w14:paraId="38AE07BB" w14:textId="77777777" w:rsidR="001631C6" w:rsidRPr="00F77F84" w:rsidRDefault="001631C6" w:rsidP="008F5322">
            <w:pPr>
              <w:jc w:val="center"/>
              <w:rPr>
                <w:color w:val="000000"/>
                <w:sz w:val="20"/>
                <w:szCs w:val="20"/>
                <w:lang w:val="en-US"/>
              </w:rPr>
            </w:pPr>
            <w:r w:rsidRPr="00F77F84">
              <w:rPr>
                <w:color w:val="000000"/>
                <w:sz w:val="20"/>
                <w:szCs w:val="20"/>
              </w:rPr>
              <w:t xml:space="preserve">     0.918 </w:t>
            </w:r>
          </w:p>
        </w:tc>
        <w:tc>
          <w:tcPr>
            <w:tcW w:w="502" w:type="pct"/>
            <w:tcBorders>
              <w:top w:val="nil"/>
              <w:left w:val="nil"/>
              <w:bottom w:val="nil"/>
              <w:right w:val="nil"/>
            </w:tcBorders>
            <w:shd w:val="clear" w:color="auto" w:fill="auto"/>
            <w:noWrap/>
            <w:vAlign w:val="bottom"/>
            <w:hideMark/>
          </w:tcPr>
          <w:p w14:paraId="076B6DC6" w14:textId="77777777" w:rsidR="001631C6" w:rsidRPr="00F77F84" w:rsidRDefault="001631C6" w:rsidP="008F5322">
            <w:pPr>
              <w:jc w:val="center"/>
              <w:rPr>
                <w:color w:val="000000"/>
                <w:sz w:val="20"/>
                <w:szCs w:val="20"/>
                <w:lang w:val="en-US"/>
              </w:rPr>
            </w:pPr>
            <w:r w:rsidRPr="00F77F84">
              <w:rPr>
                <w:color w:val="000000"/>
                <w:sz w:val="20"/>
                <w:szCs w:val="20"/>
              </w:rPr>
              <w:t xml:space="preserve">     2.000 </w:t>
            </w:r>
          </w:p>
        </w:tc>
        <w:tc>
          <w:tcPr>
            <w:tcW w:w="538" w:type="pct"/>
            <w:tcBorders>
              <w:top w:val="nil"/>
              <w:left w:val="nil"/>
              <w:bottom w:val="nil"/>
              <w:right w:val="nil"/>
            </w:tcBorders>
            <w:shd w:val="clear" w:color="auto" w:fill="auto"/>
            <w:noWrap/>
            <w:vAlign w:val="bottom"/>
            <w:hideMark/>
          </w:tcPr>
          <w:p w14:paraId="3F5EFA6E" w14:textId="77777777" w:rsidR="001631C6" w:rsidRPr="00F77F84" w:rsidRDefault="001631C6" w:rsidP="008F5322">
            <w:pPr>
              <w:jc w:val="center"/>
              <w:rPr>
                <w:color w:val="000000"/>
                <w:sz w:val="20"/>
                <w:szCs w:val="20"/>
                <w:lang w:val="en-US"/>
              </w:rPr>
            </w:pPr>
            <w:r w:rsidRPr="00F77F84">
              <w:rPr>
                <w:color w:val="000000"/>
                <w:sz w:val="20"/>
                <w:szCs w:val="20"/>
              </w:rPr>
              <w:t xml:space="preserve">     0.703 </w:t>
            </w:r>
          </w:p>
        </w:tc>
        <w:tc>
          <w:tcPr>
            <w:tcW w:w="417" w:type="pct"/>
            <w:tcBorders>
              <w:top w:val="nil"/>
              <w:left w:val="nil"/>
              <w:bottom w:val="nil"/>
              <w:right w:val="nil"/>
            </w:tcBorders>
            <w:shd w:val="clear" w:color="auto" w:fill="auto"/>
            <w:noWrap/>
            <w:vAlign w:val="bottom"/>
            <w:hideMark/>
          </w:tcPr>
          <w:p w14:paraId="39BA1BF6" w14:textId="77777777" w:rsidR="001631C6" w:rsidRPr="00F77F84" w:rsidRDefault="001631C6" w:rsidP="008F5322">
            <w:pPr>
              <w:jc w:val="center"/>
              <w:rPr>
                <w:color w:val="000000"/>
                <w:sz w:val="20"/>
                <w:szCs w:val="20"/>
                <w:lang w:val="en-US"/>
              </w:rPr>
            </w:pPr>
            <w:r w:rsidRPr="00F77F84">
              <w:rPr>
                <w:color w:val="000000"/>
                <w:sz w:val="20"/>
                <w:szCs w:val="20"/>
              </w:rPr>
              <w:t xml:space="preserve">     7.091 </w:t>
            </w:r>
          </w:p>
        </w:tc>
        <w:tc>
          <w:tcPr>
            <w:tcW w:w="355" w:type="pct"/>
            <w:tcBorders>
              <w:top w:val="nil"/>
              <w:left w:val="nil"/>
              <w:bottom w:val="nil"/>
              <w:right w:val="nil"/>
            </w:tcBorders>
            <w:shd w:val="clear" w:color="auto" w:fill="auto"/>
            <w:noWrap/>
            <w:vAlign w:val="bottom"/>
            <w:hideMark/>
          </w:tcPr>
          <w:p w14:paraId="33CF8994" w14:textId="77777777" w:rsidR="001631C6" w:rsidRPr="00F77F84" w:rsidRDefault="001631C6" w:rsidP="008F5322">
            <w:pPr>
              <w:jc w:val="center"/>
              <w:rPr>
                <w:color w:val="000000"/>
                <w:sz w:val="20"/>
                <w:szCs w:val="20"/>
                <w:lang w:val="en-US"/>
              </w:rPr>
            </w:pPr>
            <w:r w:rsidRPr="00F77F84">
              <w:rPr>
                <w:color w:val="000000"/>
                <w:sz w:val="20"/>
                <w:szCs w:val="20"/>
              </w:rPr>
              <w:t xml:space="preserve">     5.689 </w:t>
            </w:r>
          </w:p>
        </w:tc>
        <w:tc>
          <w:tcPr>
            <w:tcW w:w="505" w:type="pct"/>
            <w:tcBorders>
              <w:top w:val="nil"/>
              <w:left w:val="nil"/>
              <w:bottom w:val="nil"/>
              <w:right w:val="nil"/>
            </w:tcBorders>
            <w:shd w:val="clear" w:color="auto" w:fill="auto"/>
            <w:noWrap/>
            <w:vAlign w:val="bottom"/>
            <w:hideMark/>
          </w:tcPr>
          <w:p w14:paraId="3BDDCB1B" w14:textId="77777777" w:rsidR="001631C6" w:rsidRPr="00F77F84" w:rsidRDefault="001631C6" w:rsidP="008F5322">
            <w:pPr>
              <w:jc w:val="center"/>
              <w:rPr>
                <w:color w:val="000000"/>
                <w:sz w:val="20"/>
                <w:szCs w:val="20"/>
                <w:lang w:val="en-US"/>
              </w:rPr>
            </w:pPr>
            <w:r w:rsidRPr="00F77F84">
              <w:rPr>
                <w:color w:val="000000"/>
                <w:sz w:val="20"/>
                <w:szCs w:val="20"/>
              </w:rPr>
              <w:t xml:space="preserve">  720.455 </w:t>
            </w:r>
          </w:p>
        </w:tc>
        <w:tc>
          <w:tcPr>
            <w:tcW w:w="449" w:type="pct"/>
            <w:tcBorders>
              <w:top w:val="nil"/>
              <w:left w:val="nil"/>
              <w:bottom w:val="nil"/>
              <w:right w:val="nil"/>
            </w:tcBorders>
            <w:shd w:val="clear" w:color="auto" w:fill="auto"/>
            <w:noWrap/>
            <w:vAlign w:val="bottom"/>
            <w:hideMark/>
          </w:tcPr>
          <w:p w14:paraId="46C5AA91" w14:textId="77777777" w:rsidR="001631C6" w:rsidRPr="00F77F84" w:rsidRDefault="001631C6" w:rsidP="008F5322">
            <w:pPr>
              <w:jc w:val="center"/>
              <w:rPr>
                <w:color w:val="000000"/>
                <w:sz w:val="20"/>
                <w:szCs w:val="20"/>
                <w:lang w:val="en-US"/>
              </w:rPr>
            </w:pPr>
            <w:r w:rsidRPr="00F77F84">
              <w:rPr>
                <w:color w:val="000000"/>
                <w:sz w:val="20"/>
                <w:szCs w:val="20"/>
              </w:rPr>
              <w:t xml:space="preserve">      7.940 </w:t>
            </w:r>
          </w:p>
        </w:tc>
      </w:tr>
      <w:tr w:rsidR="001631C6" w:rsidRPr="00F77F84" w14:paraId="3F9CAF8B" w14:textId="77777777" w:rsidTr="008F5322">
        <w:trPr>
          <w:trHeight w:val="20"/>
        </w:trPr>
        <w:tc>
          <w:tcPr>
            <w:tcW w:w="607" w:type="pct"/>
            <w:tcBorders>
              <w:top w:val="nil"/>
              <w:left w:val="nil"/>
              <w:bottom w:val="nil"/>
              <w:right w:val="nil"/>
            </w:tcBorders>
            <w:shd w:val="clear" w:color="auto" w:fill="auto"/>
            <w:noWrap/>
            <w:vAlign w:val="bottom"/>
            <w:hideMark/>
          </w:tcPr>
          <w:p w14:paraId="6F260E92"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2209E2DD"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7050FA72" w14:textId="77777777" w:rsidR="001631C6" w:rsidRPr="00F77F84" w:rsidRDefault="001631C6" w:rsidP="008F5322">
            <w:pPr>
              <w:jc w:val="center"/>
              <w:rPr>
                <w:color w:val="000000"/>
                <w:sz w:val="20"/>
                <w:szCs w:val="20"/>
                <w:lang w:val="en-US"/>
              </w:rPr>
            </w:pPr>
            <w:r w:rsidRPr="00F77F84">
              <w:rPr>
                <w:color w:val="000000"/>
                <w:sz w:val="20"/>
                <w:szCs w:val="20"/>
              </w:rPr>
              <w:t xml:space="preserve"> [0.780] </w:t>
            </w:r>
          </w:p>
        </w:tc>
        <w:tc>
          <w:tcPr>
            <w:tcW w:w="626" w:type="pct"/>
            <w:tcBorders>
              <w:top w:val="nil"/>
              <w:left w:val="nil"/>
              <w:bottom w:val="nil"/>
              <w:right w:val="nil"/>
            </w:tcBorders>
            <w:shd w:val="clear" w:color="auto" w:fill="auto"/>
            <w:noWrap/>
            <w:vAlign w:val="bottom"/>
            <w:hideMark/>
          </w:tcPr>
          <w:p w14:paraId="6DA4D029"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502" w:type="pct"/>
            <w:tcBorders>
              <w:top w:val="nil"/>
              <w:left w:val="nil"/>
              <w:bottom w:val="nil"/>
              <w:right w:val="nil"/>
            </w:tcBorders>
            <w:shd w:val="clear" w:color="auto" w:fill="auto"/>
            <w:noWrap/>
            <w:vAlign w:val="bottom"/>
            <w:hideMark/>
          </w:tcPr>
          <w:p w14:paraId="66D2B2B2" w14:textId="77777777" w:rsidR="001631C6" w:rsidRPr="00F77F84" w:rsidRDefault="001631C6" w:rsidP="008F5322">
            <w:pPr>
              <w:jc w:val="center"/>
              <w:rPr>
                <w:color w:val="000000"/>
                <w:sz w:val="20"/>
                <w:szCs w:val="20"/>
                <w:lang w:val="en-US"/>
              </w:rPr>
            </w:pPr>
            <w:r w:rsidRPr="00F77F84">
              <w:rPr>
                <w:color w:val="000000"/>
                <w:sz w:val="20"/>
                <w:szCs w:val="20"/>
              </w:rPr>
              <w:t xml:space="preserve"> [2.000] </w:t>
            </w:r>
          </w:p>
        </w:tc>
        <w:tc>
          <w:tcPr>
            <w:tcW w:w="538" w:type="pct"/>
            <w:tcBorders>
              <w:top w:val="nil"/>
              <w:left w:val="nil"/>
              <w:bottom w:val="nil"/>
              <w:right w:val="nil"/>
            </w:tcBorders>
            <w:shd w:val="clear" w:color="auto" w:fill="auto"/>
            <w:noWrap/>
            <w:vAlign w:val="bottom"/>
            <w:hideMark/>
          </w:tcPr>
          <w:p w14:paraId="3C1E55F8" w14:textId="77777777" w:rsidR="001631C6" w:rsidRPr="00F77F84" w:rsidRDefault="001631C6" w:rsidP="008F5322">
            <w:pPr>
              <w:jc w:val="center"/>
              <w:rPr>
                <w:color w:val="000000"/>
                <w:sz w:val="20"/>
                <w:szCs w:val="20"/>
                <w:lang w:val="en-US"/>
              </w:rPr>
            </w:pPr>
            <w:r w:rsidRPr="00F77F84">
              <w:rPr>
                <w:color w:val="000000"/>
                <w:sz w:val="20"/>
                <w:szCs w:val="20"/>
              </w:rPr>
              <w:t xml:space="preserve"> [0.750] </w:t>
            </w:r>
          </w:p>
        </w:tc>
        <w:tc>
          <w:tcPr>
            <w:tcW w:w="417" w:type="pct"/>
            <w:tcBorders>
              <w:top w:val="nil"/>
              <w:left w:val="nil"/>
              <w:bottom w:val="nil"/>
              <w:right w:val="nil"/>
            </w:tcBorders>
            <w:shd w:val="clear" w:color="auto" w:fill="auto"/>
            <w:noWrap/>
            <w:vAlign w:val="bottom"/>
            <w:hideMark/>
          </w:tcPr>
          <w:p w14:paraId="72D4D5DF"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355" w:type="pct"/>
            <w:tcBorders>
              <w:top w:val="nil"/>
              <w:left w:val="nil"/>
              <w:bottom w:val="nil"/>
              <w:right w:val="nil"/>
            </w:tcBorders>
            <w:shd w:val="clear" w:color="auto" w:fill="auto"/>
            <w:noWrap/>
            <w:vAlign w:val="bottom"/>
            <w:hideMark/>
          </w:tcPr>
          <w:p w14:paraId="6A1DB07D" w14:textId="77777777" w:rsidR="001631C6" w:rsidRPr="00F77F84" w:rsidRDefault="001631C6" w:rsidP="008F5322">
            <w:pPr>
              <w:jc w:val="center"/>
              <w:rPr>
                <w:color w:val="000000"/>
                <w:sz w:val="20"/>
                <w:szCs w:val="20"/>
                <w:lang w:val="en-US"/>
              </w:rPr>
            </w:pPr>
            <w:r w:rsidRPr="00F77F84">
              <w:rPr>
                <w:color w:val="000000"/>
                <w:sz w:val="20"/>
                <w:szCs w:val="20"/>
              </w:rPr>
              <w:t xml:space="preserve"> [5.078] </w:t>
            </w:r>
          </w:p>
        </w:tc>
        <w:tc>
          <w:tcPr>
            <w:tcW w:w="505" w:type="pct"/>
            <w:tcBorders>
              <w:top w:val="nil"/>
              <w:left w:val="nil"/>
              <w:bottom w:val="nil"/>
              <w:right w:val="nil"/>
            </w:tcBorders>
            <w:shd w:val="clear" w:color="auto" w:fill="auto"/>
            <w:noWrap/>
            <w:vAlign w:val="bottom"/>
            <w:hideMark/>
          </w:tcPr>
          <w:p w14:paraId="10089B95" w14:textId="77777777" w:rsidR="001631C6" w:rsidRPr="00F77F84" w:rsidRDefault="001631C6" w:rsidP="008F5322">
            <w:pPr>
              <w:jc w:val="center"/>
              <w:rPr>
                <w:color w:val="000000"/>
                <w:sz w:val="20"/>
                <w:szCs w:val="20"/>
                <w:lang w:val="en-US"/>
              </w:rPr>
            </w:pPr>
            <w:r w:rsidRPr="00F77F84">
              <w:rPr>
                <w:color w:val="000000"/>
                <w:sz w:val="20"/>
                <w:szCs w:val="20"/>
              </w:rPr>
              <w:t xml:space="preserve"> [600.000] </w:t>
            </w:r>
          </w:p>
        </w:tc>
        <w:tc>
          <w:tcPr>
            <w:tcW w:w="449" w:type="pct"/>
            <w:tcBorders>
              <w:top w:val="nil"/>
              <w:left w:val="nil"/>
              <w:bottom w:val="nil"/>
              <w:right w:val="nil"/>
            </w:tcBorders>
            <w:shd w:val="clear" w:color="auto" w:fill="auto"/>
            <w:noWrap/>
            <w:vAlign w:val="bottom"/>
            <w:hideMark/>
          </w:tcPr>
          <w:p w14:paraId="35455362" w14:textId="77777777" w:rsidR="001631C6" w:rsidRPr="00F77F84" w:rsidRDefault="001631C6" w:rsidP="008F5322">
            <w:pPr>
              <w:jc w:val="center"/>
              <w:rPr>
                <w:color w:val="000000"/>
                <w:sz w:val="20"/>
                <w:szCs w:val="20"/>
                <w:lang w:val="en-US"/>
              </w:rPr>
            </w:pPr>
            <w:r w:rsidRPr="00F77F84">
              <w:rPr>
                <w:color w:val="000000"/>
                <w:sz w:val="20"/>
                <w:szCs w:val="20"/>
              </w:rPr>
              <w:t xml:space="preserve"> [7.210] </w:t>
            </w:r>
          </w:p>
        </w:tc>
      </w:tr>
      <w:tr w:rsidR="001631C6" w:rsidRPr="00F77F84" w14:paraId="06FF6B6B" w14:textId="77777777" w:rsidTr="008F5322">
        <w:trPr>
          <w:trHeight w:val="20"/>
        </w:trPr>
        <w:tc>
          <w:tcPr>
            <w:tcW w:w="607" w:type="pct"/>
            <w:tcBorders>
              <w:top w:val="nil"/>
              <w:left w:val="nil"/>
              <w:bottom w:val="nil"/>
              <w:right w:val="nil"/>
            </w:tcBorders>
            <w:shd w:val="clear" w:color="auto" w:fill="auto"/>
            <w:noWrap/>
            <w:vAlign w:val="bottom"/>
            <w:hideMark/>
          </w:tcPr>
          <w:p w14:paraId="79073245" w14:textId="77777777" w:rsidR="001631C6" w:rsidRPr="00F77F84" w:rsidRDefault="001631C6" w:rsidP="008F5322">
            <w:pPr>
              <w:rPr>
                <w:color w:val="000000"/>
                <w:sz w:val="20"/>
                <w:szCs w:val="20"/>
                <w:lang w:val="en-US"/>
              </w:rPr>
            </w:pPr>
            <w:r w:rsidRPr="00F77F84">
              <w:rPr>
                <w:color w:val="000000"/>
                <w:sz w:val="20"/>
                <w:szCs w:val="20"/>
                <w:lang w:val="en-US"/>
              </w:rPr>
              <w:t>Ireland</w:t>
            </w:r>
          </w:p>
        </w:tc>
        <w:tc>
          <w:tcPr>
            <w:tcW w:w="581" w:type="pct"/>
            <w:tcBorders>
              <w:top w:val="nil"/>
              <w:left w:val="nil"/>
              <w:bottom w:val="nil"/>
              <w:right w:val="nil"/>
            </w:tcBorders>
            <w:shd w:val="clear" w:color="auto" w:fill="auto"/>
            <w:noWrap/>
            <w:vAlign w:val="bottom"/>
            <w:hideMark/>
          </w:tcPr>
          <w:p w14:paraId="24208BE9" w14:textId="77777777" w:rsidR="001631C6" w:rsidRPr="00F77F84" w:rsidRDefault="001631C6" w:rsidP="008F5322">
            <w:pPr>
              <w:jc w:val="center"/>
              <w:rPr>
                <w:color w:val="000000"/>
                <w:sz w:val="20"/>
                <w:szCs w:val="20"/>
                <w:lang w:val="en-US"/>
              </w:rPr>
            </w:pPr>
            <w:r w:rsidRPr="00F77F84">
              <w:rPr>
                <w:color w:val="000000"/>
                <w:sz w:val="20"/>
                <w:szCs w:val="20"/>
              </w:rPr>
              <w:t xml:space="preserve">             17 </w:t>
            </w:r>
          </w:p>
        </w:tc>
        <w:tc>
          <w:tcPr>
            <w:tcW w:w="419" w:type="pct"/>
            <w:tcBorders>
              <w:top w:val="nil"/>
              <w:left w:val="nil"/>
              <w:bottom w:val="nil"/>
              <w:right w:val="nil"/>
            </w:tcBorders>
            <w:shd w:val="clear" w:color="auto" w:fill="auto"/>
            <w:noWrap/>
            <w:vAlign w:val="bottom"/>
            <w:hideMark/>
          </w:tcPr>
          <w:p w14:paraId="0FA43374" w14:textId="77777777" w:rsidR="001631C6" w:rsidRPr="00F77F84" w:rsidRDefault="001631C6" w:rsidP="008F5322">
            <w:pPr>
              <w:jc w:val="center"/>
              <w:rPr>
                <w:color w:val="000000"/>
                <w:sz w:val="20"/>
                <w:szCs w:val="20"/>
                <w:lang w:val="en-US"/>
              </w:rPr>
            </w:pPr>
            <w:r w:rsidRPr="00F77F84">
              <w:rPr>
                <w:color w:val="000000"/>
                <w:sz w:val="20"/>
                <w:szCs w:val="20"/>
              </w:rPr>
              <w:t xml:space="preserve">     1.608 </w:t>
            </w:r>
          </w:p>
        </w:tc>
        <w:tc>
          <w:tcPr>
            <w:tcW w:w="626" w:type="pct"/>
            <w:tcBorders>
              <w:top w:val="nil"/>
              <w:left w:val="nil"/>
              <w:bottom w:val="nil"/>
              <w:right w:val="nil"/>
            </w:tcBorders>
            <w:shd w:val="clear" w:color="auto" w:fill="auto"/>
            <w:noWrap/>
            <w:vAlign w:val="bottom"/>
            <w:hideMark/>
          </w:tcPr>
          <w:p w14:paraId="29569965"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502" w:type="pct"/>
            <w:tcBorders>
              <w:top w:val="nil"/>
              <w:left w:val="nil"/>
              <w:bottom w:val="nil"/>
              <w:right w:val="nil"/>
            </w:tcBorders>
            <w:shd w:val="clear" w:color="auto" w:fill="auto"/>
            <w:noWrap/>
            <w:vAlign w:val="bottom"/>
            <w:hideMark/>
          </w:tcPr>
          <w:p w14:paraId="7A4790A1" w14:textId="77777777" w:rsidR="001631C6" w:rsidRPr="00F77F84" w:rsidRDefault="001631C6" w:rsidP="008F5322">
            <w:pPr>
              <w:jc w:val="center"/>
              <w:rPr>
                <w:color w:val="000000"/>
                <w:sz w:val="20"/>
                <w:szCs w:val="20"/>
                <w:lang w:val="en-US"/>
              </w:rPr>
            </w:pPr>
            <w:r w:rsidRPr="00F77F84">
              <w:rPr>
                <w:color w:val="000000"/>
                <w:sz w:val="20"/>
                <w:szCs w:val="20"/>
              </w:rPr>
              <w:t xml:space="preserve">     2.235 </w:t>
            </w:r>
          </w:p>
        </w:tc>
        <w:tc>
          <w:tcPr>
            <w:tcW w:w="538" w:type="pct"/>
            <w:tcBorders>
              <w:top w:val="nil"/>
              <w:left w:val="nil"/>
              <w:bottom w:val="nil"/>
              <w:right w:val="nil"/>
            </w:tcBorders>
            <w:shd w:val="clear" w:color="auto" w:fill="auto"/>
            <w:noWrap/>
            <w:vAlign w:val="bottom"/>
            <w:hideMark/>
          </w:tcPr>
          <w:p w14:paraId="268461A2" w14:textId="77777777" w:rsidR="001631C6" w:rsidRPr="00F77F84" w:rsidRDefault="001631C6" w:rsidP="008F5322">
            <w:pPr>
              <w:jc w:val="center"/>
              <w:rPr>
                <w:color w:val="000000"/>
                <w:sz w:val="20"/>
                <w:szCs w:val="20"/>
                <w:lang w:val="en-US"/>
              </w:rPr>
            </w:pPr>
            <w:r w:rsidRPr="00F77F84">
              <w:rPr>
                <w:color w:val="000000"/>
                <w:sz w:val="20"/>
                <w:szCs w:val="20"/>
              </w:rPr>
              <w:t xml:space="preserve">     0.714 </w:t>
            </w:r>
          </w:p>
        </w:tc>
        <w:tc>
          <w:tcPr>
            <w:tcW w:w="417" w:type="pct"/>
            <w:tcBorders>
              <w:top w:val="nil"/>
              <w:left w:val="nil"/>
              <w:bottom w:val="nil"/>
              <w:right w:val="nil"/>
            </w:tcBorders>
            <w:shd w:val="clear" w:color="auto" w:fill="auto"/>
            <w:noWrap/>
            <w:vAlign w:val="bottom"/>
            <w:hideMark/>
          </w:tcPr>
          <w:p w14:paraId="3FA2421E" w14:textId="77777777" w:rsidR="001631C6" w:rsidRPr="00F77F84" w:rsidRDefault="001631C6" w:rsidP="008F5322">
            <w:pPr>
              <w:jc w:val="center"/>
              <w:rPr>
                <w:color w:val="000000"/>
                <w:sz w:val="20"/>
                <w:szCs w:val="20"/>
                <w:lang w:val="en-US"/>
              </w:rPr>
            </w:pPr>
            <w:r w:rsidRPr="00F77F84">
              <w:rPr>
                <w:color w:val="000000"/>
                <w:sz w:val="20"/>
                <w:szCs w:val="20"/>
              </w:rPr>
              <w:t xml:space="preserve">     8.059 </w:t>
            </w:r>
          </w:p>
        </w:tc>
        <w:tc>
          <w:tcPr>
            <w:tcW w:w="355" w:type="pct"/>
            <w:tcBorders>
              <w:top w:val="nil"/>
              <w:left w:val="nil"/>
              <w:bottom w:val="nil"/>
              <w:right w:val="nil"/>
            </w:tcBorders>
            <w:shd w:val="clear" w:color="auto" w:fill="auto"/>
            <w:noWrap/>
            <w:vAlign w:val="bottom"/>
            <w:hideMark/>
          </w:tcPr>
          <w:p w14:paraId="4ECF5090" w14:textId="77777777" w:rsidR="001631C6" w:rsidRPr="00F77F84" w:rsidRDefault="001631C6" w:rsidP="008F5322">
            <w:pPr>
              <w:jc w:val="center"/>
              <w:rPr>
                <w:color w:val="000000"/>
                <w:sz w:val="20"/>
                <w:szCs w:val="20"/>
                <w:lang w:val="en-US"/>
              </w:rPr>
            </w:pPr>
            <w:r w:rsidRPr="00F77F84">
              <w:rPr>
                <w:color w:val="000000"/>
                <w:sz w:val="20"/>
                <w:szCs w:val="20"/>
              </w:rPr>
              <w:t xml:space="preserve">     7.981 </w:t>
            </w:r>
          </w:p>
        </w:tc>
        <w:tc>
          <w:tcPr>
            <w:tcW w:w="505" w:type="pct"/>
            <w:tcBorders>
              <w:top w:val="nil"/>
              <w:left w:val="nil"/>
              <w:bottom w:val="nil"/>
              <w:right w:val="nil"/>
            </w:tcBorders>
            <w:shd w:val="clear" w:color="auto" w:fill="auto"/>
            <w:noWrap/>
            <w:vAlign w:val="bottom"/>
            <w:hideMark/>
          </w:tcPr>
          <w:p w14:paraId="02529216" w14:textId="77777777" w:rsidR="001631C6" w:rsidRPr="00F77F84" w:rsidRDefault="001631C6" w:rsidP="008F5322">
            <w:pPr>
              <w:jc w:val="center"/>
              <w:rPr>
                <w:color w:val="000000"/>
                <w:sz w:val="20"/>
                <w:szCs w:val="20"/>
                <w:lang w:val="en-US"/>
              </w:rPr>
            </w:pPr>
            <w:r w:rsidRPr="00F77F84">
              <w:rPr>
                <w:color w:val="000000"/>
                <w:sz w:val="20"/>
                <w:szCs w:val="20"/>
              </w:rPr>
              <w:t xml:space="preserve">  676.471 </w:t>
            </w:r>
          </w:p>
        </w:tc>
        <w:tc>
          <w:tcPr>
            <w:tcW w:w="449" w:type="pct"/>
            <w:tcBorders>
              <w:top w:val="nil"/>
              <w:left w:val="nil"/>
              <w:bottom w:val="nil"/>
              <w:right w:val="nil"/>
            </w:tcBorders>
            <w:shd w:val="clear" w:color="auto" w:fill="auto"/>
            <w:noWrap/>
            <w:vAlign w:val="bottom"/>
            <w:hideMark/>
          </w:tcPr>
          <w:p w14:paraId="34BB0D71" w14:textId="77777777" w:rsidR="001631C6" w:rsidRPr="00F77F84" w:rsidRDefault="001631C6" w:rsidP="008F5322">
            <w:pPr>
              <w:jc w:val="center"/>
              <w:rPr>
                <w:color w:val="000000"/>
                <w:sz w:val="20"/>
                <w:szCs w:val="20"/>
                <w:lang w:val="en-US"/>
              </w:rPr>
            </w:pPr>
            <w:r w:rsidRPr="00F77F84">
              <w:rPr>
                <w:color w:val="000000"/>
                <w:sz w:val="20"/>
                <w:szCs w:val="20"/>
              </w:rPr>
              <w:t xml:space="preserve">    20.460 </w:t>
            </w:r>
          </w:p>
        </w:tc>
      </w:tr>
      <w:tr w:rsidR="001631C6" w:rsidRPr="00F77F84" w14:paraId="5863B702" w14:textId="77777777" w:rsidTr="008F5322">
        <w:trPr>
          <w:trHeight w:val="20"/>
        </w:trPr>
        <w:tc>
          <w:tcPr>
            <w:tcW w:w="607" w:type="pct"/>
            <w:tcBorders>
              <w:top w:val="nil"/>
              <w:left w:val="nil"/>
              <w:bottom w:val="nil"/>
              <w:right w:val="nil"/>
            </w:tcBorders>
            <w:shd w:val="clear" w:color="auto" w:fill="auto"/>
            <w:noWrap/>
            <w:vAlign w:val="bottom"/>
            <w:hideMark/>
          </w:tcPr>
          <w:p w14:paraId="0FC8974E"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1D613DFD"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3693E4A8" w14:textId="77777777" w:rsidR="001631C6" w:rsidRPr="00F77F84" w:rsidRDefault="001631C6" w:rsidP="008F5322">
            <w:pPr>
              <w:jc w:val="center"/>
              <w:rPr>
                <w:color w:val="000000"/>
                <w:sz w:val="20"/>
                <w:szCs w:val="20"/>
                <w:lang w:val="en-US"/>
              </w:rPr>
            </w:pPr>
            <w:r w:rsidRPr="00F77F84">
              <w:rPr>
                <w:color w:val="000000"/>
                <w:sz w:val="20"/>
                <w:szCs w:val="20"/>
              </w:rPr>
              <w:t xml:space="preserve"> [1.250] </w:t>
            </w:r>
          </w:p>
        </w:tc>
        <w:tc>
          <w:tcPr>
            <w:tcW w:w="626" w:type="pct"/>
            <w:tcBorders>
              <w:top w:val="nil"/>
              <w:left w:val="nil"/>
              <w:bottom w:val="nil"/>
              <w:right w:val="nil"/>
            </w:tcBorders>
            <w:shd w:val="clear" w:color="auto" w:fill="auto"/>
            <w:noWrap/>
            <w:vAlign w:val="bottom"/>
            <w:hideMark/>
          </w:tcPr>
          <w:p w14:paraId="62B7E163"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502" w:type="pct"/>
            <w:tcBorders>
              <w:top w:val="nil"/>
              <w:left w:val="nil"/>
              <w:bottom w:val="nil"/>
              <w:right w:val="nil"/>
            </w:tcBorders>
            <w:shd w:val="clear" w:color="auto" w:fill="auto"/>
            <w:noWrap/>
            <w:vAlign w:val="bottom"/>
            <w:hideMark/>
          </w:tcPr>
          <w:p w14:paraId="434E836F" w14:textId="77777777" w:rsidR="001631C6" w:rsidRPr="00F77F84" w:rsidRDefault="001631C6" w:rsidP="008F5322">
            <w:pPr>
              <w:jc w:val="center"/>
              <w:rPr>
                <w:color w:val="000000"/>
                <w:sz w:val="20"/>
                <w:szCs w:val="20"/>
                <w:lang w:val="en-US"/>
              </w:rPr>
            </w:pPr>
            <w:r w:rsidRPr="00F77F84">
              <w:rPr>
                <w:color w:val="000000"/>
                <w:sz w:val="20"/>
                <w:szCs w:val="20"/>
              </w:rPr>
              <w:t xml:space="preserve"> [2.000] </w:t>
            </w:r>
          </w:p>
        </w:tc>
        <w:tc>
          <w:tcPr>
            <w:tcW w:w="538" w:type="pct"/>
            <w:tcBorders>
              <w:top w:val="nil"/>
              <w:left w:val="nil"/>
              <w:bottom w:val="nil"/>
              <w:right w:val="nil"/>
            </w:tcBorders>
            <w:shd w:val="clear" w:color="auto" w:fill="auto"/>
            <w:noWrap/>
            <w:vAlign w:val="bottom"/>
            <w:hideMark/>
          </w:tcPr>
          <w:p w14:paraId="36150574" w14:textId="77777777" w:rsidR="001631C6" w:rsidRPr="00F77F84" w:rsidRDefault="001631C6" w:rsidP="008F5322">
            <w:pPr>
              <w:jc w:val="center"/>
              <w:rPr>
                <w:color w:val="000000"/>
                <w:sz w:val="20"/>
                <w:szCs w:val="20"/>
                <w:lang w:val="en-US"/>
              </w:rPr>
            </w:pPr>
            <w:r w:rsidRPr="00F77F84">
              <w:rPr>
                <w:color w:val="000000"/>
                <w:sz w:val="20"/>
                <w:szCs w:val="20"/>
              </w:rPr>
              <w:t xml:space="preserve"> [0.818] </w:t>
            </w:r>
          </w:p>
        </w:tc>
        <w:tc>
          <w:tcPr>
            <w:tcW w:w="417" w:type="pct"/>
            <w:tcBorders>
              <w:top w:val="nil"/>
              <w:left w:val="nil"/>
              <w:bottom w:val="nil"/>
              <w:right w:val="nil"/>
            </w:tcBorders>
            <w:shd w:val="clear" w:color="auto" w:fill="auto"/>
            <w:noWrap/>
            <w:vAlign w:val="bottom"/>
            <w:hideMark/>
          </w:tcPr>
          <w:p w14:paraId="5F7EFB98"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355" w:type="pct"/>
            <w:tcBorders>
              <w:top w:val="nil"/>
              <w:left w:val="nil"/>
              <w:bottom w:val="nil"/>
              <w:right w:val="nil"/>
            </w:tcBorders>
            <w:shd w:val="clear" w:color="auto" w:fill="auto"/>
            <w:noWrap/>
            <w:vAlign w:val="bottom"/>
            <w:hideMark/>
          </w:tcPr>
          <w:p w14:paraId="2586E8DC"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505" w:type="pct"/>
            <w:tcBorders>
              <w:top w:val="nil"/>
              <w:left w:val="nil"/>
              <w:bottom w:val="nil"/>
              <w:right w:val="nil"/>
            </w:tcBorders>
            <w:shd w:val="clear" w:color="auto" w:fill="auto"/>
            <w:noWrap/>
            <w:vAlign w:val="bottom"/>
            <w:hideMark/>
          </w:tcPr>
          <w:p w14:paraId="43A01650" w14:textId="77777777" w:rsidR="001631C6" w:rsidRPr="00F77F84" w:rsidRDefault="001631C6" w:rsidP="008F5322">
            <w:pPr>
              <w:jc w:val="center"/>
              <w:rPr>
                <w:color w:val="000000"/>
                <w:sz w:val="20"/>
                <w:szCs w:val="20"/>
                <w:lang w:val="en-US"/>
              </w:rPr>
            </w:pPr>
            <w:r w:rsidRPr="00F77F84">
              <w:rPr>
                <w:color w:val="000000"/>
                <w:sz w:val="20"/>
                <w:szCs w:val="20"/>
              </w:rPr>
              <w:t xml:space="preserve"> [750.000] </w:t>
            </w:r>
          </w:p>
        </w:tc>
        <w:tc>
          <w:tcPr>
            <w:tcW w:w="449" w:type="pct"/>
            <w:tcBorders>
              <w:top w:val="nil"/>
              <w:left w:val="nil"/>
              <w:bottom w:val="nil"/>
              <w:right w:val="nil"/>
            </w:tcBorders>
            <w:shd w:val="clear" w:color="auto" w:fill="auto"/>
            <w:noWrap/>
            <w:vAlign w:val="bottom"/>
            <w:hideMark/>
          </w:tcPr>
          <w:p w14:paraId="6F84E575" w14:textId="77777777" w:rsidR="001631C6" w:rsidRPr="00F77F84" w:rsidRDefault="001631C6" w:rsidP="008F5322">
            <w:pPr>
              <w:jc w:val="center"/>
              <w:rPr>
                <w:color w:val="000000"/>
                <w:sz w:val="20"/>
                <w:szCs w:val="20"/>
                <w:lang w:val="en-US"/>
              </w:rPr>
            </w:pPr>
            <w:r w:rsidRPr="00F77F84">
              <w:rPr>
                <w:color w:val="000000"/>
                <w:sz w:val="20"/>
                <w:szCs w:val="20"/>
              </w:rPr>
              <w:t xml:space="preserve"> [20.971] </w:t>
            </w:r>
          </w:p>
        </w:tc>
      </w:tr>
      <w:tr w:rsidR="001631C6" w:rsidRPr="00F77F84" w14:paraId="10677074" w14:textId="77777777" w:rsidTr="008F5322">
        <w:trPr>
          <w:trHeight w:val="20"/>
        </w:trPr>
        <w:tc>
          <w:tcPr>
            <w:tcW w:w="607" w:type="pct"/>
            <w:tcBorders>
              <w:top w:val="nil"/>
              <w:left w:val="nil"/>
              <w:bottom w:val="nil"/>
              <w:right w:val="nil"/>
            </w:tcBorders>
            <w:shd w:val="clear" w:color="auto" w:fill="auto"/>
            <w:noWrap/>
            <w:vAlign w:val="bottom"/>
            <w:hideMark/>
          </w:tcPr>
          <w:p w14:paraId="0470AB29" w14:textId="77777777" w:rsidR="001631C6" w:rsidRPr="00F77F84" w:rsidRDefault="001631C6" w:rsidP="008F5322">
            <w:pPr>
              <w:rPr>
                <w:color w:val="000000"/>
                <w:sz w:val="20"/>
                <w:szCs w:val="20"/>
                <w:lang w:val="en-US"/>
              </w:rPr>
            </w:pPr>
            <w:r w:rsidRPr="00F77F84">
              <w:rPr>
                <w:color w:val="000000"/>
                <w:sz w:val="20"/>
                <w:szCs w:val="20"/>
                <w:lang w:val="en-US"/>
              </w:rPr>
              <w:t>Italy</w:t>
            </w:r>
          </w:p>
        </w:tc>
        <w:tc>
          <w:tcPr>
            <w:tcW w:w="581" w:type="pct"/>
            <w:tcBorders>
              <w:top w:val="nil"/>
              <w:left w:val="nil"/>
              <w:bottom w:val="nil"/>
              <w:right w:val="nil"/>
            </w:tcBorders>
            <w:shd w:val="clear" w:color="auto" w:fill="auto"/>
            <w:noWrap/>
            <w:vAlign w:val="bottom"/>
            <w:hideMark/>
          </w:tcPr>
          <w:p w14:paraId="7162F8CB" w14:textId="77777777" w:rsidR="001631C6" w:rsidRPr="00F77F84" w:rsidRDefault="001631C6" w:rsidP="008F5322">
            <w:pPr>
              <w:jc w:val="center"/>
              <w:rPr>
                <w:color w:val="000000"/>
                <w:sz w:val="20"/>
                <w:szCs w:val="20"/>
                <w:lang w:val="en-US"/>
              </w:rPr>
            </w:pPr>
            <w:r w:rsidRPr="00F77F84">
              <w:rPr>
                <w:color w:val="000000"/>
                <w:sz w:val="20"/>
                <w:szCs w:val="20"/>
              </w:rPr>
              <w:t xml:space="preserve">           209 </w:t>
            </w:r>
          </w:p>
        </w:tc>
        <w:tc>
          <w:tcPr>
            <w:tcW w:w="419" w:type="pct"/>
            <w:tcBorders>
              <w:top w:val="nil"/>
              <w:left w:val="nil"/>
              <w:bottom w:val="nil"/>
              <w:right w:val="nil"/>
            </w:tcBorders>
            <w:shd w:val="clear" w:color="auto" w:fill="auto"/>
            <w:noWrap/>
            <w:vAlign w:val="bottom"/>
            <w:hideMark/>
          </w:tcPr>
          <w:p w14:paraId="7CEF66B9" w14:textId="77777777" w:rsidR="001631C6" w:rsidRPr="00F77F84" w:rsidRDefault="001631C6" w:rsidP="008F5322">
            <w:pPr>
              <w:jc w:val="center"/>
              <w:rPr>
                <w:color w:val="000000"/>
                <w:sz w:val="20"/>
                <w:szCs w:val="20"/>
                <w:lang w:val="en-US"/>
              </w:rPr>
            </w:pPr>
            <w:r w:rsidRPr="00F77F84">
              <w:rPr>
                <w:color w:val="000000"/>
                <w:sz w:val="20"/>
                <w:szCs w:val="20"/>
              </w:rPr>
              <w:t xml:space="preserve">     1.540 </w:t>
            </w:r>
          </w:p>
        </w:tc>
        <w:tc>
          <w:tcPr>
            <w:tcW w:w="626" w:type="pct"/>
            <w:tcBorders>
              <w:top w:val="nil"/>
              <w:left w:val="nil"/>
              <w:bottom w:val="nil"/>
              <w:right w:val="nil"/>
            </w:tcBorders>
            <w:shd w:val="clear" w:color="auto" w:fill="auto"/>
            <w:noWrap/>
            <w:vAlign w:val="bottom"/>
            <w:hideMark/>
          </w:tcPr>
          <w:p w14:paraId="0744C577" w14:textId="77777777" w:rsidR="001631C6" w:rsidRPr="00F77F84" w:rsidRDefault="001631C6" w:rsidP="008F5322">
            <w:pPr>
              <w:jc w:val="center"/>
              <w:rPr>
                <w:color w:val="000000"/>
                <w:sz w:val="20"/>
                <w:szCs w:val="20"/>
                <w:lang w:val="en-US"/>
              </w:rPr>
            </w:pPr>
            <w:r w:rsidRPr="00F77F84">
              <w:rPr>
                <w:color w:val="000000"/>
                <w:sz w:val="20"/>
                <w:szCs w:val="20"/>
              </w:rPr>
              <w:t xml:space="preserve">     0.679 </w:t>
            </w:r>
          </w:p>
        </w:tc>
        <w:tc>
          <w:tcPr>
            <w:tcW w:w="502" w:type="pct"/>
            <w:tcBorders>
              <w:top w:val="nil"/>
              <w:left w:val="nil"/>
              <w:bottom w:val="nil"/>
              <w:right w:val="nil"/>
            </w:tcBorders>
            <w:shd w:val="clear" w:color="auto" w:fill="auto"/>
            <w:noWrap/>
            <w:vAlign w:val="bottom"/>
            <w:hideMark/>
          </w:tcPr>
          <w:p w14:paraId="74581C40" w14:textId="77777777" w:rsidR="001631C6" w:rsidRPr="00F77F84" w:rsidRDefault="001631C6" w:rsidP="008F5322">
            <w:pPr>
              <w:jc w:val="center"/>
              <w:rPr>
                <w:color w:val="000000"/>
                <w:sz w:val="20"/>
                <w:szCs w:val="20"/>
                <w:lang w:val="en-US"/>
              </w:rPr>
            </w:pPr>
            <w:r w:rsidRPr="00F77F84">
              <w:rPr>
                <w:color w:val="000000"/>
                <w:sz w:val="20"/>
                <w:szCs w:val="20"/>
              </w:rPr>
              <w:t xml:space="preserve">    11.335 </w:t>
            </w:r>
          </w:p>
        </w:tc>
        <w:tc>
          <w:tcPr>
            <w:tcW w:w="538" w:type="pct"/>
            <w:tcBorders>
              <w:top w:val="nil"/>
              <w:left w:val="nil"/>
              <w:bottom w:val="nil"/>
              <w:right w:val="nil"/>
            </w:tcBorders>
            <w:shd w:val="clear" w:color="auto" w:fill="auto"/>
            <w:noWrap/>
            <w:vAlign w:val="bottom"/>
            <w:hideMark/>
          </w:tcPr>
          <w:p w14:paraId="7340C207" w14:textId="77777777" w:rsidR="001631C6" w:rsidRPr="00F77F84" w:rsidRDefault="001631C6" w:rsidP="008F5322">
            <w:pPr>
              <w:jc w:val="center"/>
              <w:rPr>
                <w:color w:val="000000"/>
                <w:sz w:val="20"/>
                <w:szCs w:val="20"/>
                <w:lang w:val="en-US"/>
              </w:rPr>
            </w:pPr>
            <w:r w:rsidRPr="00F77F84">
              <w:rPr>
                <w:color w:val="000000"/>
                <w:sz w:val="20"/>
                <w:szCs w:val="20"/>
              </w:rPr>
              <w:t xml:space="preserve">     0.512 </w:t>
            </w:r>
          </w:p>
        </w:tc>
        <w:tc>
          <w:tcPr>
            <w:tcW w:w="417" w:type="pct"/>
            <w:tcBorders>
              <w:top w:val="nil"/>
              <w:left w:val="nil"/>
              <w:bottom w:val="nil"/>
              <w:right w:val="nil"/>
            </w:tcBorders>
            <w:shd w:val="clear" w:color="auto" w:fill="auto"/>
            <w:noWrap/>
            <w:vAlign w:val="bottom"/>
            <w:hideMark/>
          </w:tcPr>
          <w:p w14:paraId="16606D46" w14:textId="77777777" w:rsidR="001631C6" w:rsidRPr="00F77F84" w:rsidRDefault="001631C6" w:rsidP="008F5322">
            <w:pPr>
              <w:jc w:val="center"/>
              <w:rPr>
                <w:color w:val="000000"/>
                <w:sz w:val="20"/>
                <w:szCs w:val="20"/>
                <w:lang w:val="en-US"/>
              </w:rPr>
            </w:pPr>
            <w:r w:rsidRPr="00F77F84">
              <w:rPr>
                <w:color w:val="000000"/>
                <w:sz w:val="20"/>
                <w:szCs w:val="20"/>
              </w:rPr>
              <w:t xml:space="preserve">     8.483 </w:t>
            </w:r>
          </w:p>
        </w:tc>
        <w:tc>
          <w:tcPr>
            <w:tcW w:w="355" w:type="pct"/>
            <w:tcBorders>
              <w:top w:val="nil"/>
              <w:left w:val="nil"/>
              <w:bottom w:val="nil"/>
              <w:right w:val="nil"/>
            </w:tcBorders>
            <w:shd w:val="clear" w:color="auto" w:fill="auto"/>
            <w:noWrap/>
            <w:vAlign w:val="bottom"/>
            <w:hideMark/>
          </w:tcPr>
          <w:p w14:paraId="0C4CCB1C" w14:textId="77777777" w:rsidR="001631C6" w:rsidRPr="00F77F84" w:rsidRDefault="001631C6" w:rsidP="008F5322">
            <w:pPr>
              <w:jc w:val="center"/>
              <w:rPr>
                <w:color w:val="000000"/>
                <w:sz w:val="20"/>
                <w:szCs w:val="20"/>
                <w:lang w:val="en-US"/>
              </w:rPr>
            </w:pPr>
            <w:r w:rsidRPr="00F77F84">
              <w:rPr>
                <w:color w:val="000000"/>
                <w:sz w:val="20"/>
                <w:szCs w:val="20"/>
              </w:rPr>
              <w:t xml:space="preserve">     8.608 </w:t>
            </w:r>
          </w:p>
        </w:tc>
        <w:tc>
          <w:tcPr>
            <w:tcW w:w="505" w:type="pct"/>
            <w:tcBorders>
              <w:top w:val="nil"/>
              <w:left w:val="nil"/>
              <w:bottom w:val="nil"/>
              <w:right w:val="nil"/>
            </w:tcBorders>
            <w:shd w:val="clear" w:color="auto" w:fill="auto"/>
            <w:noWrap/>
            <w:vAlign w:val="bottom"/>
            <w:hideMark/>
          </w:tcPr>
          <w:p w14:paraId="791898E1" w14:textId="77777777" w:rsidR="001631C6" w:rsidRPr="00F77F84" w:rsidRDefault="001631C6" w:rsidP="008F5322">
            <w:pPr>
              <w:jc w:val="center"/>
              <w:rPr>
                <w:color w:val="000000"/>
                <w:sz w:val="20"/>
                <w:szCs w:val="20"/>
                <w:lang w:val="en-US"/>
              </w:rPr>
            </w:pPr>
            <w:r w:rsidRPr="00F77F84">
              <w:rPr>
                <w:color w:val="000000"/>
                <w:sz w:val="20"/>
                <w:szCs w:val="20"/>
              </w:rPr>
              <w:t xml:space="preserve">  785.802 </w:t>
            </w:r>
          </w:p>
        </w:tc>
        <w:tc>
          <w:tcPr>
            <w:tcW w:w="449" w:type="pct"/>
            <w:tcBorders>
              <w:top w:val="nil"/>
              <w:left w:val="nil"/>
              <w:bottom w:val="nil"/>
              <w:right w:val="nil"/>
            </w:tcBorders>
            <w:shd w:val="clear" w:color="auto" w:fill="auto"/>
            <w:noWrap/>
            <w:vAlign w:val="bottom"/>
            <w:hideMark/>
          </w:tcPr>
          <w:p w14:paraId="3FADFA48" w14:textId="77777777" w:rsidR="001631C6" w:rsidRPr="00F77F84" w:rsidRDefault="001631C6" w:rsidP="008F5322">
            <w:pPr>
              <w:jc w:val="center"/>
              <w:rPr>
                <w:color w:val="000000"/>
                <w:sz w:val="20"/>
                <w:szCs w:val="20"/>
                <w:lang w:val="en-US"/>
              </w:rPr>
            </w:pPr>
            <w:r w:rsidRPr="00F77F84">
              <w:rPr>
                <w:color w:val="000000"/>
                <w:sz w:val="20"/>
                <w:szCs w:val="20"/>
              </w:rPr>
              <w:t xml:space="preserve">    50.990 </w:t>
            </w:r>
          </w:p>
        </w:tc>
      </w:tr>
      <w:tr w:rsidR="001631C6" w:rsidRPr="00F77F84" w14:paraId="7A6FC286" w14:textId="77777777" w:rsidTr="008F5322">
        <w:trPr>
          <w:trHeight w:val="20"/>
        </w:trPr>
        <w:tc>
          <w:tcPr>
            <w:tcW w:w="607" w:type="pct"/>
            <w:tcBorders>
              <w:top w:val="nil"/>
              <w:left w:val="nil"/>
              <w:bottom w:val="nil"/>
              <w:right w:val="nil"/>
            </w:tcBorders>
            <w:shd w:val="clear" w:color="auto" w:fill="auto"/>
            <w:noWrap/>
            <w:vAlign w:val="bottom"/>
            <w:hideMark/>
          </w:tcPr>
          <w:p w14:paraId="6B51D2E0"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3D13D92E"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3D7F92A7" w14:textId="77777777" w:rsidR="001631C6" w:rsidRPr="00F77F84" w:rsidRDefault="001631C6" w:rsidP="008F5322">
            <w:pPr>
              <w:jc w:val="center"/>
              <w:rPr>
                <w:color w:val="000000"/>
                <w:sz w:val="20"/>
                <w:szCs w:val="20"/>
                <w:lang w:val="en-US"/>
              </w:rPr>
            </w:pPr>
            <w:r w:rsidRPr="00F77F84">
              <w:rPr>
                <w:color w:val="000000"/>
                <w:sz w:val="20"/>
                <w:szCs w:val="20"/>
              </w:rPr>
              <w:t xml:space="preserve"> [1.220] </w:t>
            </w:r>
          </w:p>
        </w:tc>
        <w:tc>
          <w:tcPr>
            <w:tcW w:w="626" w:type="pct"/>
            <w:tcBorders>
              <w:top w:val="nil"/>
              <w:left w:val="nil"/>
              <w:bottom w:val="nil"/>
              <w:right w:val="nil"/>
            </w:tcBorders>
            <w:shd w:val="clear" w:color="auto" w:fill="auto"/>
            <w:noWrap/>
            <w:vAlign w:val="bottom"/>
            <w:hideMark/>
          </w:tcPr>
          <w:p w14:paraId="6229DB72" w14:textId="77777777" w:rsidR="001631C6" w:rsidRPr="00F77F84" w:rsidRDefault="001631C6" w:rsidP="008F5322">
            <w:pPr>
              <w:jc w:val="center"/>
              <w:rPr>
                <w:color w:val="000000"/>
                <w:sz w:val="20"/>
                <w:szCs w:val="20"/>
                <w:lang w:val="en-US"/>
              </w:rPr>
            </w:pPr>
            <w:r w:rsidRPr="00F77F84">
              <w:rPr>
                <w:color w:val="000000"/>
                <w:sz w:val="20"/>
                <w:szCs w:val="20"/>
              </w:rPr>
              <w:t xml:space="preserve"> [0.667] </w:t>
            </w:r>
          </w:p>
        </w:tc>
        <w:tc>
          <w:tcPr>
            <w:tcW w:w="502" w:type="pct"/>
            <w:tcBorders>
              <w:top w:val="nil"/>
              <w:left w:val="nil"/>
              <w:bottom w:val="nil"/>
              <w:right w:val="nil"/>
            </w:tcBorders>
            <w:shd w:val="clear" w:color="auto" w:fill="auto"/>
            <w:noWrap/>
            <w:vAlign w:val="bottom"/>
            <w:hideMark/>
          </w:tcPr>
          <w:p w14:paraId="7AD488E4" w14:textId="77777777" w:rsidR="001631C6" w:rsidRPr="00F77F84" w:rsidRDefault="001631C6" w:rsidP="008F5322">
            <w:pPr>
              <w:jc w:val="center"/>
              <w:rPr>
                <w:color w:val="000000"/>
                <w:sz w:val="20"/>
                <w:szCs w:val="20"/>
                <w:lang w:val="en-US"/>
              </w:rPr>
            </w:pPr>
            <w:r w:rsidRPr="00F77F84">
              <w:rPr>
                <w:color w:val="000000"/>
                <w:sz w:val="20"/>
                <w:szCs w:val="20"/>
              </w:rPr>
              <w:t xml:space="preserve"> [10.000] </w:t>
            </w:r>
          </w:p>
        </w:tc>
        <w:tc>
          <w:tcPr>
            <w:tcW w:w="538" w:type="pct"/>
            <w:tcBorders>
              <w:top w:val="nil"/>
              <w:left w:val="nil"/>
              <w:bottom w:val="nil"/>
              <w:right w:val="nil"/>
            </w:tcBorders>
            <w:shd w:val="clear" w:color="auto" w:fill="auto"/>
            <w:noWrap/>
            <w:vAlign w:val="bottom"/>
            <w:hideMark/>
          </w:tcPr>
          <w:p w14:paraId="469482EC" w14:textId="77777777" w:rsidR="001631C6" w:rsidRPr="00F77F84" w:rsidRDefault="001631C6" w:rsidP="008F5322">
            <w:pPr>
              <w:jc w:val="center"/>
              <w:rPr>
                <w:color w:val="000000"/>
                <w:sz w:val="20"/>
                <w:szCs w:val="20"/>
                <w:lang w:val="en-US"/>
              </w:rPr>
            </w:pPr>
            <w:r w:rsidRPr="00F77F84">
              <w:rPr>
                <w:color w:val="000000"/>
                <w:sz w:val="20"/>
                <w:szCs w:val="20"/>
              </w:rPr>
              <w:t xml:space="preserve"> [0.500] </w:t>
            </w:r>
          </w:p>
        </w:tc>
        <w:tc>
          <w:tcPr>
            <w:tcW w:w="417" w:type="pct"/>
            <w:tcBorders>
              <w:top w:val="nil"/>
              <w:left w:val="nil"/>
              <w:bottom w:val="nil"/>
              <w:right w:val="nil"/>
            </w:tcBorders>
            <w:shd w:val="clear" w:color="auto" w:fill="auto"/>
            <w:noWrap/>
            <w:vAlign w:val="bottom"/>
            <w:hideMark/>
          </w:tcPr>
          <w:p w14:paraId="4A6F6762" w14:textId="77777777" w:rsidR="001631C6" w:rsidRPr="00F77F84" w:rsidRDefault="001631C6" w:rsidP="008F5322">
            <w:pPr>
              <w:jc w:val="center"/>
              <w:rPr>
                <w:color w:val="000000"/>
                <w:sz w:val="20"/>
                <w:szCs w:val="20"/>
                <w:lang w:val="en-US"/>
              </w:rPr>
            </w:pPr>
            <w:r w:rsidRPr="00F77F84">
              <w:rPr>
                <w:color w:val="000000"/>
                <w:sz w:val="20"/>
                <w:szCs w:val="20"/>
              </w:rPr>
              <w:t xml:space="preserve"> [9.000] </w:t>
            </w:r>
          </w:p>
        </w:tc>
        <w:tc>
          <w:tcPr>
            <w:tcW w:w="355" w:type="pct"/>
            <w:tcBorders>
              <w:top w:val="nil"/>
              <w:left w:val="nil"/>
              <w:bottom w:val="nil"/>
              <w:right w:val="nil"/>
            </w:tcBorders>
            <w:shd w:val="clear" w:color="auto" w:fill="auto"/>
            <w:noWrap/>
            <w:vAlign w:val="bottom"/>
            <w:hideMark/>
          </w:tcPr>
          <w:p w14:paraId="2EDDF7AA"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505" w:type="pct"/>
            <w:tcBorders>
              <w:top w:val="nil"/>
              <w:left w:val="nil"/>
              <w:bottom w:val="nil"/>
              <w:right w:val="nil"/>
            </w:tcBorders>
            <w:shd w:val="clear" w:color="auto" w:fill="auto"/>
            <w:noWrap/>
            <w:vAlign w:val="bottom"/>
            <w:hideMark/>
          </w:tcPr>
          <w:p w14:paraId="1472FF2A" w14:textId="77777777" w:rsidR="001631C6" w:rsidRPr="00F77F84" w:rsidRDefault="001631C6" w:rsidP="008F5322">
            <w:pPr>
              <w:jc w:val="center"/>
              <w:rPr>
                <w:color w:val="000000"/>
                <w:sz w:val="20"/>
                <w:szCs w:val="20"/>
                <w:lang w:val="en-US"/>
              </w:rPr>
            </w:pPr>
            <w:r w:rsidRPr="00F77F84">
              <w:rPr>
                <w:color w:val="000000"/>
                <w:sz w:val="20"/>
                <w:szCs w:val="20"/>
              </w:rPr>
              <w:t xml:space="preserve"> [700.000] </w:t>
            </w:r>
          </w:p>
        </w:tc>
        <w:tc>
          <w:tcPr>
            <w:tcW w:w="449" w:type="pct"/>
            <w:tcBorders>
              <w:top w:val="nil"/>
              <w:left w:val="nil"/>
              <w:bottom w:val="nil"/>
              <w:right w:val="nil"/>
            </w:tcBorders>
            <w:shd w:val="clear" w:color="auto" w:fill="auto"/>
            <w:noWrap/>
            <w:vAlign w:val="bottom"/>
            <w:hideMark/>
          </w:tcPr>
          <w:p w14:paraId="1AB3AFE6" w14:textId="77777777" w:rsidR="001631C6" w:rsidRPr="00F77F84" w:rsidRDefault="001631C6" w:rsidP="008F5322">
            <w:pPr>
              <w:jc w:val="center"/>
              <w:rPr>
                <w:color w:val="000000"/>
                <w:sz w:val="20"/>
                <w:szCs w:val="20"/>
                <w:lang w:val="en-US"/>
              </w:rPr>
            </w:pPr>
            <w:r w:rsidRPr="00F77F84">
              <w:rPr>
                <w:color w:val="000000"/>
                <w:sz w:val="20"/>
                <w:szCs w:val="20"/>
              </w:rPr>
              <w:t xml:space="preserve"> [28.471] </w:t>
            </w:r>
          </w:p>
        </w:tc>
      </w:tr>
      <w:tr w:rsidR="001631C6" w:rsidRPr="00F77F84" w14:paraId="6803F1CE" w14:textId="77777777" w:rsidTr="008F5322">
        <w:trPr>
          <w:trHeight w:val="20"/>
        </w:trPr>
        <w:tc>
          <w:tcPr>
            <w:tcW w:w="607" w:type="pct"/>
            <w:tcBorders>
              <w:top w:val="nil"/>
              <w:left w:val="nil"/>
              <w:bottom w:val="nil"/>
              <w:right w:val="nil"/>
            </w:tcBorders>
            <w:shd w:val="clear" w:color="auto" w:fill="auto"/>
            <w:noWrap/>
            <w:vAlign w:val="bottom"/>
            <w:hideMark/>
          </w:tcPr>
          <w:p w14:paraId="2C8682D2" w14:textId="77777777" w:rsidR="001631C6" w:rsidRPr="00F77F84" w:rsidRDefault="001631C6" w:rsidP="008F5322">
            <w:pPr>
              <w:rPr>
                <w:color w:val="000000"/>
                <w:sz w:val="20"/>
                <w:szCs w:val="20"/>
                <w:lang w:val="en-US"/>
              </w:rPr>
            </w:pPr>
            <w:r w:rsidRPr="00F77F84">
              <w:rPr>
                <w:color w:val="000000"/>
                <w:sz w:val="20"/>
                <w:szCs w:val="20"/>
                <w:lang w:val="en-US"/>
              </w:rPr>
              <w:t>Luxembourg</w:t>
            </w:r>
          </w:p>
        </w:tc>
        <w:tc>
          <w:tcPr>
            <w:tcW w:w="581" w:type="pct"/>
            <w:tcBorders>
              <w:top w:val="nil"/>
              <w:left w:val="nil"/>
              <w:bottom w:val="nil"/>
              <w:right w:val="nil"/>
            </w:tcBorders>
            <w:shd w:val="clear" w:color="auto" w:fill="auto"/>
            <w:noWrap/>
            <w:vAlign w:val="bottom"/>
            <w:hideMark/>
          </w:tcPr>
          <w:p w14:paraId="3F557ABF" w14:textId="77777777" w:rsidR="001631C6" w:rsidRPr="00F77F84" w:rsidRDefault="001631C6" w:rsidP="008F5322">
            <w:pPr>
              <w:jc w:val="center"/>
              <w:rPr>
                <w:color w:val="000000"/>
                <w:sz w:val="20"/>
                <w:szCs w:val="20"/>
                <w:lang w:val="en-US"/>
              </w:rPr>
            </w:pPr>
            <w:r w:rsidRPr="00F77F84">
              <w:rPr>
                <w:color w:val="000000"/>
                <w:sz w:val="20"/>
                <w:szCs w:val="20"/>
              </w:rPr>
              <w:t xml:space="preserve">             16 </w:t>
            </w:r>
          </w:p>
        </w:tc>
        <w:tc>
          <w:tcPr>
            <w:tcW w:w="419" w:type="pct"/>
            <w:tcBorders>
              <w:top w:val="nil"/>
              <w:left w:val="nil"/>
              <w:bottom w:val="nil"/>
              <w:right w:val="nil"/>
            </w:tcBorders>
            <w:shd w:val="clear" w:color="auto" w:fill="auto"/>
            <w:noWrap/>
            <w:vAlign w:val="bottom"/>
            <w:hideMark/>
          </w:tcPr>
          <w:p w14:paraId="4D52BDAA" w14:textId="77777777" w:rsidR="001631C6" w:rsidRPr="00F77F84" w:rsidRDefault="001631C6" w:rsidP="008F5322">
            <w:pPr>
              <w:jc w:val="center"/>
              <w:rPr>
                <w:color w:val="000000"/>
                <w:sz w:val="20"/>
                <w:szCs w:val="20"/>
                <w:lang w:val="en-US"/>
              </w:rPr>
            </w:pPr>
            <w:r w:rsidRPr="00F77F84">
              <w:rPr>
                <w:color w:val="000000"/>
                <w:sz w:val="20"/>
                <w:szCs w:val="20"/>
              </w:rPr>
              <w:t xml:space="preserve">     2.284 </w:t>
            </w:r>
          </w:p>
        </w:tc>
        <w:tc>
          <w:tcPr>
            <w:tcW w:w="626" w:type="pct"/>
            <w:tcBorders>
              <w:top w:val="nil"/>
              <w:left w:val="nil"/>
              <w:bottom w:val="nil"/>
              <w:right w:val="nil"/>
            </w:tcBorders>
            <w:shd w:val="clear" w:color="auto" w:fill="auto"/>
            <w:noWrap/>
            <w:vAlign w:val="bottom"/>
            <w:hideMark/>
          </w:tcPr>
          <w:p w14:paraId="7A42F926"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502" w:type="pct"/>
            <w:tcBorders>
              <w:top w:val="nil"/>
              <w:left w:val="nil"/>
              <w:bottom w:val="nil"/>
              <w:right w:val="nil"/>
            </w:tcBorders>
            <w:shd w:val="clear" w:color="auto" w:fill="auto"/>
            <w:noWrap/>
            <w:vAlign w:val="bottom"/>
            <w:hideMark/>
          </w:tcPr>
          <w:p w14:paraId="765D1133" w14:textId="77777777" w:rsidR="001631C6" w:rsidRPr="00F77F84" w:rsidRDefault="001631C6" w:rsidP="008F5322">
            <w:pPr>
              <w:jc w:val="center"/>
              <w:rPr>
                <w:color w:val="000000"/>
                <w:sz w:val="20"/>
                <w:szCs w:val="20"/>
                <w:lang w:val="en-US"/>
              </w:rPr>
            </w:pPr>
            <w:r w:rsidRPr="00F77F84">
              <w:rPr>
                <w:color w:val="000000"/>
                <w:sz w:val="20"/>
                <w:szCs w:val="20"/>
              </w:rPr>
              <w:t xml:space="preserve">     1.375 </w:t>
            </w:r>
          </w:p>
        </w:tc>
        <w:tc>
          <w:tcPr>
            <w:tcW w:w="538" w:type="pct"/>
            <w:tcBorders>
              <w:top w:val="nil"/>
              <w:left w:val="nil"/>
              <w:bottom w:val="nil"/>
              <w:right w:val="nil"/>
            </w:tcBorders>
            <w:shd w:val="clear" w:color="auto" w:fill="auto"/>
            <w:noWrap/>
            <w:vAlign w:val="bottom"/>
            <w:hideMark/>
          </w:tcPr>
          <w:p w14:paraId="6B69CF08" w14:textId="77777777" w:rsidR="001631C6" w:rsidRPr="00F77F84" w:rsidRDefault="001631C6" w:rsidP="008F5322">
            <w:pPr>
              <w:jc w:val="center"/>
              <w:rPr>
                <w:color w:val="000000"/>
                <w:sz w:val="20"/>
                <w:szCs w:val="20"/>
                <w:lang w:val="en-US"/>
              </w:rPr>
            </w:pPr>
            <w:r w:rsidRPr="00F77F84">
              <w:rPr>
                <w:color w:val="000000"/>
                <w:sz w:val="20"/>
                <w:szCs w:val="20"/>
              </w:rPr>
              <w:t xml:space="preserve">     0.381 </w:t>
            </w:r>
          </w:p>
        </w:tc>
        <w:tc>
          <w:tcPr>
            <w:tcW w:w="417" w:type="pct"/>
            <w:tcBorders>
              <w:top w:val="nil"/>
              <w:left w:val="nil"/>
              <w:bottom w:val="nil"/>
              <w:right w:val="nil"/>
            </w:tcBorders>
            <w:shd w:val="clear" w:color="auto" w:fill="auto"/>
            <w:noWrap/>
            <w:vAlign w:val="bottom"/>
            <w:hideMark/>
          </w:tcPr>
          <w:p w14:paraId="55384956" w14:textId="77777777" w:rsidR="001631C6" w:rsidRPr="00F77F84" w:rsidRDefault="001631C6" w:rsidP="008F5322">
            <w:pPr>
              <w:jc w:val="center"/>
              <w:rPr>
                <w:color w:val="000000"/>
                <w:sz w:val="20"/>
                <w:szCs w:val="20"/>
                <w:lang w:val="en-US"/>
              </w:rPr>
            </w:pPr>
            <w:r w:rsidRPr="00F77F84">
              <w:rPr>
                <w:color w:val="000000"/>
                <w:sz w:val="20"/>
                <w:szCs w:val="20"/>
              </w:rPr>
              <w:t xml:space="preserve">     9.563 </w:t>
            </w:r>
          </w:p>
        </w:tc>
        <w:tc>
          <w:tcPr>
            <w:tcW w:w="355" w:type="pct"/>
            <w:tcBorders>
              <w:top w:val="nil"/>
              <w:left w:val="nil"/>
              <w:bottom w:val="nil"/>
              <w:right w:val="nil"/>
            </w:tcBorders>
            <w:shd w:val="clear" w:color="auto" w:fill="auto"/>
            <w:noWrap/>
            <w:vAlign w:val="bottom"/>
            <w:hideMark/>
          </w:tcPr>
          <w:p w14:paraId="6B624394" w14:textId="77777777" w:rsidR="001631C6" w:rsidRPr="00F77F84" w:rsidRDefault="001631C6" w:rsidP="008F5322">
            <w:pPr>
              <w:jc w:val="center"/>
              <w:rPr>
                <w:color w:val="000000"/>
                <w:sz w:val="20"/>
                <w:szCs w:val="20"/>
                <w:lang w:val="en-US"/>
              </w:rPr>
            </w:pPr>
            <w:r w:rsidRPr="00F77F84">
              <w:rPr>
                <w:color w:val="000000"/>
                <w:sz w:val="20"/>
                <w:szCs w:val="20"/>
              </w:rPr>
              <w:t xml:space="preserve">     6.666 </w:t>
            </w:r>
          </w:p>
        </w:tc>
        <w:tc>
          <w:tcPr>
            <w:tcW w:w="505" w:type="pct"/>
            <w:tcBorders>
              <w:top w:val="nil"/>
              <w:left w:val="nil"/>
              <w:bottom w:val="nil"/>
              <w:right w:val="nil"/>
            </w:tcBorders>
            <w:shd w:val="clear" w:color="auto" w:fill="auto"/>
            <w:noWrap/>
            <w:vAlign w:val="bottom"/>
            <w:hideMark/>
          </w:tcPr>
          <w:p w14:paraId="33C76EB7" w14:textId="77777777" w:rsidR="001631C6" w:rsidRPr="00F77F84" w:rsidRDefault="001631C6" w:rsidP="008F5322">
            <w:pPr>
              <w:jc w:val="center"/>
              <w:rPr>
                <w:color w:val="000000"/>
                <w:sz w:val="20"/>
                <w:szCs w:val="20"/>
                <w:lang w:val="en-US"/>
              </w:rPr>
            </w:pPr>
            <w:r w:rsidRPr="00F77F84">
              <w:rPr>
                <w:color w:val="000000"/>
                <w:sz w:val="20"/>
                <w:szCs w:val="20"/>
              </w:rPr>
              <w:t xml:space="preserve">  653.125 </w:t>
            </w:r>
          </w:p>
        </w:tc>
        <w:tc>
          <w:tcPr>
            <w:tcW w:w="449" w:type="pct"/>
            <w:tcBorders>
              <w:top w:val="nil"/>
              <w:left w:val="nil"/>
              <w:bottom w:val="nil"/>
              <w:right w:val="nil"/>
            </w:tcBorders>
            <w:shd w:val="clear" w:color="auto" w:fill="auto"/>
            <w:noWrap/>
            <w:vAlign w:val="bottom"/>
            <w:hideMark/>
          </w:tcPr>
          <w:p w14:paraId="04EF3654" w14:textId="77777777" w:rsidR="001631C6" w:rsidRPr="00F77F84" w:rsidRDefault="001631C6" w:rsidP="008F5322">
            <w:pPr>
              <w:jc w:val="center"/>
              <w:rPr>
                <w:color w:val="000000"/>
                <w:sz w:val="20"/>
                <w:szCs w:val="20"/>
                <w:lang w:val="en-US"/>
              </w:rPr>
            </w:pPr>
            <w:r w:rsidRPr="00F77F84">
              <w:rPr>
                <w:color w:val="000000"/>
                <w:sz w:val="20"/>
                <w:szCs w:val="20"/>
              </w:rPr>
              <w:t xml:space="preserve">    21.903 </w:t>
            </w:r>
          </w:p>
        </w:tc>
      </w:tr>
      <w:tr w:rsidR="001631C6" w:rsidRPr="00F77F84" w14:paraId="1F0D01D4" w14:textId="77777777" w:rsidTr="008F5322">
        <w:trPr>
          <w:trHeight w:val="20"/>
        </w:trPr>
        <w:tc>
          <w:tcPr>
            <w:tcW w:w="607" w:type="pct"/>
            <w:tcBorders>
              <w:top w:val="nil"/>
              <w:left w:val="nil"/>
              <w:bottom w:val="nil"/>
              <w:right w:val="nil"/>
            </w:tcBorders>
            <w:shd w:val="clear" w:color="auto" w:fill="auto"/>
            <w:noWrap/>
            <w:vAlign w:val="bottom"/>
            <w:hideMark/>
          </w:tcPr>
          <w:p w14:paraId="7A605C00"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5DB668FB"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39E63E20" w14:textId="77777777" w:rsidR="001631C6" w:rsidRPr="00F77F84" w:rsidRDefault="001631C6" w:rsidP="008F5322">
            <w:pPr>
              <w:jc w:val="center"/>
              <w:rPr>
                <w:color w:val="000000"/>
                <w:sz w:val="20"/>
                <w:szCs w:val="20"/>
                <w:lang w:val="en-US"/>
              </w:rPr>
            </w:pPr>
            <w:r w:rsidRPr="00F77F84">
              <w:rPr>
                <w:color w:val="000000"/>
                <w:sz w:val="20"/>
                <w:szCs w:val="20"/>
              </w:rPr>
              <w:t xml:space="preserve"> [1.965] </w:t>
            </w:r>
          </w:p>
        </w:tc>
        <w:tc>
          <w:tcPr>
            <w:tcW w:w="626" w:type="pct"/>
            <w:tcBorders>
              <w:top w:val="nil"/>
              <w:left w:val="nil"/>
              <w:bottom w:val="nil"/>
              <w:right w:val="nil"/>
            </w:tcBorders>
            <w:shd w:val="clear" w:color="auto" w:fill="auto"/>
            <w:noWrap/>
            <w:vAlign w:val="bottom"/>
            <w:hideMark/>
          </w:tcPr>
          <w:p w14:paraId="50EA1C67"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502" w:type="pct"/>
            <w:tcBorders>
              <w:top w:val="nil"/>
              <w:left w:val="nil"/>
              <w:bottom w:val="nil"/>
              <w:right w:val="nil"/>
            </w:tcBorders>
            <w:shd w:val="clear" w:color="auto" w:fill="auto"/>
            <w:noWrap/>
            <w:vAlign w:val="bottom"/>
            <w:hideMark/>
          </w:tcPr>
          <w:p w14:paraId="40507FE6"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538" w:type="pct"/>
            <w:tcBorders>
              <w:top w:val="nil"/>
              <w:left w:val="nil"/>
              <w:bottom w:val="nil"/>
              <w:right w:val="nil"/>
            </w:tcBorders>
            <w:shd w:val="clear" w:color="auto" w:fill="auto"/>
            <w:noWrap/>
            <w:vAlign w:val="bottom"/>
            <w:hideMark/>
          </w:tcPr>
          <w:p w14:paraId="6B476448" w14:textId="77777777" w:rsidR="001631C6" w:rsidRPr="00F77F84" w:rsidRDefault="001631C6" w:rsidP="008F5322">
            <w:pPr>
              <w:jc w:val="center"/>
              <w:rPr>
                <w:color w:val="000000"/>
                <w:sz w:val="20"/>
                <w:szCs w:val="20"/>
                <w:lang w:val="en-US"/>
              </w:rPr>
            </w:pPr>
            <w:r w:rsidRPr="00F77F84">
              <w:rPr>
                <w:color w:val="000000"/>
                <w:sz w:val="20"/>
                <w:szCs w:val="20"/>
              </w:rPr>
              <w:t xml:space="preserve"> [0.000] </w:t>
            </w:r>
          </w:p>
        </w:tc>
        <w:tc>
          <w:tcPr>
            <w:tcW w:w="417" w:type="pct"/>
            <w:tcBorders>
              <w:top w:val="nil"/>
              <w:left w:val="nil"/>
              <w:bottom w:val="nil"/>
              <w:right w:val="nil"/>
            </w:tcBorders>
            <w:shd w:val="clear" w:color="auto" w:fill="auto"/>
            <w:noWrap/>
            <w:vAlign w:val="bottom"/>
            <w:hideMark/>
          </w:tcPr>
          <w:p w14:paraId="2CDF142B" w14:textId="77777777" w:rsidR="001631C6" w:rsidRPr="00F77F84" w:rsidRDefault="001631C6" w:rsidP="008F5322">
            <w:pPr>
              <w:jc w:val="center"/>
              <w:rPr>
                <w:color w:val="000000"/>
                <w:sz w:val="20"/>
                <w:szCs w:val="20"/>
                <w:lang w:val="en-US"/>
              </w:rPr>
            </w:pPr>
            <w:r w:rsidRPr="00F77F84">
              <w:rPr>
                <w:color w:val="000000"/>
                <w:sz w:val="20"/>
                <w:szCs w:val="20"/>
              </w:rPr>
              <w:t xml:space="preserve"> [9.000] </w:t>
            </w:r>
          </w:p>
        </w:tc>
        <w:tc>
          <w:tcPr>
            <w:tcW w:w="355" w:type="pct"/>
            <w:tcBorders>
              <w:top w:val="nil"/>
              <w:left w:val="nil"/>
              <w:bottom w:val="nil"/>
              <w:right w:val="nil"/>
            </w:tcBorders>
            <w:shd w:val="clear" w:color="auto" w:fill="auto"/>
            <w:noWrap/>
            <w:vAlign w:val="bottom"/>
            <w:hideMark/>
          </w:tcPr>
          <w:p w14:paraId="051592C3" w14:textId="77777777" w:rsidR="001631C6" w:rsidRPr="00F77F84" w:rsidRDefault="001631C6" w:rsidP="008F5322">
            <w:pPr>
              <w:jc w:val="center"/>
              <w:rPr>
                <w:color w:val="000000"/>
                <w:sz w:val="20"/>
                <w:szCs w:val="20"/>
                <w:lang w:val="en-US"/>
              </w:rPr>
            </w:pPr>
            <w:r w:rsidRPr="00F77F84">
              <w:rPr>
                <w:color w:val="000000"/>
                <w:sz w:val="20"/>
                <w:szCs w:val="20"/>
              </w:rPr>
              <w:t xml:space="preserve"> [6.999] </w:t>
            </w:r>
          </w:p>
        </w:tc>
        <w:tc>
          <w:tcPr>
            <w:tcW w:w="505" w:type="pct"/>
            <w:tcBorders>
              <w:top w:val="nil"/>
              <w:left w:val="nil"/>
              <w:bottom w:val="nil"/>
              <w:right w:val="nil"/>
            </w:tcBorders>
            <w:shd w:val="clear" w:color="auto" w:fill="auto"/>
            <w:noWrap/>
            <w:vAlign w:val="bottom"/>
            <w:hideMark/>
          </w:tcPr>
          <w:p w14:paraId="27ABEDDA" w14:textId="77777777" w:rsidR="001631C6" w:rsidRPr="00F77F84" w:rsidRDefault="001631C6" w:rsidP="008F5322">
            <w:pPr>
              <w:jc w:val="center"/>
              <w:rPr>
                <w:color w:val="000000"/>
                <w:sz w:val="20"/>
                <w:szCs w:val="20"/>
                <w:lang w:val="en-US"/>
              </w:rPr>
            </w:pPr>
            <w:r w:rsidRPr="00F77F84">
              <w:rPr>
                <w:color w:val="000000"/>
                <w:sz w:val="20"/>
                <w:szCs w:val="20"/>
              </w:rPr>
              <w:t xml:space="preserve"> [625.000] </w:t>
            </w:r>
          </w:p>
        </w:tc>
        <w:tc>
          <w:tcPr>
            <w:tcW w:w="449" w:type="pct"/>
            <w:tcBorders>
              <w:top w:val="nil"/>
              <w:left w:val="nil"/>
              <w:bottom w:val="nil"/>
              <w:right w:val="nil"/>
            </w:tcBorders>
            <w:shd w:val="clear" w:color="auto" w:fill="auto"/>
            <w:noWrap/>
            <w:vAlign w:val="bottom"/>
            <w:hideMark/>
          </w:tcPr>
          <w:p w14:paraId="09D081B7" w14:textId="77777777" w:rsidR="001631C6" w:rsidRPr="00F77F84" w:rsidRDefault="001631C6" w:rsidP="008F5322">
            <w:pPr>
              <w:jc w:val="center"/>
              <w:rPr>
                <w:color w:val="000000"/>
                <w:sz w:val="20"/>
                <w:szCs w:val="20"/>
                <w:lang w:val="en-US"/>
              </w:rPr>
            </w:pPr>
            <w:r w:rsidRPr="00F77F84">
              <w:rPr>
                <w:color w:val="000000"/>
                <w:sz w:val="20"/>
                <w:szCs w:val="20"/>
              </w:rPr>
              <w:t xml:space="preserve"> [7.442] </w:t>
            </w:r>
          </w:p>
        </w:tc>
      </w:tr>
      <w:tr w:rsidR="001631C6" w:rsidRPr="00F77F84" w14:paraId="00546A4B" w14:textId="77777777" w:rsidTr="008F5322">
        <w:trPr>
          <w:trHeight w:val="20"/>
        </w:trPr>
        <w:tc>
          <w:tcPr>
            <w:tcW w:w="607" w:type="pct"/>
            <w:tcBorders>
              <w:top w:val="nil"/>
              <w:left w:val="nil"/>
              <w:bottom w:val="nil"/>
              <w:right w:val="nil"/>
            </w:tcBorders>
            <w:shd w:val="clear" w:color="auto" w:fill="auto"/>
            <w:noWrap/>
            <w:vAlign w:val="bottom"/>
            <w:hideMark/>
          </w:tcPr>
          <w:p w14:paraId="510BEC45" w14:textId="77777777" w:rsidR="001631C6" w:rsidRPr="00F77F84" w:rsidRDefault="001631C6" w:rsidP="008F5322">
            <w:pPr>
              <w:rPr>
                <w:color w:val="000000"/>
                <w:sz w:val="20"/>
                <w:szCs w:val="20"/>
                <w:lang w:val="en-US"/>
              </w:rPr>
            </w:pPr>
            <w:r w:rsidRPr="00F77F84">
              <w:rPr>
                <w:color w:val="000000"/>
                <w:sz w:val="20"/>
                <w:szCs w:val="20"/>
                <w:lang w:val="en-US"/>
              </w:rPr>
              <w:t>Netherlands</w:t>
            </w:r>
          </w:p>
        </w:tc>
        <w:tc>
          <w:tcPr>
            <w:tcW w:w="581" w:type="pct"/>
            <w:tcBorders>
              <w:top w:val="nil"/>
              <w:left w:val="nil"/>
              <w:bottom w:val="nil"/>
              <w:right w:val="nil"/>
            </w:tcBorders>
            <w:shd w:val="clear" w:color="auto" w:fill="auto"/>
            <w:noWrap/>
            <w:vAlign w:val="bottom"/>
            <w:hideMark/>
          </w:tcPr>
          <w:p w14:paraId="5173ED21" w14:textId="77777777" w:rsidR="001631C6" w:rsidRPr="00F77F84" w:rsidRDefault="001631C6" w:rsidP="008F5322">
            <w:pPr>
              <w:jc w:val="center"/>
              <w:rPr>
                <w:color w:val="000000"/>
                <w:sz w:val="20"/>
                <w:szCs w:val="20"/>
                <w:lang w:val="en-US"/>
              </w:rPr>
            </w:pPr>
            <w:r w:rsidRPr="00F77F84">
              <w:rPr>
                <w:color w:val="000000"/>
                <w:sz w:val="20"/>
                <w:szCs w:val="20"/>
              </w:rPr>
              <w:t xml:space="preserve">           107 </w:t>
            </w:r>
          </w:p>
        </w:tc>
        <w:tc>
          <w:tcPr>
            <w:tcW w:w="419" w:type="pct"/>
            <w:tcBorders>
              <w:top w:val="nil"/>
              <w:left w:val="nil"/>
              <w:bottom w:val="nil"/>
              <w:right w:val="nil"/>
            </w:tcBorders>
            <w:shd w:val="clear" w:color="auto" w:fill="auto"/>
            <w:noWrap/>
            <w:vAlign w:val="bottom"/>
            <w:hideMark/>
          </w:tcPr>
          <w:p w14:paraId="675CF190" w14:textId="77777777" w:rsidR="001631C6" w:rsidRPr="00F77F84" w:rsidRDefault="001631C6" w:rsidP="008F5322">
            <w:pPr>
              <w:jc w:val="center"/>
              <w:rPr>
                <w:color w:val="000000"/>
                <w:sz w:val="20"/>
                <w:szCs w:val="20"/>
                <w:lang w:val="en-US"/>
              </w:rPr>
            </w:pPr>
            <w:r w:rsidRPr="00F77F84">
              <w:rPr>
                <w:color w:val="000000"/>
                <w:sz w:val="20"/>
                <w:szCs w:val="20"/>
              </w:rPr>
              <w:t xml:space="preserve">     1.062 </w:t>
            </w:r>
          </w:p>
        </w:tc>
        <w:tc>
          <w:tcPr>
            <w:tcW w:w="626" w:type="pct"/>
            <w:tcBorders>
              <w:top w:val="nil"/>
              <w:left w:val="nil"/>
              <w:bottom w:val="nil"/>
              <w:right w:val="nil"/>
            </w:tcBorders>
            <w:shd w:val="clear" w:color="auto" w:fill="auto"/>
            <w:noWrap/>
            <w:vAlign w:val="bottom"/>
            <w:hideMark/>
          </w:tcPr>
          <w:p w14:paraId="73AC14B3" w14:textId="77777777" w:rsidR="001631C6" w:rsidRPr="00F77F84" w:rsidRDefault="001631C6" w:rsidP="008F5322">
            <w:pPr>
              <w:jc w:val="center"/>
              <w:rPr>
                <w:color w:val="000000"/>
                <w:sz w:val="20"/>
                <w:szCs w:val="20"/>
                <w:lang w:val="en-US"/>
              </w:rPr>
            </w:pPr>
            <w:r w:rsidRPr="00F77F84">
              <w:rPr>
                <w:color w:val="000000"/>
                <w:sz w:val="20"/>
                <w:szCs w:val="20"/>
              </w:rPr>
              <w:t xml:space="preserve">     0.818 </w:t>
            </w:r>
          </w:p>
        </w:tc>
        <w:tc>
          <w:tcPr>
            <w:tcW w:w="502" w:type="pct"/>
            <w:tcBorders>
              <w:top w:val="nil"/>
              <w:left w:val="nil"/>
              <w:bottom w:val="nil"/>
              <w:right w:val="nil"/>
            </w:tcBorders>
            <w:shd w:val="clear" w:color="auto" w:fill="auto"/>
            <w:noWrap/>
            <w:vAlign w:val="bottom"/>
            <w:hideMark/>
          </w:tcPr>
          <w:p w14:paraId="2BA30CBE" w14:textId="77777777" w:rsidR="001631C6" w:rsidRPr="00F77F84" w:rsidRDefault="001631C6" w:rsidP="008F5322">
            <w:pPr>
              <w:jc w:val="center"/>
              <w:rPr>
                <w:color w:val="000000"/>
                <w:sz w:val="20"/>
                <w:szCs w:val="20"/>
                <w:lang w:val="en-US"/>
              </w:rPr>
            </w:pPr>
            <w:r w:rsidRPr="00F77F84">
              <w:rPr>
                <w:color w:val="000000"/>
                <w:sz w:val="20"/>
                <w:szCs w:val="20"/>
              </w:rPr>
              <w:t xml:space="preserve">     6.224 </w:t>
            </w:r>
          </w:p>
        </w:tc>
        <w:tc>
          <w:tcPr>
            <w:tcW w:w="538" w:type="pct"/>
            <w:tcBorders>
              <w:top w:val="nil"/>
              <w:left w:val="nil"/>
              <w:bottom w:val="nil"/>
              <w:right w:val="nil"/>
            </w:tcBorders>
            <w:shd w:val="clear" w:color="auto" w:fill="auto"/>
            <w:noWrap/>
            <w:vAlign w:val="bottom"/>
            <w:hideMark/>
          </w:tcPr>
          <w:p w14:paraId="292C964A" w14:textId="77777777" w:rsidR="001631C6" w:rsidRPr="00F77F84" w:rsidRDefault="001631C6" w:rsidP="008F5322">
            <w:pPr>
              <w:jc w:val="center"/>
              <w:rPr>
                <w:color w:val="000000"/>
                <w:sz w:val="20"/>
                <w:szCs w:val="20"/>
                <w:lang w:val="en-US"/>
              </w:rPr>
            </w:pPr>
            <w:r w:rsidRPr="00F77F84">
              <w:rPr>
                <w:color w:val="000000"/>
                <w:sz w:val="20"/>
                <w:szCs w:val="20"/>
              </w:rPr>
              <w:t xml:space="preserve">     0.684 </w:t>
            </w:r>
          </w:p>
        </w:tc>
        <w:tc>
          <w:tcPr>
            <w:tcW w:w="417" w:type="pct"/>
            <w:tcBorders>
              <w:top w:val="nil"/>
              <w:left w:val="nil"/>
              <w:bottom w:val="nil"/>
              <w:right w:val="nil"/>
            </w:tcBorders>
            <w:shd w:val="clear" w:color="auto" w:fill="auto"/>
            <w:noWrap/>
            <w:vAlign w:val="bottom"/>
            <w:hideMark/>
          </w:tcPr>
          <w:p w14:paraId="2E8E5061" w14:textId="77777777" w:rsidR="001631C6" w:rsidRPr="00F77F84" w:rsidRDefault="001631C6" w:rsidP="008F5322">
            <w:pPr>
              <w:jc w:val="center"/>
              <w:rPr>
                <w:color w:val="000000"/>
                <w:sz w:val="20"/>
                <w:szCs w:val="20"/>
                <w:lang w:val="en-US"/>
              </w:rPr>
            </w:pPr>
            <w:r w:rsidRPr="00F77F84">
              <w:rPr>
                <w:color w:val="000000"/>
                <w:sz w:val="20"/>
                <w:szCs w:val="20"/>
              </w:rPr>
              <w:t xml:space="preserve">     7.280 </w:t>
            </w:r>
          </w:p>
        </w:tc>
        <w:tc>
          <w:tcPr>
            <w:tcW w:w="355" w:type="pct"/>
            <w:tcBorders>
              <w:top w:val="nil"/>
              <w:left w:val="nil"/>
              <w:bottom w:val="nil"/>
              <w:right w:val="nil"/>
            </w:tcBorders>
            <w:shd w:val="clear" w:color="auto" w:fill="auto"/>
            <w:noWrap/>
            <w:vAlign w:val="bottom"/>
            <w:hideMark/>
          </w:tcPr>
          <w:p w14:paraId="24AE5542" w14:textId="77777777" w:rsidR="001631C6" w:rsidRPr="00F77F84" w:rsidRDefault="001631C6" w:rsidP="008F5322">
            <w:pPr>
              <w:jc w:val="center"/>
              <w:rPr>
                <w:color w:val="000000"/>
                <w:sz w:val="20"/>
                <w:szCs w:val="20"/>
                <w:lang w:val="en-US"/>
              </w:rPr>
            </w:pPr>
            <w:r w:rsidRPr="00F77F84">
              <w:rPr>
                <w:color w:val="000000"/>
                <w:sz w:val="20"/>
                <w:szCs w:val="20"/>
              </w:rPr>
              <w:t xml:space="preserve">     8.477 </w:t>
            </w:r>
          </w:p>
        </w:tc>
        <w:tc>
          <w:tcPr>
            <w:tcW w:w="505" w:type="pct"/>
            <w:tcBorders>
              <w:top w:val="nil"/>
              <w:left w:val="nil"/>
              <w:bottom w:val="nil"/>
              <w:right w:val="nil"/>
            </w:tcBorders>
            <w:shd w:val="clear" w:color="auto" w:fill="auto"/>
            <w:noWrap/>
            <w:vAlign w:val="bottom"/>
            <w:hideMark/>
          </w:tcPr>
          <w:p w14:paraId="4F098B69" w14:textId="77777777" w:rsidR="001631C6" w:rsidRPr="00F77F84" w:rsidRDefault="001631C6" w:rsidP="008F5322">
            <w:pPr>
              <w:jc w:val="center"/>
              <w:rPr>
                <w:color w:val="000000"/>
                <w:sz w:val="20"/>
                <w:szCs w:val="20"/>
                <w:lang w:val="en-US"/>
              </w:rPr>
            </w:pPr>
            <w:r w:rsidRPr="00F77F84">
              <w:rPr>
                <w:color w:val="000000"/>
                <w:sz w:val="20"/>
                <w:szCs w:val="20"/>
              </w:rPr>
              <w:t xml:space="preserve">  807.009 </w:t>
            </w:r>
          </w:p>
        </w:tc>
        <w:tc>
          <w:tcPr>
            <w:tcW w:w="449" w:type="pct"/>
            <w:tcBorders>
              <w:top w:val="nil"/>
              <w:left w:val="nil"/>
              <w:bottom w:val="nil"/>
              <w:right w:val="nil"/>
            </w:tcBorders>
            <w:shd w:val="clear" w:color="auto" w:fill="auto"/>
            <w:noWrap/>
            <w:vAlign w:val="bottom"/>
            <w:hideMark/>
          </w:tcPr>
          <w:p w14:paraId="3C360B18" w14:textId="77777777" w:rsidR="001631C6" w:rsidRPr="00F77F84" w:rsidRDefault="001631C6" w:rsidP="008F5322">
            <w:pPr>
              <w:jc w:val="center"/>
              <w:rPr>
                <w:color w:val="000000"/>
                <w:sz w:val="20"/>
                <w:szCs w:val="20"/>
                <w:lang w:val="en-US"/>
              </w:rPr>
            </w:pPr>
            <w:r w:rsidRPr="00F77F84">
              <w:rPr>
                <w:color w:val="000000"/>
                <w:sz w:val="20"/>
                <w:szCs w:val="20"/>
              </w:rPr>
              <w:t xml:space="preserve">    78.956 </w:t>
            </w:r>
          </w:p>
        </w:tc>
      </w:tr>
      <w:tr w:rsidR="001631C6" w:rsidRPr="00F77F84" w14:paraId="0E2A336E" w14:textId="77777777" w:rsidTr="008F5322">
        <w:trPr>
          <w:trHeight w:val="20"/>
        </w:trPr>
        <w:tc>
          <w:tcPr>
            <w:tcW w:w="607" w:type="pct"/>
            <w:tcBorders>
              <w:top w:val="nil"/>
              <w:left w:val="nil"/>
              <w:bottom w:val="nil"/>
              <w:right w:val="nil"/>
            </w:tcBorders>
            <w:shd w:val="clear" w:color="auto" w:fill="auto"/>
            <w:noWrap/>
            <w:vAlign w:val="bottom"/>
            <w:hideMark/>
          </w:tcPr>
          <w:p w14:paraId="417E792A"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2BFB29C3"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5D7DD61C" w14:textId="77777777" w:rsidR="001631C6" w:rsidRPr="00F77F84" w:rsidRDefault="001631C6" w:rsidP="008F5322">
            <w:pPr>
              <w:jc w:val="center"/>
              <w:rPr>
                <w:color w:val="000000"/>
                <w:sz w:val="20"/>
                <w:szCs w:val="20"/>
                <w:lang w:val="en-US"/>
              </w:rPr>
            </w:pPr>
            <w:r w:rsidRPr="00F77F84">
              <w:rPr>
                <w:color w:val="000000"/>
                <w:sz w:val="20"/>
                <w:szCs w:val="20"/>
              </w:rPr>
              <w:t xml:space="preserve"> [0.800] </w:t>
            </w:r>
          </w:p>
        </w:tc>
        <w:tc>
          <w:tcPr>
            <w:tcW w:w="626" w:type="pct"/>
            <w:tcBorders>
              <w:top w:val="nil"/>
              <w:left w:val="nil"/>
              <w:bottom w:val="nil"/>
              <w:right w:val="nil"/>
            </w:tcBorders>
            <w:shd w:val="clear" w:color="auto" w:fill="auto"/>
            <w:noWrap/>
            <w:vAlign w:val="bottom"/>
            <w:hideMark/>
          </w:tcPr>
          <w:p w14:paraId="3F8BD9D2" w14:textId="77777777" w:rsidR="001631C6" w:rsidRPr="00F77F84" w:rsidRDefault="001631C6" w:rsidP="008F5322">
            <w:pPr>
              <w:jc w:val="center"/>
              <w:rPr>
                <w:color w:val="000000"/>
                <w:sz w:val="20"/>
                <w:szCs w:val="20"/>
                <w:lang w:val="en-US"/>
              </w:rPr>
            </w:pPr>
            <w:r w:rsidRPr="00F77F84">
              <w:rPr>
                <w:color w:val="000000"/>
                <w:sz w:val="20"/>
                <w:szCs w:val="20"/>
              </w:rPr>
              <w:t xml:space="preserve"> [0.800] </w:t>
            </w:r>
          </w:p>
        </w:tc>
        <w:tc>
          <w:tcPr>
            <w:tcW w:w="502" w:type="pct"/>
            <w:tcBorders>
              <w:top w:val="nil"/>
              <w:left w:val="nil"/>
              <w:bottom w:val="nil"/>
              <w:right w:val="nil"/>
            </w:tcBorders>
            <w:shd w:val="clear" w:color="auto" w:fill="auto"/>
            <w:noWrap/>
            <w:vAlign w:val="bottom"/>
            <w:hideMark/>
          </w:tcPr>
          <w:p w14:paraId="73302B79" w14:textId="77777777" w:rsidR="001631C6" w:rsidRPr="00F77F84" w:rsidRDefault="001631C6" w:rsidP="008F5322">
            <w:pPr>
              <w:jc w:val="center"/>
              <w:rPr>
                <w:color w:val="000000"/>
                <w:sz w:val="20"/>
                <w:szCs w:val="20"/>
                <w:lang w:val="en-US"/>
              </w:rPr>
            </w:pPr>
            <w:r w:rsidRPr="00F77F84">
              <w:rPr>
                <w:color w:val="000000"/>
                <w:sz w:val="20"/>
                <w:szCs w:val="20"/>
              </w:rPr>
              <w:t xml:space="preserve"> [6.000] </w:t>
            </w:r>
          </w:p>
        </w:tc>
        <w:tc>
          <w:tcPr>
            <w:tcW w:w="538" w:type="pct"/>
            <w:tcBorders>
              <w:top w:val="nil"/>
              <w:left w:val="nil"/>
              <w:bottom w:val="nil"/>
              <w:right w:val="nil"/>
            </w:tcBorders>
            <w:shd w:val="clear" w:color="auto" w:fill="auto"/>
            <w:noWrap/>
            <w:vAlign w:val="bottom"/>
            <w:hideMark/>
          </w:tcPr>
          <w:p w14:paraId="1A00A729" w14:textId="77777777" w:rsidR="001631C6" w:rsidRPr="00F77F84" w:rsidRDefault="001631C6" w:rsidP="008F5322">
            <w:pPr>
              <w:jc w:val="center"/>
              <w:rPr>
                <w:color w:val="000000"/>
                <w:sz w:val="20"/>
                <w:szCs w:val="20"/>
                <w:lang w:val="en-US"/>
              </w:rPr>
            </w:pPr>
            <w:r w:rsidRPr="00F77F84">
              <w:rPr>
                <w:color w:val="000000"/>
                <w:sz w:val="20"/>
                <w:szCs w:val="20"/>
              </w:rPr>
              <w:t xml:space="preserve"> [1.000] </w:t>
            </w:r>
          </w:p>
        </w:tc>
        <w:tc>
          <w:tcPr>
            <w:tcW w:w="417" w:type="pct"/>
            <w:tcBorders>
              <w:top w:val="nil"/>
              <w:left w:val="nil"/>
              <w:bottom w:val="nil"/>
              <w:right w:val="nil"/>
            </w:tcBorders>
            <w:shd w:val="clear" w:color="auto" w:fill="auto"/>
            <w:noWrap/>
            <w:vAlign w:val="bottom"/>
            <w:hideMark/>
          </w:tcPr>
          <w:p w14:paraId="2619A072"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355" w:type="pct"/>
            <w:tcBorders>
              <w:top w:val="nil"/>
              <w:left w:val="nil"/>
              <w:bottom w:val="nil"/>
              <w:right w:val="nil"/>
            </w:tcBorders>
            <w:shd w:val="clear" w:color="auto" w:fill="auto"/>
            <w:noWrap/>
            <w:vAlign w:val="bottom"/>
            <w:hideMark/>
          </w:tcPr>
          <w:p w14:paraId="402CF301" w14:textId="77777777" w:rsidR="001631C6" w:rsidRPr="00F77F84" w:rsidRDefault="001631C6" w:rsidP="008F5322">
            <w:pPr>
              <w:jc w:val="center"/>
              <w:rPr>
                <w:color w:val="000000"/>
                <w:sz w:val="20"/>
                <w:szCs w:val="20"/>
                <w:lang w:val="en-US"/>
              </w:rPr>
            </w:pPr>
            <w:r w:rsidRPr="00F77F84">
              <w:rPr>
                <w:color w:val="000000"/>
                <w:sz w:val="20"/>
                <w:szCs w:val="20"/>
              </w:rPr>
              <w:t xml:space="preserve"> [8.006] </w:t>
            </w:r>
          </w:p>
        </w:tc>
        <w:tc>
          <w:tcPr>
            <w:tcW w:w="505" w:type="pct"/>
            <w:tcBorders>
              <w:top w:val="nil"/>
              <w:left w:val="nil"/>
              <w:bottom w:val="nil"/>
              <w:right w:val="nil"/>
            </w:tcBorders>
            <w:shd w:val="clear" w:color="auto" w:fill="auto"/>
            <w:noWrap/>
            <w:vAlign w:val="bottom"/>
            <w:hideMark/>
          </w:tcPr>
          <w:p w14:paraId="1773530B" w14:textId="77777777" w:rsidR="001631C6" w:rsidRPr="00F77F84" w:rsidRDefault="001631C6" w:rsidP="008F5322">
            <w:pPr>
              <w:jc w:val="center"/>
              <w:rPr>
                <w:color w:val="000000"/>
                <w:sz w:val="20"/>
                <w:szCs w:val="20"/>
                <w:lang w:val="en-US"/>
              </w:rPr>
            </w:pPr>
            <w:r w:rsidRPr="00F77F84">
              <w:rPr>
                <w:color w:val="000000"/>
                <w:sz w:val="20"/>
                <w:szCs w:val="20"/>
              </w:rPr>
              <w:t xml:space="preserve"> [750.000] </w:t>
            </w:r>
          </w:p>
        </w:tc>
        <w:tc>
          <w:tcPr>
            <w:tcW w:w="449" w:type="pct"/>
            <w:tcBorders>
              <w:top w:val="nil"/>
              <w:left w:val="nil"/>
              <w:bottom w:val="nil"/>
              <w:right w:val="nil"/>
            </w:tcBorders>
            <w:shd w:val="clear" w:color="auto" w:fill="auto"/>
            <w:noWrap/>
            <w:vAlign w:val="bottom"/>
            <w:hideMark/>
          </w:tcPr>
          <w:p w14:paraId="3E459321" w14:textId="77777777" w:rsidR="001631C6" w:rsidRPr="00F77F84" w:rsidRDefault="001631C6" w:rsidP="008F5322">
            <w:pPr>
              <w:jc w:val="center"/>
              <w:rPr>
                <w:color w:val="000000"/>
                <w:sz w:val="20"/>
                <w:szCs w:val="20"/>
                <w:lang w:val="en-US"/>
              </w:rPr>
            </w:pPr>
            <w:r w:rsidRPr="00F77F84">
              <w:rPr>
                <w:color w:val="000000"/>
                <w:sz w:val="20"/>
                <w:szCs w:val="20"/>
              </w:rPr>
              <w:t xml:space="preserve"> [22.180] </w:t>
            </w:r>
          </w:p>
        </w:tc>
      </w:tr>
      <w:tr w:rsidR="001631C6" w:rsidRPr="00F77F84" w14:paraId="40813288" w14:textId="77777777" w:rsidTr="008F5322">
        <w:trPr>
          <w:trHeight w:val="20"/>
        </w:trPr>
        <w:tc>
          <w:tcPr>
            <w:tcW w:w="607" w:type="pct"/>
            <w:tcBorders>
              <w:top w:val="nil"/>
              <w:left w:val="nil"/>
              <w:bottom w:val="nil"/>
              <w:right w:val="nil"/>
            </w:tcBorders>
            <w:shd w:val="clear" w:color="auto" w:fill="auto"/>
            <w:noWrap/>
            <w:vAlign w:val="bottom"/>
            <w:hideMark/>
          </w:tcPr>
          <w:p w14:paraId="0403BFA8" w14:textId="77777777" w:rsidR="001631C6" w:rsidRPr="00F77F84" w:rsidRDefault="001631C6" w:rsidP="008F5322">
            <w:pPr>
              <w:rPr>
                <w:color w:val="000000"/>
                <w:sz w:val="20"/>
                <w:szCs w:val="20"/>
                <w:lang w:val="en-US"/>
              </w:rPr>
            </w:pPr>
            <w:r w:rsidRPr="00F77F84">
              <w:rPr>
                <w:color w:val="000000"/>
                <w:sz w:val="20"/>
                <w:szCs w:val="20"/>
                <w:lang w:val="en-US"/>
              </w:rPr>
              <w:t>Portugal</w:t>
            </w:r>
          </w:p>
        </w:tc>
        <w:tc>
          <w:tcPr>
            <w:tcW w:w="581" w:type="pct"/>
            <w:tcBorders>
              <w:top w:val="nil"/>
              <w:left w:val="nil"/>
              <w:bottom w:val="nil"/>
              <w:right w:val="nil"/>
            </w:tcBorders>
            <w:shd w:val="clear" w:color="auto" w:fill="auto"/>
            <w:noWrap/>
            <w:vAlign w:val="bottom"/>
            <w:hideMark/>
          </w:tcPr>
          <w:p w14:paraId="1EDC4874" w14:textId="77777777" w:rsidR="001631C6" w:rsidRPr="00F77F84" w:rsidRDefault="001631C6" w:rsidP="008F5322">
            <w:pPr>
              <w:jc w:val="center"/>
              <w:rPr>
                <w:color w:val="000000"/>
                <w:sz w:val="20"/>
                <w:szCs w:val="20"/>
                <w:lang w:val="en-US"/>
              </w:rPr>
            </w:pPr>
            <w:r w:rsidRPr="00F77F84">
              <w:rPr>
                <w:color w:val="000000"/>
                <w:sz w:val="20"/>
                <w:szCs w:val="20"/>
              </w:rPr>
              <w:t xml:space="preserve">             22 </w:t>
            </w:r>
          </w:p>
        </w:tc>
        <w:tc>
          <w:tcPr>
            <w:tcW w:w="419" w:type="pct"/>
            <w:tcBorders>
              <w:top w:val="nil"/>
              <w:left w:val="nil"/>
              <w:bottom w:val="nil"/>
              <w:right w:val="nil"/>
            </w:tcBorders>
            <w:shd w:val="clear" w:color="auto" w:fill="auto"/>
            <w:noWrap/>
            <w:vAlign w:val="bottom"/>
            <w:hideMark/>
          </w:tcPr>
          <w:p w14:paraId="03D45B5E" w14:textId="77777777" w:rsidR="001631C6" w:rsidRPr="00F77F84" w:rsidRDefault="001631C6" w:rsidP="008F5322">
            <w:pPr>
              <w:jc w:val="center"/>
              <w:rPr>
                <w:color w:val="000000"/>
                <w:sz w:val="20"/>
                <w:szCs w:val="20"/>
                <w:lang w:val="en-US"/>
              </w:rPr>
            </w:pPr>
            <w:r w:rsidRPr="00F77F84">
              <w:rPr>
                <w:color w:val="000000"/>
                <w:sz w:val="20"/>
                <w:szCs w:val="20"/>
              </w:rPr>
              <w:t xml:space="preserve">     1.529 </w:t>
            </w:r>
          </w:p>
        </w:tc>
        <w:tc>
          <w:tcPr>
            <w:tcW w:w="626" w:type="pct"/>
            <w:tcBorders>
              <w:top w:val="nil"/>
              <w:left w:val="nil"/>
              <w:bottom w:val="nil"/>
              <w:right w:val="nil"/>
            </w:tcBorders>
            <w:shd w:val="clear" w:color="auto" w:fill="auto"/>
            <w:noWrap/>
            <w:vAlign w:val="bottom"/>
            <w:hideMark/>
          </w:tcPr>
          <w:p w14:paraId="04C1D4BB" w14:textId="77777777" w:rsidR="001631C6" w:rsidRPr="00F77F84" w:rsidRDefault="001631C6" w:rsidP="008F5322">
            <w:pPr>
              <w:jc w:val="center"/>
              <w:rPr>
                <w:color w:val="000000"/>
                <w:sz w:val="20"/>
                <w:szCs w:val="20"/>
                <w:lang w:val="en-US"/>
              </w:rPr>
            </w:pPr>
            <w:r w:rsidRPr="00F77F84">
              <w:rPr>
                <w:color w:val="000000"/>
                <w:sz w:val="20"/>
                <w:szCs w:val="20"/>
              </w:rPr>
              <w:t xml:space="preserve">     0.840 </w:t>
            </w:r>
          </w:p>
        </w:tc>
        <w:tc>
          <w:tcPr>
            <w:tcW w:w="502" w:type="pct"/>
            <w:tcBorders>
              <w:top w:val="nil"/>
              <w:left w:val="nil"/>
              <w:bottom w:val="nil"/>
              <w:right w:val="nil"/>
            </w:tcBorders>
            <w:shd w:val="clear" w:color="auto" w:fill="auto"/>
            <w:noWrap/>
            <w:vAlign w:val="bottom"/>
            <w:hideMark/>
          </w:tcPr>
          <w:p w14:paraId="1B0ACA86" w14:textId="77777777" w:rsidR="001631C6" w:rsidRPr="00F77F84" w:rsidRDefault="001631C6" w:rsidP="008F5322">
            <w:pPr>
              <w:jc w:val="center"/>
              <w:rPr>
                <w:color w:val="000000"/>
                <w:sz w:val="20"/>
                <w:szCs w:val="20"/>
                <w:lang w:val="en-US"/>
              </w:rPr>
            </w:pPr>
            <w:r w:rsidRPr="00F77F84">
              <w:rPr>
                <w:color w:val="000000"/>
                <w:sz w:val="20"/>
                <w:szCs w:val="20"/>
              </w:rPr>
              <w:t xml:space="preserve">     2.955 </w:t>
            </w:r>
          </w:p>
        </w:tc>
        <w:tc>
          <w:tcPr>
            <w:tcW w:w="538" w:type="pct"/>
            <w:tcBorders>
              <w:top w:val="nil"/>
              <w:left w:val="nil"/>
              <w:bottom w:val="nil"/>
              <w:right w:val="nil"/>
            </w:tcBorders>
            <w:shd w:val="clear" w:color="auto" w:fill="auto"/>
            <w:noWrap/>
            <w:vAlign w:val="bottom"/>
            <w:hideMark/>
          </w:tcPr>
          <w:p w14:paraId="08084030" w14:textId="77777777" w:rsidR="001631C6" w:rsidRPr="00F77F84" w:rsidRDefault="001631C6" w:rsidP="008F5322">
            <w:pPr>
              <w:jc w:val="center"/>
              <w:rPr>
                <w:color w:val="000000"/>
                <w:sz w:val="20"/>
                <w:szCs w:val="20"/>
                <w:lang w:val="en-US"/>
              </w:rPr>
            </w:pPr>
            <w:r w:rsidRPr="00F77F84">
              <w:rPr>
                <w:color w:val="000000"/>
                <w:sz w:val="20"/>
                <w:szCs w:val="20"/>
              </w:rPr>
              <w:t xml:space="preserve">     0.554 </w:t>
            </w:r>
          </w:p>
        </w:tc>
        <w:tc>
          <w:tcPr>
            <w:tcW w:w="417" w:type="pct"/>
            <w:tcBorders>
              <w:top w:val="nil"/>
              <w:left w:val="nil"/>
              <w:bottom w:val="nil"/>
              <w:right w:val="nil"/>
            </w:tcBorders>
            <w:shd w:val="clear" w:color="auto" w:fill="auto"/>
            <w:noWrap/>
            <w:vAlign w:val="bottom"/>
            <w:hideMark/>
          </w:tcPr>
          <w:p w14:paraId="3F932C2E" w14:textId="77777777" w:rsidR="001631C6" w:rsidRPr="00F77F84" w:rsidRDefault="001631C6" w:rsidP="008F5322">
            <w:pPr>
              <w:jc w:val="center"/>
              <w:rPr>
                <w:color w:val="000000"/>
                <w:sz w:val="20"/>
                <w:szCs w:val="20"/>
                <w:lang w:val="en-US"/>
              </w:rPr>
            </w:pPr>
            <w:r w:rsidRPr="00F77F84">
              <w:rPr>
                <w:color w:val="000000"/>
                <w:sz w:val="20"/>
                <w:szCs w:val="20"/>
              </w:rPr>
              <w:t xml:space="preserve">     7.864 </w:t>
            </w:r>
          </w:p>
        </w:tc>
        <w:tc>
          <w:tcPr>
            <w:tcW w:w="355" w:type="pct"/>
            <w:tcBorders>
              <w:top w:val="nil"/>
              <w:left w:val="nil"/>
              <w:bottom w:val="nil"/>
              <w:right w:val="nil"/>
            </w:tcBorders>
            <w:shd w:val="clear" w:color="auto" w:fill="auto"/>
            <w:noWrap/>
            <w:vAlign w:val="bottom"/>
            <w:hideMark/>
          </w:tcPr>
          <w:p w14:paraId="0C12CA23" w14:textId="77777777" w:rsidR="001631C6" w:rsidRPr="00F77F84" w:rsidRDefault="001631C6" w:rsidP="008F5322">
            <w:pPr>
              <w:jc w:val="center"/>
              <w:rPr>
                <w:color w:val="000000"/>
                <w:sz w:val="20"/>
                <w:szCs w:val="20"/>
                <w:lang w:val="en-US"/>
              </w:rPr>
            </w:pPr>
            <w:r w:rsidRPr="00F77F84">
              <w:rPr>
                <w:color w:val="000000"/>
                <w:sz w:val="20"/>
                <w:szCs w:val="20"/>
              </w:rPr>
              <w:t xml:space="preserve">     6.956 </w:t>
            </w:r>
          </w:p>
        </w:tc>
        <w:tc>
          <w:tcPr>
            <w:tcW w:w="505" w:type="pct"/>
            <w:tcBorders>
              <w:top w:val="nil"/>
              <w:left w:val="nil"/>
              <w:bottom w:val="nil"/>
              <w:right w:val="nil"/>
            </w:tcBorders>
            <w:shd w:val="clear" w:color="auto" w:fill="auto"/>
            <w:noWrap/>
            <w:vAlign w:val="bottom"/>
            <w:hideMark/>
          </w:tcPr>
          <w:p w14:paraId="47E169FF" w14:textId="77777777" w:rsidR="001631C6" w:rsidRPr="00F77F84" w:rsidRDefault="001631C6" w:rsidP="008F5322">
            <w:pPr>
              <w:jc w:val="center"/>
              <w:rPr>
                <w:color w:val="000000"/>
                <w:sz w:val="20"/>
                <w:szCs w:val="20"/>
                <w:lang w:val="en-US"/>
              </w:rPr>
            </w:pPr>
            <w:r w:rsidRPr="00F77F84">
              <w:rPr>
                <w:color w:val="000000"/>
                <w:sz w:val="20"/>
                <w:szCs w:val="20"/>
              </w:rPr>
              <w:t xml:space="preserve">  622.727 </w:t>
            </w:r>
          </w:p>
        </w:tc>
        <w:tc>
          <w:tcPr>
            <w:tcW w:w="449" w:type="pct"/>
            <w:tcBorders>
              <w:top w:val="nil"/>
              <w:left w:val="nil"/>
              <w:bottom w:val="nil"/>
              <w:right w:val="nil"/>
            </w:tcBorders>
            <w:shd w:val="clear" w:color="auto" w:fill="auto"/>
            <w:noWrap/>
            <w:vAlign w:val="bottom"/>
            <w:hideMark/>
          </w:tcPr>
          <w:p w14:paraId="2DAC27D7" w14:textId="77777777" w:rsidR="001631C6" w:rsidRPr="00F77F84" w:rsidRDefault="001631C6" w:rsidP="008F5322">
            <w:pPr>
              <w:jc w:val="center"/>
              <w:rPr>
                <w:color w:val="000000"/>
                <w:sz w:val="20"/>
                <w:szCs w:val="20"/>
                <w:lang w:val="en-US"/>
              </w:rPr>
            </w:pPr>
            <w:r w:rsidRPr="00F77F84">
              <w:rPr>
                <w:color w:val="000000"/>
                <w:sz w:val="20"/>
                <w:szCs w:val="20"/>
              </w:rPr>
              <w:t xml:space="preserve">    17.795 </w:t>
            </w:r>
          </w:p>
        </w:tc>
      </w:tr>
      <w:tr w:rsidR="001631C6" w:rsidRPr="00F77F84" w14:paraId="6C823E06" w14:textId="77777777" w:rsidTr="008F5322">
        <w:trPr>
          <w:trHeight w:val="20"/>
        </w:trPr>
        <w:tc>
          <w:tcPr>
            <w:tcW w:w="607" w:type="pct"/>
            <w:tcBorders>
              <w:top w:val="nil"/>
              <w:left w:val="nil"/>
              <w:bottom w:val="nil"/>
              <w:right w:val="nil"/>
            </w:tcBorders>
            <w:shd w:val="clear" w:color="auto" w:fill="auto"/>
            <w:noWrap/>
            <w:vAlign w:val="bottom"/>
            <w:hideMark/>
          </w:tcPr>
          <w:p w14:paraId="377C5390"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379E9215"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5956F024" w14:textId="77777777" w:rsidR="001631C6" w:rsidRPr="00F77F84" w:rsidRDefault="001631C6" w:rsidP="008F5322">
            <w:pPr>
              <w:jc w:val="center"/>
              <w:rPr>
                <w:color w:val="000000"/>
                <w:sz w:val="20"/>
                <w:szCs w:val="20"/>
                <w:lang w:val="en-US"/>
              </w:rPr>
            </w:pPr>
            <w:r w:rsidRPr="00F77F84">
              <w:rPr>
                <w:color w:val="000000"/>
                <w:sz w:val="20"/>
                <w:szCs w:val="20"/>
              </w:rPr>
              <w:t xml:space="preserve"> [1.165] </w:t>
            </w:r>
          </w:p>
        </w:tc>
        <w:tc>
          <w:tcPr>
            <w:tcW w:w="626" w:type="pct"/>
            <w:tcBorders>
              <w:top w:val="nil"/>
              <w:left w:val="nil"/>
              <w:bottom w:val="nil"/>
              <w:right w:val="nil"/>
            </w:tcBorders>
            <w:shd w:val="clear" w:color="auto" w:fill="auto"/>
            <w:noWrap/>
            <w:vAlign w:val="bottom"/>
            <w:hideMark/>
          </w:tcPr>
          <w:p w14:paraId="77477DFA" w14:textId="77777777" w:rsidR="001631C6" w:rsidRPr="00F77F84" w:rsidRDefault="001631C6" w:rsidP="008F5322">
            <w:pPr>
              <w:jc w:val="center"/>
              <w:rPr>
                <w:color w:val="000000"/>
                <w:sz w:val="20"/>
                <w:szCs w:val="20"/>
                <w:lang w:val="en-US"/>
              </w:rPr>
            </w:pPr>
            <w:r w:rsidRPr="00F77F84">
              <w:rPr>
                <w:color w:val="000000"/>
                <w:sz w:val="20"/>
                <w:szCs w:val="20"/>
              </w:rPr>
              <w:t xml:space="preserve"> [0.833] </w:t>
            </w:r>
          </w:p>
        </w:tc>
        <w:tc>
          <w:tcPr>
            <w:tcW w:w="502" w:type="pct"/>
            <w:tcBorders>
              <w:top w:val="nil"/>
              <w:left w:val="nil"/>
              <w:bottom w:val="nil"/>
              <w:right w:val="nil"/>
            </w:tcBorders>
            <w:shd w:val="clear" w:color="auto" w:fill="auto"/>
            <w:noWrap/>
            <w:vAlign w:val="bottom"/>
            <w:hideMark/>
          </w:tcPr>
          <w:p w14:paraId="0CB8C50D" w14:textId="77777777" w:rsidR="001631C6" w:rsidRPr="00F77F84" w:rsidRDefault="001631C6" w:rsidP="008F5322">
            <w:pPr>
              <w:jc w:val="center"/>
              <w:rPr>
                <w:color w:val="000000"/>
                <w:sz w:val="20"/>
                <w:szCs w:val="20"/>
                <w:lang w:val="en-US"/>
              </w:rPr>
            </w:pPr>
            <w:r w:rsidRPr="00F77F84">
              <w:rPr>
                <w:color w:val="000000"/>
                <w:sz w:val="20"/>
                <w:szCs w:val="20"/>
              </w:rPr>
              <w:t xml:space="preserve"> [3.000] </w:t>
            </w:r>
          </w:p>
        </w:tc>
        <w:tc>
          <w:tcPr>
            <w:tcW w:w="538" w:type="pct"/>
            <w:tcBorders>
              <w:top w:val="nil"/>
              <w:left w:val="nil"/>
              <w:bottom w:val="nil"/>
              <w:right w:val="nil"/>
            </w:tcBorders>
            <w:shd w:val="clear" w:color="auto" w:fill="auto"/>
            <w:noWrap/>
            <w:vAlign w:val="bottom"/>
            <w:hideMark/>
          </w:tcPr>
          <w:p w14:paraId="276C467C" w14:textId="77777777" w:rsidR="001631C6" w:rsidRPr="00F77F84" w:rsidRDefault="001631C6" w:rsidP="008F5322">
            <w:pPr>
              <w:jc w:val="center"/>
              <w:rPr>
                <w:color w:val="000000"/>
                <w:sz w:val="20"/>
                <w:szCs w:val="20"/>
                <w:lang w:val="en-US"/>
              </w:rPr>
            </w:pPr>
            <w:r w:rsidRPr="00F77F84">
              <w:rPr>
                <w:color w:val="000000"/>
                <w:sz w:val="20"/>
                <w:szCs w:val="20"/>
              </w:rPr>
              <w:t xml:space="preserve"> [0.550] </w:t>
            </w:r>
          </w:p>
        </w:tc>
        <w:tc>
          <w:tcPr>
            <w:tcW w:w="417" w:type="pct"/>
            <w:tcBorders>
              <w:top w:val="nil"/>
              <w:left w:val="nil"/>
              <w:bottom w:val="nil"/>
              <w:right w:val="nil"/>
            </w:tcBorders>
            <w:shd w:val="clear" w:color="auto" w:fill="auto"/>
            <w:noWrap/>
            <w:vAlign w:val="bottom"/>
            <w:hideMark/>
          </w:tcPr>
          <w:p w14:paraId="7FD8D6D0"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355" w:type="pct"/>
            <w:tcBorders>
              <w:top w:val="nil"/>
              <w:left w:val="nil"/>
              <w:bottom w:val="nil"/>
              <w:right w:val="nil"/>
            </w:tcBorders>
            <w:shd w:val="clear" w:color="auto" w:fill="auto"/>
            <w:noWrap/>
            <w:vAlign w:val="bottom"/>
            <w:hideMark/>
          </w:tcPr>
          <w:p w14:paraId="3CB5EC9D" w14:textId="77777777" w:rsidR="001631C6" w:rsidRPr="00F77F84" w:rsidRDefault="001631C6" w:rsidP="008F5322">
            <w:pPr>
              <w:jc w:val="center"/>
              <w:rPr>
                <w:color w:val="000000"/>
                <w:sz w:val="20"/>
                <w:szCs w:val="20"/>
                <w:lang w:val="en-US"/>
              </w:rPr>
            </w:pPr>
            <w:r w:rsidRPr="00F77F84">
              <w:rPr>
                <w:color w:val="000000"/>
                <w:sz w:val="20"/>
                <w:szCs w:val="20"/>
              </w:rPr>
              <w:t xml:space="preserve"> [5.790] </w:t>
            </w:r>
          </w:p>
        </w:tc>
        <w:tc>
          <w:tcPr>
            <w:tcW w:w="505" w:type="pct"/>
            <w:tcBorders>
              <w:top w:val="nil"/>
              <w:left w:val="nil"/>
              <w:bottom w:val="nil"/>
              <w:right w:val="nil"/>
            </w:tcBorders>
            <w:shd w:val="clear" w:color="auto" w:fill="auto"/>
            <w:noWrap/>
            <w:vAlign w:val="bottom"/>
            <w:hideMark/>
          </w:tcPr>
          <w:p w14:paraId="2A43110A" w14:textId="77777777" w:rsidR="001631C6" w:rsidRPr="00F77F84" w:rsidRDefault="001631C6" w:rsidP="008F5322">
            <w:pPr>
              <w:jc w:val="center"/>
              <w:rPr>
                <w:color w:val="000000"/>
                <w:sz w:val="20"/>
                <w:szCs w:val="20"/>
                <w:lang w:val="en-US"/>
              </w:rPr>
            </w:pPr>
            <w:r w:rsidRPr="00F77F84">
              <w:rPr>
                <w:color w:val="000000"/>
                <w:sz w:val="20"/>
                <w:szCs w:val="20"/>
              </w:rPr>
              <w:t xml:space="preserve"> [500.000] </w:t>
            </w:r>
          </w:p>
        </w:tc>
        <w:tc>
          <w:tcPr>
            <w:tcW w:w="449" w:type="pct"/>
            <w:tcBorders>
              <w:top w:val="nil"/>
              <w:left w:val="nil"/>
              <w:bottom w:val="nil"/>
              <w:right w:val="nil"/>
            </w:tcBorders>
            <w:shd w:val="clear" w:color="auto" w:fill="auto"/>
            <w:noWrap/>
            <w:vAlign w:val="bottom"/>
            <w:hideMark/>
          </w:tcPr>
          <w:p w14:paraId="69F1637A" w14:textId="77777777" w:rsidR="001631C6" w:rsidRPr="00F77F84" w:rsidRDefault="001631C6" w:rsidP="008F5322">
            <w:pPr>
              <w:jc w:val="center"/>
              <w:rPr>
                <w:color w:val="000000"/>
                <w:sz w:val="20"/>
                <w:szCs w:val="20"/>
                <w:lang w:val="en-US"/>
              </w:rPr>
            </w:pPr>
            <w:r w:rsidRPr="00F77F84">
              <w:rPr>
                <w:color w:val="000000"/>
                <w:sz w:val="20"/>
                <w:szCs w:val="20"/>
              </w:rPr>
              <w:t xml:space="preserve"> [14.087] </w:t>
            </w:r>
          </w:p>
        </w:tc>
      </w:tr>
      <w:tr w:rsidR="001631C6" w:rsidRPr="00F77F84" w14:paraId="4AA0D266" w14:textId="77777777" w:rsidTr="008F5322">
        <w:trPr>
          <w:trHeight w:val="20"/>
        </w:trPr>
        <w:tc>
          <w:tcPr>
            <w:tcW w:w="607" w:type="pct"/>
            <w:tcBorders>
              <w:top w:val="nil"/>
              <w:left w:val="nil"/>
              <w:bottom w:val="nil"/>
              <w:right w:val="nil"/>
            </w:tcBorders>
            <w:shd w:val="clear" w:color="auto" w:fill="auto"/>
            <w:noWrap/>
            <w:vAlign w:val="bottom"/>
            <w:hideMark/>
          </w:tcPr>
          <w:p w14:paraId="5B924BF0" w14:textId="77777777" w:rsidR="001631C6" w:rsidRPr="00F77F84" w:rsidRDefault="001631C6" w:rsidP="008F5322">
            <w:pPr>
              <w:rPr>
                <w:color w:val="000000"/>
                <w:sz w:val="20"/>
                <w:szCs w:val="20"/>
                <w:lang w:val="en-US"/>
              </w:rPr>
            </w:pPr>
            <w:r w:rsidRPr="00F77F84">
              <w:rPr>
                <w:color w:val="000000"/>
                <w:sz w:val="20"/>
                <w:szCs w:val="20"/>
                <w:lang w:val="en-US"/>
              </w:rPr>
              <w:t>Spain</w:t>
            </w:r>
          </w:p>
        </w:tc>
        <w:tc>
          <w:tcPr>
            <w:tcW w:w="581" w:type="pct"/>
            <w:tcBorders>
              <w:top w:val="nil"/>
              <w:left w:val="nil"/>
              <w:bottom w:val="nil"/>
              <w:right w:val="nil"/>
            </w:tcBorders>
            <w:shd w:val="clear" w:color="auto" w:fill="auto"/>
            <w:noWrap/>
            <w:vAlign w:val="bottom"/>
            <w:hideMark/>
          </w:tcPr>
          <w:p w14:paraId="1678156D" w14:textId="77777777" w:rsidR="001631C6" w:rsidRPr="00F77F84" w:rsidRDefault="001631C6" w:rsidP="008F5322">
            <w:pPr>
              <w:jc w:val="center"/>
              <w:rPr>
                <w:color w:val="000000"/>
                <w:sz w:val="20"/>
                <w:szCs w:val="20"/>
                <w:lang w:val="en-US"/>
              </w:rPr>
            </w:pPr>
            <w:r w:rsidRPr="00F77F84">
              <w:rPr>
                <w:color w:val="000000"/>
                <w:sz w:val="20"/>
                <w:szCs w:val="20"/>
              </w:rPr>
              <w:t xml:space="preserve">           162 </w:t>
            </w:r>
          </w:p>
        </w:tc>
        <w:tc>
          <w:tcPr>
            <w:tcW w:w="419" w:type="pct"/>
            <w:tcBorders>
              <w:top w:val="nil"/>
              <w:left w:val="nil"/>
              <w:bottom w:val="nil"/>
              <w:right w:val="nil"/>
            </w:tcBorders>
            <w:shd w:val="clear" w:color="auto" w:fill="auto"/>
            <w:noWrap/>
            <w:vAlign w:val="bottom"/>
            <w:hideMark/>
          </w:tcPr>
          <w:p w14:paraId="17DAA4E8" w14:textId="77777777" w:rsidR="001631C6" w:rsidRPr="00F77F84" w:rsidRDefault="001631C6" w:rsidP="008F5322">
            <w:pPr>
              <w:jc w:val="center"/>
              <w:rPr>
                <w:color w:val="000000"/>
                <w:sz w:val="20"/>
                <w:szCs w:val="20"/>
                <w:lang w:val="en-US"/>
              </w:rPr>
            </w:pPr>
            <w:r w:rsidRPr="00F77F84">
              <w:rPr>
                <w:color w:val="000000"/>
                <w:sz w:val="20"/>
                <w:szCs w:val="20"/>
              </w:rPr>
              <w:t xml:space="preserve">     1.439 </w:t>
            </w:r>
          </w:p>
        </w:tc>
        <w:tc>
          <w:tcPr>
            <w:tcW w:w="626" w:type="pct"/>
            <w:tcBorders>
              <w:top w:val="nil"/>
              <w:left w:val="nil"/>
              <w:bottom w:val="nil"/>
              <w:right w:val="nil"/>
            </w:tcBorders>
            <w:shd w:val="clear" w:color="auto" w:fill="auto"/>
            <w:noWrap/>
            <w:vAlign w:val="bottom"/>
            <w:hideMark/>
          </w:tcPr>
          <w:p w14:paraId="39F51580" w14:textId="77777777" w:rsidR="001631C6" w:rsidRPr="00F77F84" w:rsidRDefault="001631C6" w:rsidP="008F5322">
            <w:pPr>
              <w:jc w:val="center"/>
              <w:rPr>
                <w:color w:val="000000"/>
                <w:sz w:val="20"/>
                <w:szCs w:val="20"/>
                <w:lang w:val="en-US"/>
              </w:rPr>
            </w:pPr>
            <w:r w:rsidRPr="00F77F84">
              <w:rPr>
                <w:color w:val="000000"/>
                <w:sz w:val="20"/>
                <w:szCs w:val="20"/>
              </w:rPr>
              <w:t xml:space="preserve">     0.779 </w:t>
            </w:r>
          </w:p>
        </w:tc>
        <w:tc>
          <w:tcPr>
            <w:tcW w:w="502" w:type="pct"/>
            <w:tcBorders>
              <w:top w:val="nil"/>
              <w:left w:val="nil"/>
              <w:bottom w:val="nil"/>
              <w:right w:val="nil"/>
            </w:tcBorders>
            <w:shd w:val="clear" w:color="auto" w:fill="auto"/>
            <w:noWrap/>
            <w:vAlign w:val="bottom"/>
            <w:hideMark/>
          </w:tcPr>
          <w:p w14:paraId="0A469257" w14:textId="77777777" w:rsidR="001631C6" w:rsidRPr="00F77F84" w:rsidRDefault="001631C6" w:rsidP="008F5322">
            <w:pPr>
              <w:jc w:val="center"/>
              <w:rPr>
                <w:color w:val="000000"/>
                <w:sz w:val="20"/>
                <w:szCs w:val="20"/>
                <w:lang w:val="en-US"/>
              </w:rPr>
            </w:pPr>
            <w:r w:rsidRPr="00F77F84">
              <w:rPr>
                <w:color w:val="000000"/>
                <w:sz w:val="20"/>
                <w:szCs w:val="20"/>
              </w:rPr>
              <w:t xml:space="preserve">    10.321 </w:t>
            </w:r>
          </w:p>
        </w:tc>
        <w:tc>
          <w:tcPr>
            <w:tcW w:w="538" w:type="pct"/>
            <w:tcBorders>
              <w:top w:val="nil"/>
              <w:left w:val="nil"/>
              <w:bottom w:val="nil"/>
              <w:right w:val="nil"/>
            </w:tcBorders>
            <w:shd w:val="clear" w:color="auto" w:fill="auto"/>
            <w:noWrap/>
            <w:vAlign w:val="bottom"/>
            <w:hideMark/>
          </w:tcPr>
          <w:p w14:paraId="5068C7FB" w14:textId="77777777" w:rsidR="001631C6" w:rsidRPr="00F77F84" w:rsidRDefault="001631C6" w:rsidP="008F5322">
            <w:pPr>
              <w:jc w:val="center"/>
              <w:rPr>
                <w:color w:val="000000"/>
                <w:sz w:val="20"/>
                <w:szCs w:val="20"/>
                <w:lang w:val="en-US"/>
              </w:rPr>
            </w:pPr>
            <w:r w:rsidRPr="00F77F84">
              <w:rPr>
                <w:color w:val="000000"/>
                <w:sz w:val="20"/>
                <w:szCs w:val="20"/>
              </w:rPr>
              <w:t xml:space="preserve">     0.690 </w:t>
            </w:r>
          </w:p>
        </w:tc>
        <w:tc>
          <w:tcPr>
            <w:tcW w:w="417" w:type="pct"/>
            <w:tcBorders>
              <w:top w:val="nil"/>
              <w:left w:val="nil"/>
              <w:bottom w:val="nil"/>
              <w:right w:val="nil"/>
            </w:tcBorders>
            <w:shd w:val="clear" w:color="auto" w:fill="auto"/>
            <w:noWrap/>
            <w:vAlign w:val="bottom"/>
            <w:hideMark/>
          </w:tcPr>
          <w:p w14:paraId="5ECCC0BF" w14:textId="77777777" w:rsidR="001631C6" w:rsidRPr="00F77F84" w:rsidRDefault="001631C6" w:rsidP="008F5322">
            <w:pPr>
              <w:jc w:val="center"/>
              <w:rPr>
                <w:color w:val="000000"/>
                <w:sz w:val="20"/>
                <w:szCs w:val="20"/>
                <w:lang w:val="en-US"/>
              </w:rPr>
            </w:pPr>
            <w:r w:rsidRPr="00F77F84">
              <w:rPr>
                <w:color w:val="000000"/>
                <w:sz w:val="20"/>
                <w:szCs w:val="20"/>
              </w:rPr>
              <w:t xml:space="preserve">     8.574 </w:t>
            </w:r>
          </w:p>
        </w:tc>
        <w:tc>
          <w:tcPr>
            <w:tcW w:w="355" w:type="pct"/>
            <w:tcBorders>
              <w:top w:val="nil"/>
              <w:left w:val="nil"/>
              <w:bottom w:val="nil"/>
              <w:right w:val="nil"/>
            </w:tcBorders>
            <w:shd w:val="clear" w:color="auto" w:fill="auto"/>
            <w:noWrap/>
            <w:vAlign w:val="bottom"/>
            <w:hideMark/>
          </w:tcPr>
          <w:p w14:paraId="700B540C" w14:textId="77777777" w:rsidR="001631C6" w:rsidRPr="00F77F84" w:rsidRDefault="001631C6" w:rsidP="008F5322">
            <w:pPr>
              <w:jc w:val="center"/>
              <w:rPr>
                <w:color w:val="000000"/>
                <w:sz w:val="20"/>
                <w:szCs w:val="20"/>
                <w:lang w:val="en-US"/>
              </w:rPr>
            </w:pPr>
            <w:r w:rsidRPr="00F77F84">
              <w:rPr>
                <w:color w:val="000000"/>
                <w:sz w:val="20"/>
                <w:szCs w:val="20"/>
              </w:rPr>
              <w:t xml:space="preserve">     7.602 </w:t>
            </w:r>
          </w:p>
        </w:tc>
        <w:tc>
          <w:tcPr>
            <w:tcW w:w="505" w:type="pct"/>
            <w:tcBorders>
              <w:top w:val="nil"/>
              <w:left w:val="nil"/>
              <w:bottom w:val="nil"/>
              <w:right w:val="nil"/>
            </w:tcBorders>
            <w:shd w:val="clear" w:color="auto" w:fill="auto"/>
            <w:noWrap/>
            <w:vAlign w:val="bottom"/>
            <w:hideMark/>
          </w:tcPr>
          <w:p w14:paraId="7DA44971" w14:textId="77777777" w:rsidR="001631C6" w:rsidRPr="00F77F84" w:rsidRDefault="001631C6" w:rsidP="008F5322">
            <w:pPr>
              <w:jc w:val="center"/>
              <w:rPr>
                <w:color w:val="000000"/>
                <w:sz w:val="20"/>
                <w:szCs w:val="20"/>
                <w:lang w:val="en-US"/>
              </w:rPr>
            </w:pPr>
            <w:r w:rsidRPr="00F77F84">
              <w:rPr>
                <w:color w:val="000000"/>
                <w:sz w:val="20"/>
                <w:szCs w:val="20"/>
              </w:rPr>
              <w:t xml:space="preserve">  792.994 </w:t>
            </w:r>
          </w:p>
        </w:tc>
        <w:tc>
          <w:tcPr>
            <w:tcW w:w="449" w:type="pct"/>
            <w:tcBorders>
              <w:top w:val="nil"/>
              <w:left w:val="nil"/>
              <w:bottom w:val="nil"/>
              <w:right w:val="nil"/>
            </w:tcBorders>
            <w:shd w:val="clear" w:color="auto" w:fill="auto"/>
            <w:noWrap/>
            <w:vAlign w:val="bottom"/>
            <w:hideMark/>
          </w:tcPr>
          <w:p w14:paraId="22A26246" w14:textId="77777777" w:rsidR="001631C6" w:rsidRPr="00F77F84" w:rsidRDefault="001631C6" w:rsidP="008F5322">
            <w:pPr>
              <w:jc w:val="center"/>
              <w:rPr>
                <w:color w:val="000000"/>
                <w:sz w:val="20"/>
                <w:szCs w:val="20"/>
                <w:lang w:val="en-US"/>
              </w:rPr>
            </w:pPr>
            <w:r w:rsidRPr="00F77F84">
              <w:rPr>
                <w:color w:val="000000"/>
                <w:sz w:val="20"/>
                <w:szCs w:val="20"/>
              </w:rPr>
              <w:t xml:space="preserve">    53.763 </w:t>
            </w:r>
          </w:p>
        </w:tc>
      </w:tr>
      <w:tr w:rsidR="001631C6" w:rsidRPr="00F77F84" w14:paraId="76F5A29B" w14:textId="77777777" w:rsidTr="008F5322">
        <w:trPr>
          <w:trHeight w:val="20"/>
        </w:trPr>
        <w:tc>
          <w:tcPr>
            <w:tcW w:w="607" w:type="pct"/>
            <w:tcBorders>
              <w:top w:val="nil"/>
              <w:left w:val="nil"/>
              <w:bottom w:val="nil"/>
              <w:right w:val="nil"/>
            </w:tcBorders>
            <w:shd w:val="clear" w:color="auto" w:fill="auto"/>
            <w:noWrap/>
            <w:vAlign w:val="bottom"/>
            <w:hideMark/>
          </w:tcPr>
          <w:p w14:paraId="16B46B06"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227A8219"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50DDC668" w14:textId="77777777" w:rsidR="001631C6" w:rsidRPr="00F77F84" w:rsidRDefault="001631C6" w:rsidP="008F5322">
            <w:pPr>
              <w:jc w:val="center"/>
              <w:rPr>
                <w:color w:val="000000"/>
                <w:sz w:val="20"/>
                <w:szCs w:val="20"/>
                <w:lang w:val="en-US"/>
              </w:rPr>
            </w:pPr>
            <w:r w:rsidRPr="00F77F84">
              <w:rPr>
                <w:color w:val="000000"/>
                <w:sz w:val="20"/>
                <w:szCs w:val="20"/>
              </w:rPr>
              <w:t xml:space="preserve"> [1.100] </w:t>
            </w:r>
          </w:p>
        </w:tc>
        <w:tc>
          <w:tcPr>
            <w:tcW w:w="626" w:type="pct"/>
            <w:tcBorders>
              <w:top w:val="nil"/>
              <w:left w:val="nil"/>
              <w:bottom w:val="nil"/>
              <w:right w:val="nil"/>
            </w:tcBorders>
            <w:shd w:val="clear" w:color="auto" w:fill="auto"/>
            <w:noWrap/>
            <w:vAlign w:val="bottom"/>
            <w:hideMark/>
          </w:tcPr>
          <w:p w14:paraId="67116F00" w14:textId="77777777" w:rsidR="001631C6" w:rsidRPr="00F77F84" w:rsidRDefault="001631C6" w:rsidP="008F5322">
            <w:pPr>
              <w:jc w:val="center"/>
              <w:rPr>
                <w:color w:val="000000"/>
                <w:sz w:val="20"/>
                <w:szCs w:val="20"/>
                <w:lang w:val="en-US"/>
              </w:rPr>
            </w:pPr>
            <w:r w:rsidRPr="00F77F84">
              <w:rPr>
                <w:color w:val="000000"/>
                <w:sz w:val="20"/>
                <w:szCs w:val="20"/>
              </w:rPr>
              <w:t xml:space="preserve"> [0.767] </w:t>
            </w:r>
          </w:p>
        </w:tc>
        <w:tc>
          <w:tcPr>
            <w:tcW w:w="502" w:type="pct"/>
            <w:tcBorders>
              <w:top w:val="nil"/>
              <w:left w:val="nil"/>
              <w:bottom w:val="nil"/>
              <w:right w:val="nil"/>
            </w:tcBorders>
            <w:shd w:val="clear" w:color="auto" w:fill="auto"/>
            <w:noWrap/>
            <w:vAlign w:val="bottom"/>
            <w:hideMark/>
          </w:tcPr>
          <w:p w14:paraId="22DC506F"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538" w:type="pct"/>
            <w:tcBorders>
              <w:top w:val="nil"/>
              <w:left w:val="nil"/>
              <w:bottom w:val="nil"/>
              <w:right w:val="nil"/>
            </w:tcBorders>
            <w:shd w:val="clear" w:color="auto" w:fill="auto"/>
            <w:noWrap/>
            <w:vAlign w:val="bottom"/>
            <w:hideMark/>
          </w:tcPr>
          <w:p w14:paraId="79066858" w14:textId="77777777" w:rsidR="001631C6" w:rsidRPr="00F77F84" w:rsidRDefault="001631C6" w:rsidP="008F5322">
            <w:pPr>
              <w:jc w:val="center"/>
              <w:rPr>
                <w:color w:val="000000"/>
                <w:sz w:val="20"/>
                <w:szCs w:val="20"/>
                <w:lang w:val="en-US"/>
              </w:rPr>
            </w:pPr>
            <w:r w:rsidRPr="00F77F84">
              <w:rPr>
                <w:color w:val="000000"/>
                <w:sz w:val="20"/>
                <w:szCs w:val="20"/>
              </w:rPr>
              <w:t xml:space="preserve"> [0.800] </w:t>
            </w:r>
          </w:p>
        </w:tc>
        <w:tc>
          <w:tcPr>
            <w:tcW w:w="417" w:type="pct"/>
            <w:tcBorders>
              <w:top w:val="nil"/>
              <w:left w:val="nil"/>
              <w:bottom w:val="nil"/>
              <w:right w:val="nil"/>
            </w:tcBorders>
            <w:shd w:val="clear" w:color="auto" w:fill="auto"/>
            <w:noWrap/>
            <w:vAlign w:val="bottom"/>
            <w:hideMark/>
          </w:tcPr>
          <w:p w14:paraId="05DDF6C0" w14:textId="77777777" w:rsidR="001631C6" w:rsidRPr="00F77F84" w:rsidRDefault="001631C6" w:rsidP="008F5322">
            <w:pPr>
              <w:jc w:val="center"/>
              <w:rPr>
                <w:color w:val="000000"/>
                <w:sz w:val="20"/>
                <w:szCs w:val="20"/>
                <w:lang w:val="en-US"/>
              </w:rPr>
            </w:pPr>
            <w:r w:rsidRPr="00F77F84">
              <w:rPr>
                <w:color w:val="000000"/>
                <w:sz w:val="20"/>
                <w:szCs w:val="20"/>
              </w:rPr>
              <w:t xml:space="preserve"> [9.000] </w:t>
            </w:r>
          </w:p>
        </w:tc>
        <w:tc>
          <w:tcPr>
            <w:tcW w:w="355" w:type="pct"/>
            <w:tcBorders>
              <w:top w:val="nil"/>
              <w:left w:val="nil"/>
              <w:bottom w:val="nil"/>
              <w:right w:val="nil"/>
            </w:tcBorders>
            <w:shd w:val="clear" w:color="auto" w:fill="auto"/>
            <w:noWrap/>
            <w:vAlign w:val="bottom"/>
            <w:hideMark/>
          </w:tcPr>
          <w:p w14:paraId="2F4FE41D" w14:textId="77777777" w:rsidR="001631C6" w:rsidRPr="00F77F84" w:rsidRDefault="001631C6" w:rsidP="008F5322">
            <w:pPr>
              <w:jc w:val="center"/>
              <w:rPr>
                <w:color w:val="000000"/>
                <w:sz w:val="20"/>
                <w:szCs w:val="20"/>
                <w:lang w:val="en-US"/>
              </w:rPr>
            </w:pPr>
            <w:r w:rsidRPr="00F77F84">
              <w:rPr>
                <w:color w:val="000000"/>
                <w:sz w:val="20"/>
                <w:szCs w:val="20"/>
              </w:rPr>
              <w:t xml:space="preserve"> [7.296] </w:t>
            </w:r>
          </w:p>
        </w:tc>
        <w:tc>
          <w:tcPr>
            <w:tcW w:w="505" w:type="pct"/>
            <w:tcBorders>
              <w:top w:val="nil"/>
              <w:left w:val="nil"/>
              <w:bottom w:val="nil"/>
              <w:right w:val="nil"/>
            </w:tcBorders>
            <w:shd w:val="clear" w:color="auto" w:fill="auto"/>
            <w:noWrap/>
            <w:vAlign w:val="bottom"/>
            <w:hideMark/>
          </w:tcPr>
          <w:p w14:paraId="26EF0780" w14:textId="77777777" w:rsidR="001631C6" w:rsidRPr="00F77F84" w:rsidRDefault="001631C6" w:rsidP="008F5322">
            <w:pPr>
              <w:jc w:val="center"/>
              <w:rPr>
                <w:color w:val="000000"/>
                <w:sz w:val="20"/>
                <w:szCs w:val="20"/>
                <w:lang w:val="en-US"/>
              </w:rPr>
            </w:pPr>
            <w:r w:rsidRPr="00F77F84">
              <w:rPr>
                <w:color w:val="000000"/>
                <w:sz w:val="20"/>
                <w:szCs w:val="20"/>
              </w:rPr>
              <w:t xml:space="preserve"> [750.000] </w:t>
            </w:r>
          </w:p>
        </w:tc>
        <w:tc>
          <w:tcPr>
            <w:tcW w:w="449" w:type="pct"/>
            <w:tcBorders>
              <w:top w:val="nil"/>
              <w:left w:val="nil"/>
              <w:bottom w:val="nil"/>
              <w:right w:val="nil"/>
            </w:tcBorders>
            <w:shd w:val="clear" w:color="auto" w:fill="auto"/>
            <w:noWrap/>
            <w:vAlign w:val="bottom"/>
            <w:hideMark/>
          </w:tcPr>
          <w:p w14:paraId="3AFF809C" w14:textId="77777777" w:rsidR="001631C6" w:rsidRPr="00F77F84" w:rsidRDefault="001631C6" w:rsidP="008F5322">
            <w:pPr>
              <w:jc w:val="center"/>
              <w:rPr>
                <w:color w:val="000000"/>
                <w:sz w:val="20"/>
                <w:szCs w:val="20"/>
                <w:lang w:val="en-US"/>
              </w:rPr>
            </w:pPr>
            <w:r w:rsidRPr="00F77F84">
              <w:rPr>
                <w:color w:val="000000"/>
                <w:sz w:val="20"/>
                <w:szCs w:val="20"/>
              </w:rPr>
              <w:t xml:space="preserve"> [45.851] </w:t>
            </w:r>
          </w:p>
        </w:tc>
      </w:tr>
      <w:tr w:rsidR="001631C6" w:rsidRPr="00F77F84" w14:paraId="6370AD28" w14:textId="77777777" w:rsidTr="008F5322">
        <w:trPr>
          <w:trHeight w:val="20"/>
        </w:trPr>
        <w:tc>
          <w:tcPr>
            <w:tcW w:w="607" w:type="pct"/>
            <w:tcBorders>
              <w:top w:val="nil"/>
              <w:left w:val="nil"/>
              <w:bottom w:val="nil"/>
              <w:right w:val="nil"/>
            </w:tcBorders>
            <w:shd w:val="clear" w:color="auto" w:fill="auto"/>
            <w:noWrap/>
            <w:vAlign w:val="bottom"/>
            <w:hideMark/>
          </w:tcPr>
          <w:p w14:paraId="486C0E84" w14:textId="77777777" w:rsidR="001631C6" w:rsidRPr="00F77F84" w:rsidRDefault="001631C6" w:rsidP="008F5322">
            <w:pPr>
              <w:rPr>
                <w:color w:val="000000"/>
                <w:sz w:val="20"/>
                <w:szCs w:val="20"/>
                <w:lang w:val="en-US"/>
              </w:rPr>
            </w:pPr>
            <w:r w:rsidRPr="00F77F84">
              <w:rPr>
                <w:color w:val="000000"/>
                <w:sz w:val="20"/>
                <w:szCs w:val="20"/>
                <w:lang w:val="en-US"/>
              </w:rPr>
              <w:t>Switzerland</w:t>
            </w:r>
          </w:p>
        </w:tc>
        <w:tc>
          <w:tcPr>
            <w:tcW w:w="581" w:type="pct"/>
            <w:tcBorders>
              <w:top w:val="nil"/>
              <w:left w:val="nil"/>
              <w:bottom w:val="nil"/>
              <w:right w:val="nil"/>
            </w:tcBorders>
            <w:shd w:val="clear" w:color="auto" w:fill="auto"/>
            <w:noWrap/>
            <w:vAlign w:val="bottom"/>
            <w:hideMark/>
          </w:tcPr>
          <w:p w14:paraId="7475C1AE" w14:textId="77777777" w:rsidR="001631C6" w:rsidRPr="00F77F84" w:rsidRDefault="001631C6" w:rsidP="008F5322">
            <w:pPr>
              <w:jc w:val="center"/>
              <w:rPr>
                <w:color w:val="000000"/>
                <w:sz w:val="20"/>
                <w:szCs w:val="20"/>
                <w:lang w:val="en-US"/>
              </w:rPr>
            </w:pPr>
            <w:r w:rsidRPr="00F77F84">
              <w:rPr>
                <w:color w:val="000000"/>
                <w:sz w:val="20"/>
                <w:szCs w:val="20"/>
              </w:rPr>
              <w:t xml:space="preserve">             90 </w:t>
            </w:r>
          </w:p>
        </w:tc>
        <w:tc>
          <w:tcPr>
            <w:tcW w:w="419" w:type="pct"/>
            <w:tcBorders>
              <w:top w:val="nil"/>
              <w:left w:val="nil"/>
              <w:bottom w:val="nil"/>
              <w:right w:val="nil"/>
            </w:tcBorders>
            <w:shd w:val="clear" w:color="auto" w:fill="auto"/>
            <w:noWrap/>
            <w:vAlign w:val="bottom"/>
            <w:hideMark/>
          </w:tcPr>
          <w:p w14:paraId="64942758" w14:textId="77777777" w:rsidR="001631C6" w:rsidRPr="00F77F84" w:rsidRDefault="001631C6" w:rsidP="008F5322">
            <w:pPr>
              <w:jc w:val="center"/>
              <w:rPr>
                <w:color w:val="000000"/>
                <w:sz w:val="20"/>
                <w:szCs w:val="20"/>
                <w:lang w:val="en-US"/>
              </w:rPr>
            </w:pPr>
            <w:r w:rsidRPr="00F77F84">
              <w:rPr>
                <w:color w:val="000000"/>
                <w:sz w:val="20"/>
                <w:szCs w:val="20"/>
              </w:rPr>
              <w:t xml:space="preserve">     0.797 </w:t>
            </w:r>
          </w:p>
        </w:tc>
        <w:tc>
          <w:tcPr>
            <w:tcW w:w="626" w:type="pct"/>
            <w:tcBorders>
              <w:top w:val="nil"/>
              <w:left w:val="nil"/>
              <w:bottom w:val="nil"/>
              <w:right w:val="nil"/>
            </w:tcBorders>
            <w:shd w:val="clear" w:color="auto" w:fill="auto"/>
            <w:noWrap/>
            <w:vAlign w:val="bottom"/>
            <w:hideMark/>
          </w:tcPr>
          <w:p w14:paraId="22B653FB" w14:textId="77777777" w:rsidR="001631C6" w:rsidRPr="00F77F84" w:rsidRDefault="001631C6" w:rsidP="008F5322">
            <w:pPr>
              <w:jc w:val="center"/>
              <w:rPr>
                <w:color w:val="000000"/>
                <w:sz w:val="20"/>
                <w:szCs w:val="20"/>
                <w:lang w:val="en-US"/>
              </w:rPr>
            </w:pPr>
            <w:r w:rsidRPr="00F77F84">
              <w:rPr>
                <w:color w:val="000000"/>
                <w:sz w:val="20"/>
                <w:szCs w:val="20"/>
              </w:rPr>
              <w:t xml:space="preserve">     0.850 </w:t>
            </w:r>
          </w:p>
        </w:tc>
        <w:tc>
          <w:tcPr>
            <w:tcW w:w="502" w:type="pct"/>
            <w:tcBorders>
              <w:top w:val="nil"/>
              <w:left w:val="nil"/>
              <w:bottom w:val="nil"/>
              <w:right w:val="nil"/>
            </w:tcBorders>
            <w:shd w:val="clear" w:color="auto" w:fill="auto"/>
            <w:noWrap/>
            <w:vAlign w:val="bottom"/>
            <w:hideMark/>
          </w:tcPr>
          <w:p w14:paraId="47C08512" w14:textId="77777777" w:rsidR="001631C6" w:rsidRPr="00F77F84" w:rsidRDefault="001631C6" w:rsidP="008F5322">
            <w:pPr>
              <w:jc w:val="center"/>
              <w:rPr>
                <w:color w:val="000000"/>
                <w:sz w:val="20"/>
                <w:szCs w:val="20"/>
                <w:lang w:val="en-US"/>
              </w:rPr>
            </w:pPr>
            <w:r w:rsidRPr="00F77F84">
              <w:rPr>
                <w:color w:val="000000"/>
                <w:sz w:val="20"/>
                <w:szCs w:val="20"/>
              </w:rPr>
              <w:t xml:space="preserve">     7.211 </w:t>
            </w:r>
          </w:p>
        </w:tc>
        <w:tc>
          <w:tcPr>
            <w:tcW w:w="538" w:type="pct"/>
            <w:tcBorders>
              <w:top w:val="nil"/>
              <w:left w:val="nil"/>
              <w:bottom w:val="nil"/>
              <w:right w:val="nil"/>
            </w:tcBorders>
            <w:shd w:val="clear" w:color="auto" w:fill="auto"/>
            <w:noWrap/>
            <w:vAlign w:val="bottom"/>
            <w:hideMark/>
          </w:tcPr>
          <w:p w14:paraId="3FBDE8EB" w14:textId="77777777" w:rsidR="001631C6" w:rsidRPr="00F77F84" w:rsidRDefault="001631C6" w:rsidP="008F5322">
            <w:pPr>
              <w:jc w:val="center"/>
              <w:rPr>
                <w:color w:val="000000"/>
                <w:sz w:val="20"/>
                <w:szCs w:val="20"/>
                <w:lang w:val="en-US"/>
              </w:rPr>
            </w:pPr>
            <w:r w:rsidRPr="00F77F84">
              <w:rPr>
                <w:color w:val="000000"/>
                <w:sz w:val="20"/>
                <w:szCs w:val="20"/>
              </w:rPr>
              <w:t xml:space="preserve">     0.623 </w:t>
            </w:r>
          </w:p>
        </w:tc>
        <w:tc>
          <w:tcPr>
            <w:tcW w:w="417" w:type="pct"/>
            <w:tcBorders>
              <w:top w:val="nil"/>
              <w:left w:val="nil"/>
              <w:bottom w:val="nil"/>
              <w:right w:val="nil"/>
            </w:tcBorders>
            <w:shd w:val="clear" w:color="auto" w:fill="auto"/>
            <w:noWrap/>
            <w:vAlign w:val="bottom"/>
            <w:hideMark/>
          </w:tcPr>
          <w:p w14:paraId="739D4FFE" w14:textId="77777777" w:rsidR="001631C6" w:rsidRPr="00F77F84" w:rsidRDefault="001631C6" w:rsidP="008F5322">
            <w:pPr>
              <w:jc w:val="center"/>
              <w:rPr>
                <w:color w:val="000000"/>
                <w:sz w:val="20"/>
                <w:szCs w:val="20"/>
                <w:lang w:val="en-US"/>
              </w:rPr>
            </w:pPr>
            <w:r w:rsidRPr="00F77F84">
              <w:rPr>
                <w:color w:val="000000"/>
                <w:sz w:val="20"/>
                <w:szCs w:val="20"/>
              </w:rPr>
              <w:t xml:space="preserve">     5.922 </w:t>
            </w:r>
          </w:p>
        </w:tc>
        <w:tc>
          <w:tcPr>
            <w:tcW w:w="355" w:type="pct"/>
            <w:tcBorders>
              <w:top w:val="nil"/>
              <w:left w:val="nil"/>
              <w:bottom w:val="nil"/>
              <w:right w:val="nil"/>
            </w:tcBorders>
            <w:shd w:val="clear" w:color="auto" w:fill="auto"/>
            <w:noWrap/>
            <w:vAlign w:val="bottom"/>
            <w:hideMark/>
          </w:tcPr>
          <w:p w14:paraId="7512AE31" w14:textId="77777777" w:rsidR="001631C6" w:rsidRPr="00F77F84" w:rsidRDefault="001631C6" w:rsidP="008F5322">
            <w:pPr>
              <w:jc w:val="center"/>
              <w:rPr>
                <w:color w:val="000000"/>
                <w:sz w:val="20"/>
                <w:szCs w:val="20"/>
                <w:lang w:val="en-US"/>
              </w:rPr>
            </w:pPr>
            <w:r w:rsidRPr="00F77F84">
              <w:rPr>
                <w:color w:val="000000"/>
                <w:sz w:val="20"/>
                <w:szCs w:val="20"/>
              </w:rPr>
              <w:t xml:space="preserve">     8.204 </w:t>
            </w:r>
          </w:p>
        </w:tc>
        <w:tc>
          <w:tcPr>
            <w:tcW w:w="505" w:type="pct"/>
            <w:tcBorders>
              <w:top w:val="nil"/>
              <w:left w:val="nil"/>
              <w:bottom w:val="nil"/>
              <w:right w:val="nil"/>
            </w:tcBorders>
            <w:shd w:val="clear" w:color="auto" w:fill="auto"/>
            <w:noWrap/>
            <w:vAlign w:val="bottom"/>
            <w:hideMark/>
          </w:tcPr>
          <w:p w14:paraId="68B195CB" w14:textId="77777777" w:rsidR="001631C6" w:rsidRPr="00F77F84" w:rsidRDefault="001631C6" w:rsidP="008F5322">
            <w:pPr>
              <w:jc w:val="center"/>
              <w:rPr>
                <w:color w:val="000000"/>
                <w:sz w:val="20"/>
                <w:szCs w:val="20"/>
                <w:lang w:val="en-US"/>
              </w:rPr>
            </w:pPr>
            <w:r w:rsidRPr="00F77F84">
              <w:rPr>
                <w:color w:val="000000"/>
                <w:sz w:val="20"/>
                <w:szCs w:val="20"/>
              </w:rPr>
              <w:t xml:space="preserve">  779.167 </w:t>
            </w:r>
          </w:p>
        </w:tc>
        <w:tc>
          <w:tcPr>
            <w:tcW w:w="449" w:type="pct"/>
            <w:tcBorders>
              <w:top w:val="nil"/>
              <w:left w:val="nil"/>
              <w:bottom w:val="nil"/>
              <w:right w:val="nil"/>
            </w:tcBorders>
            <w:shd w:val="clear" w:color="auto" w:fill="auto"/>
            <w:noWrap/>
            <w:vAlign w:val="bottom"/>
            <w:hideMark/>
          </w:tcPr>
          <w:p w14:paraId="7FCC80A8" w14:textId="77777777" w:rsidR="001631C6" w:rsidRPr="00F77F84" w:rsidRDefault="001631C6" w:rsidP="008F5322">
            <w:pPr>
              <w:jc w:val="center"/>
              <w:rPr>
                <w:color w:val="000000"/>
                <w:sz w:val="20"/>
                <w:szCs w:val="20"/>
                <w:lang w:val="en-US"/>
              </w:rPr>
            </w:pPr>
            <w:r w:rsidRPr="00F77F84">
              <w:rPr>
                <w:color w:val="000000"/>
                <w:sz w:val="20"/>
                <w:szCs w:val="20"/>
              </w:rPr>
              <w:t xml:space="preserve">    53.894 </w:t>
            </w:r>
          </w:p>
        </w:tc>
      </w:tr>
      <w:tr w:rsidR="001631C6" w:rsidRPr="00F77F84" w14:paraId="2EC67D51" w14:textId="77777777" w:rsidTr="008F5322">
        <w:trPr>
          <w:trHeight w:val="20"/>
        </w:trPr>
        <w:tc>
          <w:tcPr>
            <w:tcW w:w="607" w:type="pct"/>
            <w:tcBorders>
              <w:top w:val="nil"/>
              <w:left w:val="nil"/>
              <w:bottom w:val="nil"/>
              <w:right w:val="nil"/>
            </w:tcBorders>
            <w:shd w:val="clear" w:color="auto" w:fill="auto"/>
            <w:noWrap/>
            <w:vAlign w:val="bottom"/>
            <w:hideMark/>
          </w:tcPr>
          <w:p w14:paraId="74AFC8BF"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16B532D6"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406C0180" w14:textId="77777777" w:rsidR="001631C6" w:rsidRPr="00F77F84" w:rsidRDefault="001631C6" w:rsidP="008F5322">
            <w:pPr>
              <w:jc w:val="center"/>
              <w:rPr>
                <w:color w:val="000000"/>
                <w:sz w:val="20"/>
                <w:szCs w:val="20"/>
                <w:lang w:val="en-US"/>
              </w:rPr>
            </w:pPr>
            <w:r w:rsidRPr="00F77F84">
              <w:rPr>
                <w:color w:val="000000"/>
                <w:sz w:val="20"/>
                <w:szCs w:val="20"/>
              </w:rPr>
              <w:t xml:space="preserve"> [0.600] </w:t>
            </w:r>
          </w:p>
        </w:tc>
        <w:tc>
          <w:tcPr>
            <w:tcW w:w="626" w:type="pct"/>
            <w:tcBorders>
              <w:top w:val="nil"/>
              <w:left w:val="nil"/>
              <w:bottom w:val="nil"/>
              <w:right w:val="nil"/>
            </w:tcBorders>
            <w:shd w:val="clear" w:color="auto" w:fill="auto"/>
            <w:noWrap/>
            <w:vAlign w:val="bottom"/>
            <w:hideMark/>
          </w:tcPr>
          <w:p w14:paraId="0A826977" w14:textId="77777777" w:rsidR="001631C6" w:rsidRPr="00F77F84" w:rsidRDefault="001631C6" w:rsidP="008F5322">
            <w:pPr>
              <w:jc w:val="center"/>
              <w:rPr>
                <w:color w:val="000000"/>
                <w:sz w:val="20"/>
                <w:szCs w:val="20"/>
                <w:lang w:val="en-US"/>
              </w:rPr>
            </w:pPr>
            <w:r w:rsidRPr="00F77F84">
              <w:rPr>
                <w:color w:val="000000"/>
                <w:sz w:val="20"/>
                <w:szCs w:val="20"/>
              </w:rPr>
              <w:t xml:space="preserve"> [0.887] </w:t>
            </w:r>
          </w:p>
        </w:tc>
        <w:tc>
          <w:tcPr>
            <w:tcW w:w="502" w:type="pct"/>
            <w:tcBorders>
              <w:top w:val="nil"/>
              <w:left w:val="nil"/>
              <w:bottom w:val="nil"/>
              <w:right w:val="nil"/>
            </w:tcBorders>
            <w:shd w:val="clear" w:color="auto" w:fill="auto"/>
            <w:noWrap/>
            <w:vAlign w:val="bottom"/>
            <w:hideMark/>
          </w:tcPr>
          <w:p w14:paraId="4814A52A" w14:textId="77777777" w:rsidR="001631C6" w:rsidRPr="00F77F84" w:rsidRDefault="001631C6" w:rsidP="008F5322">
            <w:pPr>
              <w:jc w:val="center"/>
              <w:rPr>
                <w:color w:val="000000"/>
                <w:sz w:val="20"/>
                <w:szCs w:val="20"/>
                <w:lang w:val="en-US"/>
              </w:rPr>
            </w:pPr>
            <w:r w:rsidRPr="00F77F84">
              <w:rPr>
                <w:color w:val="000000"/>
                <w:sz w:val="20"/>
                <w:szCs w:val="20"/>
              </w:rPr>
              <w:t xml:space="preserve"> [4.000] </w:t>
            </w:r>
          </w:p>
        </w:tc>
        <w:tc>
          <w:tcPr>
            <w:tcW w:w="538" w:type="pct"/>
            <w:tcBorders>
              <w:top w:val="nil"/>
              <w:left w:val="nil"/>
              <w:bottom w:val="nil"/>
              <w:right w:val="nil"/>
            </w:tcBorders>
            <w:shd w:val="clear" w:color="auto" w:fill="auto"/>
            <w:noWrap/>
            <w:vAlign w:val="bottom"/>
            <w:hideMark/>
          </w:tcPr>
          <w:p w14:paraId="5B11192B" w14:textId="77777777" w:rsidR="001631C6" w:rsidRPr="00F77F84" w:rsidRDefault="001631C6" w:rsidP="008F5322">
            <w:pPr>
              <w:jc w:val="center"/>
              <w:rPr>
                <w:color w:val="000000"/>
                <w:sz w:val="20"/>
                <w:szCs w:val="20"/>
                <w:lang w:val="en-US"/>
              </w:rPr>
            </w:pPr>
            <w:r w:rsidRPr="00F77F84">
              <w:rPr>
                <w:color w:val="000000"/>
                <w:sz w:val="20"/>
                <w:szCs w:val="20"/>
              </w:rPr>
              <w:t xml:space="preserve"> [0.833] </w:t>
            </w:r>
          </w:p>
        </w:tc>
        <w:tc>
          <w:tcPr>
            <w:tcW w:w="417" w:type="pct"/>
            <w:tcBorders>
              <w:top w:val="nil"/>
              <w:left w:val="nil"/>
              <w:bottom w:val="nil"/>
              <w:right w:val="nil"/>
            </w:tcBorders>
            <w:shd w:val="clear" w:color="auto" w:fill="auto"/>
            <w:noWrap/>
            <w:vAlign w:val="bottom"/>
            <w:hideMark/>
          </w:tcPr>
          <w:p w14:paraId="39FF6974" w14:textId="77777777" w:rsidR="001631C6" w:rsidRPr="00F77F84" w:rsidRDefault="001631C6" w:rsidP="008F5322">
            <w:pPr>
              <w:jc w:val="center"/>
              <w:rPr>
                <w:color w:val="000000"/>
                <w:sz w:val="20"/>
                <w:szCs w:val="20"/>
                <w:lang w:val="en-US"/>
              </w:rPr>
            </w:pPr>
            <w:r w:rsidRPr="00F77F84">
              <w:rPr>
                <w:color w:val="000000"/>
                <w:sz w:val="20"/>
                <w:szCs w:val="20"/>
              </w:rPr>
              <w:t xml:space="preserve"> [6.000] </w:t>
            </w:r>
          </w:p>
        </w:tc>
        <w:tc>
          <w:tcPr>
            <w:tcW w:w="355" w:type="pct"/>
            <w:tcBorders>
              <w:top w:val="nil"/>
              <w:left w:val="nil"/>
              <w:bottom w:val="nil"/>
              <w:right w:val="nil"/>
            </w:tcBorders>
            <w:shd w:val="clear" w:color="auto" w:fill="auto"/>
            <w:noWrap/>
            <w:vAlign w:val="bottom"/>
            <w:hideMark/>
          </w:tcPr>
          <w:p w14:paraId="167D5106"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505" w:type="pct"/>
            <w:tcBorders>
              <w:top w:val="nil"/>
              <w:left w:val="nil"/>
              <w:bottom w:val="nil"/>
              <w:right w:val="nil"/>
            </w:tcBorders>
            <w:shd w:val="clear" w:color="auto" w:fill="auto"/>
            <w:noWrap/>
            <w:vAlign w:val="bottom"/>
            <w:hideMark/>
          </w:tcPr>
          <w:p w14:paraId="609A0A66" w14:textId="77777777" w:rsidR="001631C6" w:rsidRPr="00F77F84" w:rsidRDefault="001631C6" w:rsidP="008F5322">
            <w:pPr>
              <w:jc w:val="center"/>
              <w:rPr>
                <w:color w:val="000000"/>
                <w:sz w:val="20"/>
                <w:szCs w:val="20"/>
                <w:lang w:val="en-US"/>
              </w:rPr>
            </w:pPr>
            <w:r w:rsidRPr="00F77F84">
              <w:rPr>
                <w:color w:val="000000"/>
                <w:sz w:val="20"/>
                <w:szCs w:val="20"/>
              </w:rPr>
              <w:t xml:space="preserve"> [600.000] </w:t>
            </w:r>
          </w:p>
        </w:tc>
        <w:tc>
          <w:tcPr>
            <w:tcW w:w="449" w:type="pct"/>
            <w:tcBorders>
              <w:top w:val="nil"/>
              <w:left w:val="nil"/>
              <w:bottom w:val="nil"/>
              <w:right w:val="nil"/>
            </w:tcBorders>
            <w:shd w:val="clear" w:color="auto" w:fill="auto"/>
            <w:noWrap/>
            <w:vAlign w:val="bottom"/>
            <w:hideMark/>
          </w:tcPr>
          <w:p w14:paraId="108DE63D" w14:textId="77777777" w:rsidR="001631C6" w:rsidRPr="00F77F84" w:rsidRDefault="001631C6" w:rsidP="008F5322">
            <w:pPr>
              <w:jc w:val="center"/>
              <w:rPr>
                <w:color w:val="000000"/>
                <w:sz w:val="20"/>
                <w:szCs w:val="20"/>
                <w:lang w:val="en-US"/>
              </w:rPr>
            </w:pPr>
            <w:r w:rsidRPr="00F77F84">
              <w:rPr>
                <w:color w:val="000000"/>
                <w:sz w:val="20"/>
                <w:szCs w:val="20"/>
              </w:rPr>
              <w:t xml:space="preserve"> [49.321] </w:t>
            </w:r>
          </w:p>
        </w:tc>
      </w:tr>
      <w:tr w:rsidR="001631C6" w:rsidRPr="00F77F84" w14:paraId="42743735" w14:textId="77777777" w:rsidTr="008F5322">
        <w:trPr>
          <w:trHeight w:val="20"/>
        </w:trPr>
        <w:tc>
          <w:tcPr>
            <w:tcW w:w="607" w:type="pct"/>
            <w:tcBorders>
              <w:top w:val="nil"/>
              <w:left w:val="nil"/>
              <w:bottom w:val="nil"/>
              <w:right w:val="nil"/>
            </w:tcBorders>
            <w:shd w:val="clear" w:color="auto" w:fill="auto"/>
            <w:noWrap/>
            <w:vAlign w:val="bottom"/>
            <w:hideMark/>
          </w:tcPr>
          <w:p w14:paraId="0FC24706" w14:textId="77777777" w:rsidR="001631C6" w:rsidRPr="00F77F84" w:rsidRDefault="001631C6" w:rsidP="008F5322">
            <w:pPr>
              <w:rPr>
                <w:color w:val="000000"/>
                <w:sz w:val="20"/>
                <w:szCs w:val="20"/>
                <w:lang w:val="en-US"/>
              </w:rPr>
            </w:pPr>
            <w:r w:rsidRPr="00F77F84">
              <w:rPr>
                <w:color w:val="000000"/>
                <w:sz w:val="20"/>
                <w:szCs w:val="20"/>
                <w:lang w:val="en-US"/>
              </w:rPr>
              <w:t>United Kingdom</w:t>
            </w:r>
          </w:p>
        </w:tc>
        <w:tc>
          <w:tcPr>
            <w:tcW w:w="581" w:type="pct"/>
            <w:tcBorders>
              <w:top w:val="nil"/>
              <w:left w:val="nil"/>
              <w:bottom w:val="nil"/>
              <w:right w:val="nil"/>
            </w:tcBorders>
            <w:shd w:val="clear" w:color="auto" w:fill="auto"/>
            <w:noWrap/>
            <w:vAlign w:val="bottom"/>
            <w:hideMark/>
          </w:tcPr>
          <w:p w14:paraId="2B2B664E" w14:textId="77777777" w:rsidR="001631C6" w:rsidRPr="00F77F84" w:rsidRDefault="001631C6" w:rsidP="008F5322">
            <w:pPr>
              <w:jc w:val="center"/>
              <w:rPr>
                <w:color w:val="000000"/>
                <w:sz w:val="20"/>
                <w:szCs w:val="20"/>
                <w:lang w:val="en-US"/>
              </w:rPr>
            </w:pPr>
            <w:r w:rsidRPr="00F77F84">
              <w:rPr>
                <w:color w:val="000000"/>
                <w:sz w:val="20"/>
                <w:szCs w:val="20"/>
              </w:rPr>
              <w:t xml:space="preserve">           327 </w:t>
            </w:r>
          </w:p>
        </w:tc>
        <w:tc>
          <w:tcPr>
            <w:tcW w:w="419" w:type="pct"/>
            <w:tcBorders>
              <w:top w:val="nil"/>
              <w:left w:val="nil"/>
              <w:bottom w:val="nil"/>
              <w:right w:val="nil"/>
            </w:tcBorders>
            <w:shd w:val="clear" w:color="auto" w:fill="auto"/>
            <w:noWrap/>
            <w:vAlign w:val="bottom"/>
            <w:hideMark/>
          </w:tcPr>
          <w:p w14:paraId="3B008FDC" w14:textId="77777777" w:rsidR="001631C6" w:rsidRPr="00F77F84" w:rsidRDefault="001631C6" w:rsidP="008F5322">
            <w:pPr>
              <w:jc w:val="center"/>
              <w:rPr>
                <w:color w:val="000000"/>
                <w:sz w:val="20"/>
                <w:szCs w:val="20"/>
                <w:lang w:val="en-US"/>
              </w:rPr>
            </w:pPr>
            <w:r w:rsidRPr="00F77F84">
              <w:rPr>
                <w:color w:val="000000"/>
                <w:sz w:val="20"/>
                <w:szCs w:val="20"/>
              </w:rPr>
              <w:t xml:space="preserve">     0.968 </w:t>
            </w:r>
          </w:p>
        </w:tc>
        <w:tc>
          <w:tcPr>
            <w:tcW w:w="626" w:type="pct"/>
            <w:tcBorders>
              <w:top w:val="nil"/>
              <w:left w:val="nil"/>
              <w:bottom w:val="nil"/>
              <w:right w:val="nil"/>
            </w:tcBorders>
            <w:shd w:val="clear" w:color="auto" w:fill="auto"/>
            <w:noWrap/>
            <w:vAlign w:val="bottom"/>
            <w:hideMark/>
          </w:tcPr>
          <w:p w14:paraId="1F9BB661" w14:textId="77777777" w:rsidR="001631C6" w:rsidRPr="00F77F84" w:rsidRDefault="001631C6" w:rsidP="008F5322">
            <w:pPr>
              <w:jc w:val="center"/>
              <w:rPr>
                <w:color w:val="000000"/>
                <w:sz w:val="20"/>
                <w:szCs w:val="20"/>
                <w:lang w:val="en-US"/>
              </w:rPr>
            </w:pPr>
            <w:r w:rsidRPr="00F77F84">
              <w:rPr>
                <w:color w:val="000000"/>
                <w:sz w:val="20"/>
                <w:szCs w:val="20"/>
              </w:rPr>
              <w:t xml:space="preserve">     0.715 </w:t>
            </w:r>
          </w:p>
        </w:tc>
        <w:tc>
          <w:tcPr>
            <w:tcW w:w="502" w:type="pct"/>
            <w:tcBorders>
              <w:top w:val="nil"/>
              <w:left w:val="nil"/>
              <w:bottom w:val="nil"/>
              <w:right w:val="nil"/>
            </w:tcBorders>
            <w:shd w:val="clear" w:color="auto" w:fill="auto"/>
            <w:noWrap/>
            <w:vAlign w:val="bottom"/>
            <w:hideMark/>
          </w:tcPr>
          <w:p w14:paraId="33B05758" w14:textId="77777777" w:rsidR="001631C6" w:rsidRPr="00F77F84" w:rsidRDefault="001631C6" w:rsidP="008F5322">
            <w:pPr>
              <w:jc w:val="center"/>
              <w:rPr>
                <w:color w:val="000000"/>
                <w:sz w:val="20"/>
                <w:szCs w:val="20"/>
                <w:lang w:val="en-US"/>
              </w:rPr>
            </w:pPr>
            <w:r w:rsidRPr="00F77F84">
              <w:rPr>
                <w:color w:val="000000"/>
                <w:sz w:val="20"/>
                <w:szCs w:val="20"/>
              </w:rPr>
              <w:t xml:space="preserve">     9.245 </w:t>
            </w:r>
          </w:p>
        </w:tc>
        <w:tc>
          <w:tcPr>
            <w:tcW w:w="538" w:type="pct"/>
            <w:tcBorders>
              <w:top w:val="nil"/>
              <w:left w:val="nil"/>
              <w:bottom w:val="nil"/>
              <w:right w:val="nil"/>
            </w:tcBorders>
            <w:shd w:val="clear" w:color="auto" w:fill="auto"/>
            <w:noWrap/>
            <w:vAlign w:val="bottom"/>
            <w:hideMark/>
          </w:tcPr>
          <w:p w14:paraId="0F1395FA" w14:textId="77777777" w:rsidR="001631C6" w:rsidRPr="00F77F84" w:rsidRDefault="001631C6" w:rsidP="008F5322">
            <w:pPr>
              <w:jc w:val="center"/>
              <w:rPr>
                <w:color w:val="000000"/>
                <w:sz w:val="20"/>
                <w:szCs w:val="20"/>
                <w:lang w:val="en-US"/>
              </w:rPr>
            </w:pPr>
            <w:r w:rsidRPr="00F77F84">
              <w:rPr>
                <w:color w:val="000000"/>
                <w:sz w:val="20"/>
                <w:szCs w:val="20"/>
              </w:rPr>
              <w:t xml:space="preserve">     0.544 </w:t>
            </w:r>
          </w:p>
        </w:tc>
        <w:tc>
          <w:tcPr>
            <w:tcW w:w="417" w:type="pct"/>
            <w:tcBorders>
              <w:top w:val="nil"/>
              <w:left w:val="nil"/>
              <w:bottom w:val="nil"/>
              <w:right w:val="nil"/>
            </w:tcBorders>
            <w:shd w:val="clear" w:color="auto" w:fill="auto"/>
            <w:noWrap/>
            <w:vAlign w:val="bottom"/>
            <w:hideMark/>
          </w:tcPr>
          <w:p w14:paraId="7D6D4479" w14:textId="77777777" w:rsidR="001631C6" w:rsidRPr="00F77F84" w:rsidRDefault="001631C6" w:rsidP="008F5322">
            <w:pPr>
              <w:jc w:val="center"/>
              <w:rPr>
                <w:color w:val="000000"/>
                <w:sz w:val="20"/>
                <w:szCs w:val="20"/>
                <w:lang w:val="en-US"/>
              </w:rPr>
            </w:pPr>
            <w:r w:rsidRPr="00F77F84">
              <w:rPr>
                <w:color w:val="000000"/>
                <w:sz w:val="20"/>
                <w:szCs w:val="20"/>
              </w:rPr>
              <w:t xml:space="preserve">     7.361 </w:t>
            </w:r>
          </w:p>
        </w:tc>
        <w:tc>
          <w:tcPr>
            <w:tcW w:w="355" w:type="pct"/>
            <w:tcBorders>
              <w:top w:val="nil"/>
              <w:left w:val="nil"/>
              <w:bottom w:val="nil"/>
              <w:right w:val="nil"/>
            </w:tcBorders>
            <w:shd w:val="clear" w:color="auto" w:fill="auto"/>
            <w:noWrap/>
            <w:vAlign w:val="bottom"/>
            <w:hideMark/>
          </w:tcPr>
          <w:p w14:paraId="63E8E00C" w14:textId="77777777" w:rsidR="001631C6" w:rsidRPr="00F77F84" w:rsidRDefault="001631C6" w:rsidP="008F5322">
            <w:pPr>
              <w:jc w:val="center"/>
              <w:rPr>
                <w:color w:val="000000"/>
                <w:sz w:val="20"/>
                <w:szCs w:val="20"/>
                <w:lang w:val="en-US"/>
              </w:rPr>
            </w:pPr>
            <w:r w:rsidRPr="00F77F84">
              <w:rPr>
                <w:color w:val="000000"/>
                <w:sz w:val="20"/>
                <w:szCs w:val="20"/>
              </w:rPr>
              <w:t xml:space="preserve">     7.675 </w:t>
            </w:r>
          </w:p>
        </w:tc>
        <w:tc>
          <w:tcPr>
            <w:tcW w:w="505" w:type="pct"/>
            <w:tcBorders>
              <w:top w:val="nil"/>
              <w:left w:val="nil"/>
              <w:bottom w:val="nil"/>
              <w:right w:val="nil"/>
            </w:tcBorders>
            <w:shd w:val="clear" w:color="auto" w:fill="auto"/>
            <w:noWrap/>
            <w:vAlign w:val="bottom"/>
            <w:hideMark/>
          </w:tcPr>
          <w:p w14:paraId="77E82391" w14:textId="77777777" w:rsidR="001631C6" w:rsidRPr="00F77F84" w:rsidRDefault="001631C6" w:rsidP="008F5322">
            <w:pPr>
              <w:jc w:val="center"/>
              <w:rPr>
                <w:color w:val="000000"/>
                <w:sz w:val="20"/>
                <w:szCs w:val="20"/>
                <w:lang w:val="en-US"/>
              </w:rPr>
            </w:pPr>
            <w:r w:rsidRPr="00F77F84">
              <w:rPr>
                <w:color w:val="000000"/>
                <w:sz w:val="20"/>
                <w:szCs w:val="20"/>
              </w:rPr>
              <w:t xml:space="preserve">  765.679 </w:t>
            </w:r>
          </w:p>
        </w:tc>
        <w:tc>
          <w:tcPr>
            <w:tcW w:w="449" w:type="pct"/>
            <w:tcBorders>
              <w:top w:val="nil"/>
              <w:left w:val="nil"/>
              <w:bottom w:val="nil"/>
              <w:right w:val="nil"/>
            </w:tcBorders>
            <w:shd w:val="clear" w:color="auto" w:fill="auto"/>
            <w:noWrap/>
            <w:vAlign w:val="bottom"/>
            <w:hideMark/>
          </w:tcPr>
          <w:p w14:paraId="1FA97181" w14:textId="77777777" w:rsidR="001631C6" w:rsidRPr="00F77F84" w:rsidRDefault="001631C6" w:rsidP="008F5322">
            <w:pPr>
              <w:jc w:val="center"/>
              <w:rPr>
                <w:color w:val="000000"/>
                <w:sz w:val="20"/>
                <w:szCs w:val="20"/>
                <w:lang w:val="en-US"/>
              </w:rPr>
            </w:pPr>
            <w:r w:rsidRPr="00F77F84">
              <w:rPr>
                <w:color w:val="000000"/>
                <w:sz w:val="20"/>
                <w:szCs w:val="20"/>
              </w:rPr>
              <w:t xml:space="preserve">    57.022 </w:t>
            </w:r>
          </w:p>
        </w:tc>
      </w:tr>
      <w:tr w:rsidR="001631C6" w:rsidRPr="00F77F84" w14:paraId="13D5F5BE" w14:textId="77777777" w:rsidTr="008F5322">
        <w:trPr>
          <w:trHeight w:val="20"/>
        </w:trPr>
        <w:tc>
          <w:tcPr>
            <w:tcW w:w="607" w:type="pct"/>
            <w:tcBorders>
              <w:top w:val="nil"/>
              <w:left w:val="nil"/>
              <w:bottom w:val="nil"/>
              <w:right w:val="nil"/>
            </w:tcBorders>
            <w:shd w:val="clear" w:color="auto" w:fill="auto"/>
            <w:noWrap/>
            <w:vAlign w:val="bottom"/>
            <w:hideMark/>
          </w:tcPr>
          <w:p w14:paraId="7F76C1D2" w14:textId="77777777" w:rsidR="001631C6" w:rsidRPr="00F77F84" w:rsidRDefault="001631C6" w:rsidP="008F5322">
            <w:pPr>
              <w:rPr>
                <w:color w:val="000000"/>
                <w:sz w:val="20"/>
                <w:szCs w:val="20"/>
                <w:lang w:val="en-US"/>
              </w:rPr>
            </w:pPr>
          </w:p>
        </w:tc>
        <w:tc>
          <w:tcPr>
            <w:tcW w:w="581" w:type="pct"/>
            <w:tcBorders>
              <w:top w:val="nil"/>
              <w:left w:val="nil"/>
              <w:bottom w:val="nil"/>
              <w:right w:val="nil"/>
            </w:tcBorders>
            <w:shd w:val="clear" w:color="auto" w:fill="auto"/>
            <w:noWrap/>
            <w:vAlign w:val="bottom"/>
            <w:hideMark/>
          </w:tcPr>
          <w:p w14:paraId="09F67FC4" w14:textId="77777777" w:rsidR="001631C6" w:rsidRPr="00F77F84" w:rsidRDefault="001631C6" w:rsidP="008F5322">
            <w:pPr>
              <w:jc w:val="center"/>
              <w:rPr>
                <w:sz w:val="20"/>
                <w:szCs w:val="20"/>
                <w:lang w:val="en-US"/>
              </w:rPr>
            </w:pPr>
          </w:p>
        </w:tc>
        <w:tc>
          <w:tcPr>
            <w:tcW w:w="419" w:type="pct"/>
            <w:tcBorders>
              <w:top w:val="nil"/>
              <w:left w:val="nil"/>
              <w:bottom w:val="nil"/>
              <w:right w:val="nil"/>
            </w:tcBorders>
            <w:shd w:val="clear" w:color="auto" w:fill="auto"/>
            <w:noWrap/>
            <w:vAlign w:val="bottom"/>
            <w:hideMark/>
          </w:tcPr>
          <w:p w14:paraId="50903A06" w14:textId="77777777" w:rsidR="001631C6" w:rsidRPr="00F77F84" w:rsidRDefault="001631C6" w:rsidP="008F5322">
            <w:pPr>
              <w:jc w:val="center"/>
              <w:rPr>
                <w:color w:val="000000"/>
                <w:sz w:val="20"/>
                <w:szCs w:val="20"/>
                <w:lang w:val="en-US"/>
              </w:rPr>
            </w:pPr>
            <w:r w:rsidRPr="00F77F84">
              <w:rPr>
                <w:color w:val="000000"/>
                <w:sz w:val="20"/>
                <w:szCs w:val="20"/>
              </w:rPr>
              <w:t xml:space="preserve"> [0.780] </w:t>
            </w:r>
          </w:p>
        </w:tc>
        <w:tc>
          <w:tcPr>
            <w:tcW w:w="626" w:type="pct"/>
            <w:tcBorders>
              <w:top w:val="nil"/>
              <w:left w:val="nil"/>
              <w:bottom w:val="nil"/>
              <w:right w:val="nil"/>
            </w:tcBorders>
            <w:shd w:val="clear" w:color="auto" w:fill="auto"/>
            <w:noWrap/>
            <w:vAlign w:val="bottom"/>
            <w:hideMark/>
          </w:tcPr>
          <w:p w14:paraId="480EDE62" w14:textId="77777777" w:rsidR="001631C6" w:rsidRPr="00F77F84" w:rsidRDefault="001631C6" w:rsidP="008F5322">
            <w:pPr>
              <w:jc w:val="center"/>
              <w:rPr>
                <w:color w:val="000000"/>
                <w:sz w:val="20"/>
                <w:szCs w:val="20"/>
                <w:lang w:val="en-US"/>
              </w:rPr>
            </w:pPr>
            <w:r w:rsidRPr="00F77F84">
              <w:rPr>
                <w:color w:val="000000"/>
                <w:sz w:val="20"/>
                <w:szCs w:val="20"/>
              </w:rPr>
              <w:t xml:space="preserve"> [0.750] </w:t>
            </w:r>
          </w:p>
        </w:tc>
        <w:tc>
          <w:tcPr>
            <w:tcW w:w="502" w:type="pct"/>
            <w:tcBorders>
              <w:top w:val="nil"/>
              <w:left w:val="nil"/>
              <w:bottom w:val="nil"/>
              <w:right w:val="nil"/>
            </w:tcBorders>
            <w:shd w:val="clear" w:color="auto" w:fill="auto"/>
            <w:noWrap/>
            <w:vAlign w:val="bottom"/>
            <w:hideMark/>
          </w:tcPr>
          <w:p w14:paraId="7D762625"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538" w:type="pct"/>
            <w:tcBorders>
              <w:top w:val="nil"/>
              <w:left w:val="nil"/>
              <w:bottom w:val="nil"/>
              <w:right w:val="nil"/>
            </w:tcBorders>
            <w:shd w:val="clear" w:color="auto" w:fill="auto"/>
            <w:noWrap/>
            <w:vAlign w:val="bottom"/>
            <w:hideMark/>
          </w:tcPr>
          <w:p w14:paraId="38A263C3" w14:textId="77777777" w:rsidR="001631C6" w:rsidRPr="00F77F84" w:rsidRDefault="001631C6" w:rsidP="008F5322">
            <w:pPr>
              <w:jc w:val="center"/>
              <w:rPr>
                <w:color w:val="000000"/>
                <w:sz w:val="20"/>
                <w:szCs w:val="20"/>
                <w:lang w:val="en-US"/>
              </w:rPr>
            </w:pPr>
            <w:r w:rsidRPr="00F77F84">
              <w:rPr>
                <w:color w:val="000000"/>
                <w:sz w:val="20"/>
                <w:szCs w:val="20"/>
              </w:rPr>
              <w:t xml:space="preserve"> [0.667] </w:t>
            </w:r>
          </w:p>
        </w:tc>
        <w:tc>
          <w:tcPr>
            <w:tcW w:w="417" w:type="pct"/>
            <w:tcBorders>
              <w:top w:val="nil"/>
              <w:left w:val="nil"/>
              <w:bottom w:val="nil"/>
              <w:right w:val="nil"/>
            </w:tcBorders>
            <w:shd w:val="clear" w:color="auto" w:fill="auto"/>
            <w:noWrap/>
            <w:vAlign w:val="bottom"/>
            <w:hideMark/>
          </w:tcPr>
          <w:p w14:paraId="48D9EF4E"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355" w:type="pct"/>
            <w:tcBorders>
              <w:top w:val="nil"/>
              <w:left w:val="nil"/>
              <w:bottom w:val="nil"/>
              <w:right w:val="nil"/>
            </w:tcBorders>
            <w:shd w:val="clear" w:color="auto" w:fill="auto"/>
            <w:noWrap/>
            <w:vAlign w:val="bottom"/>
            <w:hideMark/>
          </w:tcPr>
          <w:p w14:paraId="6BBE5767"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505" w:type="pct"/>
            <w:tcBorders>
              <w:top w:val="nil"/>
              <w:left w:val="nil"/>
              <w:bottom w:val="nil"/>
              <w:right w:val="nil"/>
            </w:tcBorders>
            <w:shd w:val="clear" w:color="auto" w:fill="auto"/>
            <w:noWrap/>
            <w:vAlign w:val="bottom"/>
            <w:hideMark/>
          </w:tcPr>
          <w:p w14:paraId="002C02FB" w14:textId="77777777" w:rsidR="001631C6" w:rsidRPr="00F77F84" w:rsidRDefault="001631C6" w:rsidP="008F5322">
            <w:pPr>
              <w:jc w:val="center"/>
              <w:rPr>
                <w:color w:val="000000"/>
                <w:sz w:val="20"/>
                <w:szCs w:val="20"/>
                <w:lang w:val="en-US"/>
              </w:rPr>
            </w:pPr>
            <w:r w:rsidRPr="00F77F84">
              <w:rPr>
                <w:color w:val="000000"/>
                <w:sz w:val="20"/>
                <w:szCs w:val="20"/>
              </w:rPr>
              <w:t xml:space="preserve"> [750.000] </w:t>
            </w:r>
          </w:p>
        </w:tc>
        <w:tc>
          <w:tcPr>
            <w:tcW w:w="449" w:type="pct"/>
            <w:tcBorders>
              <w:top w:val="nil"/>
              <w:left w:val="nil"/>
              <w:bottom w:val="nil"/>
              <w:right w:val="nil"/>
            </w:tcBorders>
            <w:shd w:val="clear" w:color="auto" w:fill="auto"/>
            <w:noWrap/>
            <w:vAlign w:val="bottom"/>
            <w:hideMark/>
          </w:tcPr>
          <w:p w14:paraId="337B14B3" w14:textId="77777777" w:rsidR="001631C6" w:rsidRPr="00F77F84" w:rsidRDefault="001631C6" w:rsidP="008F5322">
            <w:pPr>
              <w:jc w:val="center"/>
              <w:rPr>
                <w:color w:val="000000"/>
                <w:sz w:val="20"/>
                <w:szCs w:val="20"/>
                <w:lang w:val="en-US"/>
              </w:rPr>
            </w:pPr>
            <w:r w:rsidRPr="00F77F84">
              <w:rPr>
                <w:color w:val="000000"/>
                <w:sz w:val="20"/>
                <w:szCs w:val="20"/>
              </w:rPr>
              <w:t xml:space="preserve"> [34.991] </w:t>
            </w:r>
          </w:p>
        </w:tc>
      </w:tr>
      <w:tr w:rsidR="001631C6" w:rsidRPr="00F77F84" w14:paraId="4859E43D" w14:textId="77777777" w:rsidTr="008F5322">
        <w:trPr>
          <w:trHeight w:val="20"/>
        </w:trPr>
        <w:tc>
          <w:tcPr>
            <w:tcW w:w="607" w:type="pct"/>
            <w:tcBorders>
              <w:top w:val="nil"/>
              <w:left w:val="nil"/>
              <w:right w:val="nil"/>
            </w:tcBorders>
            <w:shd w:val="clear" w:color="auto" w:fill="auto"/>
            <w:noWrap/>
            <w:vAlign w:val="bottom"/>
            <w:hideMark/>
          </w:tcPr>
          <w:p w14:paraId="12412C4E" w14:textId="77777777" w:rsidR="001631C6" w:rsidRPr="00F77F84" w:rsidRDefault="001631C6" w:rsidP="008F5322">
            <w:pPr>
              <w:rPr>
                <w:color w:val="000000"/>
                <w:sz w:val="20"/>
                <w:szCs w:val="20"/>
                <w:lang w:val="en-US"/>
              </w:rPr>
            </w:pPr>
            <w:r w:rsidRPr="00F77F84">
              <w:rPr>
                <w:color w:val="000000"/>
                <w:sz w:val="20"/>
                <w:szCs w:val="20"/>
                <w:lang w:val="en-US"/>
              </w:rPr>
              <w:t>Total</w:t>
            </w:r>
          </w:p>
        </w:tc>
        <w:tc>
          <w:tcPr>
            <w:tcW w:w="581" w:type="pct"/>
            <w:tcBorders>
              <w:top w:val="nil"/>
              <w:left w:val="nil"/>
              <w:right w:val="nil"/>
            </w:tcBorders>
            <w:shd w:val="clear" w:color="auto" w:fill="auto"/>
            <w:noWrap/>
            <w:vAlign w:val="bottom"/>
            <w:hideMark/>
          </w:tcPr>
          <w:p w14:paraId="694D5B3D" w14:textId="77777777" w:rsidR="001631C6" w:rsidRPr="00F77F84" w:rsidRDefault="001631C6" w:rsidP="008F5322">
            <w:pPr>
              <w:jc w:val="center"/>
              <w:rPr>
                <w:color w:val="000000"/>
                <w:sz w:val="20"/>
                <w:szCs w:val="20"/>
                <w:lang w:val="en-US"/>
              </w:rPr>
            </w:pPr>
            <w:r w:rsidRPr="00F77F84">
              <w:rPr>
                <w:color w:val="000000"/>
                <w:sz w:val="20"/>
                <w:szCs w:val="20"/>
              </w:rPr>
              <w:t xml:space="preserve">        2,409 </w:t>
            </w:r>
          </w:p>
        </w:tc>
        <w:tc>
          <w:tcPr>
            <w:tcW w:w="419" w:type="pct"/>
            <w:tcBorders>
              <w:top w:val="nil"/>
              <w:left w:val="nil"/>
              <w:right w:val="nil"/>
            </w:tcBorders>
            <w:shd w:val="clear" w:color="auto" w:fill="auto"/>
            <w:noWrap/>
            <w:vAlign w:val="bottom"/>
            <w:hideMark/>
          </w:tcPr>
          <w:p w14:paraId="57B2281F" w14:textId="77777777" w:rsidR="001631C6" w:rsidRPr="00F77F84" w:rsidRDefault="001631C6" w:rsidP="008F5322">
            <w:pPr>
              <w:jc w:val="center"/>
              <w:rPr>
                <w:color w:val="000000"/>
                <w:sz w:val="20"/>
                <w:szCs w:val="20"/>
                <w:lang w:val="en-US"/>
              </w:rPr>
            </w:pPr>
            <w:r w:rsidRPr="00F77F84">
              <w:rPr>
                <w:color w:val="000000"/>
                <w:sz w:val="20"/>
                <w:szCs w:val="20"/>
              </w:rPr>
              <w:t xml:space="preserve">     1.151 </w:t>
            </w:r>
          </w:p>
        </w:tc>
        <w:tc>
          <w:tcPr>
            <w:tcW w:w="626" w:type="pct"/>
            <w:tcBorders>
              <w:top w:val="nil"/>
              <w:left w:val="nil"/>
              <w:right w:val="nil"/>
            </w:tcBorders>
            <w:shd w:val="clear" w:color="auto" w:fill="auto"/>
            <w:noWrap/>
            <w:vAlign w:val="bottom"/>
            <w:hideMark/>
          </w:tcPr>
          <w:p w14:paraId="68BA1BDB" w14:textId="77777777" w:rsidR="001631C6" w:rsidRPr="00F77F84" w:rsidRDefault="001631C6" w:rsidP="008F5322">
            <w:pPr>
              <w:jc w:val="center"/>
              <w:rPr>
                <w:color w:val="000000"/>
                <w:sz w:val="20"/>
                <w:szCs w:val="20"/>
                <w:lang w:val="en-US"/>
              </w:rPr>
            </w:pPr>
            <w:r w:rsidRPr="00F77F84">
              <w:rPr>
                <w:color w:val="000000"/>
                <w:sz w:val="20"/>
                <w:szCs w:val="20"/>
              </w:rPr>
              <w:t xml:space="preserve">     0.698 </w:t>
            </w:r>
          </w:p>
        </w:tc>
        <w:tc>
          <w:tcPr>
            <w:tcW w:w="502" w:type="pct"/>
            <w:tcBorders>
              <w:top w:val="nil"/>
              <w:left w:val="nil"/>
              <w:right w:val="nil"/>
            </w:tcBorders>
            <w:shd w:val="clear" w:color="auto" w:fill="auto"/>
            <w:noWrap/>
            <w:vAlign w:val="bottom"/>
            <w:hideMark/>
          </w:tcPr>
          <w:p w14:paraId="46CB7E4B" w14:textId="77777777" w:rsidR="001631C6" w:rsidRPr="00F77F84" w:rsidRDefault="001631C6" w:rsidP="008F5322">
            <w:pPr>
              <w:jc w:val="center"/>
              <w:rPr>
                <w:color w:val="000000"/>
                <w:sz w:val="20"/>
                <w:szCs w:val="20"/>
                <w:lang w:val="en-US"/>
              </w:rPr>
            </w:pPr>
            <w:r w:rsidRPr="00F77F84">
              <w:rPr>
                <w:color w:val="000000"/>
                <w:sz w:val="20"/>
                <w:szCs w:val="20"/>
              </w:rPr>
              <w:t xml:space="preserve">    17.329 </w:t>
            </w:r>
          </w:p>
        </w:tc>
        <w:tc>
          <w:tcPr>
            <w:tcW w:w="538" w:type="pct"/>
            <w:tcBorders>
              <w:top w:val="nil"/>
              <w:left w:val="nil"/>
              <w:right w:val="nil"/>
            </w:tcBorders>
            <w:shd w:val="clear" w:color="auto" w:fill="auto"/>
            <w:noWrap/>
            <w:vAlign w:val="bottom"/>
            <w:hideMark/>
          </w:tcPr>
          <w:p w14:paraId="07B8E601" w14:textId="77777777" w:rsidR="001631C6" w:rsidRPr="00F77F84" w:rsidRDefault="001631C6" w:rsidP="008F5322">
            <w:pPr>
              <w:jc w:val="center"/>
              <w:rPr>
                <w:color w:val="000000"/>
                <w:sz w:val="20"/>
                <w:szCs w:val="20"/>
                <w:lang w:val="en-US"/>
              </w:rPr>
            </w:pPr>
            <w:r w:rsidRPr="00F77F84">
              <w:rPr>
                <w:color w:val="000000"/>
                <w:sz w:val="20"/>
                <w:szCs w:val="20"/>
              </w:rPr>
              <w:t xml:space="preserve">     0.580 </w:t>
            </w:r>
          </w:p>
        </w:tc>
        <w:tc>
          <w:tcPr>
            <w:tcW w:w="417" w:type="pct"/>
            <w:tcBorders>
              <w:top w:val="nil"/>
              <w:left w:val="nil"/>
              <w:right w:val="nil"/>
            </w:tcBorders>
            <w:shd w:val="clear" w:color="auto" w:fill="auto"/>
            <w:noWrap/>
            <w:vAlign w:val="bottom"/>
            <w:hideMark/>
          </w:tcPr>
          <w:p w14:paraId="5B5C7746" w14:textId="77777777" w:rsidR="001631C6" w:rsidRPr="00F77F84" w:rsidRDefault="001631C6" w:rsidP="008F5322">
            <w:pPr>
              <w:jc w:val="center"/>
              <w:rPr>
                <w:color w:val="000000"/>
                <w:sz w:val="20"/>
                <w:szCs w:val="20"/>
                <w:lang w:val="en-US"/>
              </w:rPr>
            </w:pPr>
            <w:r w:rsidRPr="00F77F84">
              <w:rPr>
                <w:color w:val="000000"/>
                <w:sz w:val="20"/>
                <w:szCs w:val="20"/>
              </w:rPr>
              <w:t xml:space="preserve">     7.728 </w:t>
            </w:r>
          </w:p>
        </w:tc>
        <w:tc>
          <w:tcPr>
            <w:tcW w:w="355" w:type="pct"/>
            <w:tcBorders>
              <w:top w:val="nil"/>
              <w:left w:val="nil"/>
              <w:right w:val="nil"/>
            </w:tcBorders>
            <w:shd w:val="clear" w:color="auto" w:fill="auto"/>
            <w:noWrap/>
            <w:vAlign w:val="bottom"/>
            <w:hideMark/>
          </w:tcPr>
          <w:p w14:paraId="05589A24" w14:textId="77777777" w:rsidR="001631C6" w:rsidRPr="00F77F84" w:rsidRDefault="001631C6" w:rsidP="008F5322">
            <w:pPr>
              <w:jc w:val="center"/>
              <w:rPr>
                <w:color w:val="000000"/>
                <w:sz w:val="20"/>
                <w:szCs w:val="20"/>
                <w:lang w:val="en-US"/>
              </w:rPr>
            </w:pPr>
            <w:r w:rsidRPr="00F77F84">
              <w:rPr>
                <w:color w:val="000000"/>
                <w:sz w:val="20"/>
                <w:szCs w:val="20"/>
              </w:rPr>
              <w:t xml:space="preserve">     7.783 </w:t>
            </w:r>
          </w:p>
        </w:tc>
        <w:tc>
          <w:tcPr>
            <w:tcW w:w="505" w:type="pct"/>
            <w:tcBorders>
              <w:top w:val="nil"/>
              <w:left w:val="nil"/>
              <w:right w:val="nil"/>
            </w:tcBorders>
            <w:shd w:val="clear" w:color="auto" w:fill="auto"/>
            <w:noWrap/>
            <w:vAlign w:val="bottom"/>
            <w:hideMark/>
          </w:tcPr>
          <w:p w14:paraId="331E0529" w14:textId="77777777" w:rsidR="001631C6" w:rsidRPr="00F77F84" w:rsidRDefault="001631C6" w:rsidP="008F5322">
            <w:pPr>
              <w:jc w:val="center"/>
              <w:rPr>
                <w:color w:val="000000"/>
                <w:sz w:val="20"/>
                <w:szCs w:val="20"/>
                <w:lang w:val="en-US"/>
              </w:rPr>
            </w:pPr>
            <w:r w:rsidRPr="00F77F84">
              <w:rPr>
                <w:color w:val="000000"/>
                <w:sz w:val="20"/>
                <w:szCs w:val="20"/>
              </w:rPr>
              <w:t xml:space="preserve">  779.885 </w:t>
            </w:r>
          </w:p>
        </w:tc>
        <w:tc>
          <w:tcPr>
            <w:tcW w:w="449" w:type="pct"/>
            <w:tcBorders>
              <w:top w:val="nil"/>
              <w:left w:val="nil"/>
              <w:right w:val="nil"/>
            </w:tcBorders>
            <w:shd w:val="clear" w:color="auto" w:fill="auto"/>
            <w:noWrap/>
            <w:vAlign w:val="bottom"/>
            <w:hideMark/>
          </w:tcPr>
          <w:p w14:paraId="21B8C492" w14:textId="77777777" w:rsidR="001631C6" w:rsidRPr="00F77F84" w:rsidRDefault="001631C6" w:rsidP="008F5322">
            <w:pPr>
              <w:jc w:val="center"/>
              <w:rPr>
                <w:color w:val="000000"/>
                <w:sz w:val="20"/>
                <w:szCs w:val="20"/>
                <w:lang w:val="en-US"/>
              </w:rPr>
            </w:pPr>
            <w:r w:rsidRPr="00F77F84">
              <w:rPr>
                <w:color w:val="000000"/>
                <w:sz w:val="20"/>
                <w:szCs w:val="20"/>
              </w:rPr>
              <w:t xml:space="preserve">    73.128 </w:t>
            </w:r>
          </w:p>
        </w:tc>
      </w:tr>
      <w:tr w:rsidR="001631C6" w:rsidRPr="00F77F84" w14:paraId="53F1BBAA" w14:textId="77777777" w:rsidTr="008F5322">
        <w:trPr>
          <w:trHeight w:val="20"/>
        </w:trPr>
        <w:tc>
          <w:tcPr>
            <w:tcW w:w="607" w:type="pct"/>
            <w:tcBorders>
              <w:top w:val="nil"/>
              <w:left w:val="nil"/>
              <w:bottom w:val="single" w:sz="4" w:space="0" w:color="auto"/>
              <w:right w:val="nil"/>
            </w:tcBorders>
            <w:shd w:val="clear" w:color="auto" w:fill="auto"/>
            <w:noWrap/>
            <w:vAlign w:val="bottom"/>
            <w:hideMark/>
          </w:tcPr>
          <w:p w14:paraId="3B95D1C6" w14:textId="77777777" w:rsidR="001631C6" w:rsidRPr="00F77F84" w:rsidRDefault="001631C6" w:rsidP="008F5322">
            <w:pPr>
              <w:rPr>
                <w:color w:val="000000"/>
                <w:sz w:val="20"/>
                <w:szCs w:val="20"/>
                <w:lang w:val="en-US"/>
              </w:rPr>
            </w:pPr>
          </w:p>
        </w:tc>
        <w:tc>
          <w:tcPr>
            <w:tcW w:w="581" w:type="pct"/>
            <w:tcBorders>
              <w:top w:val="nil"/>
              <w:left w:val="nil"/>
              <w:bottom w:val="single" w:sz="4" w:space="0" w:color="auto"/>
              <w:right w:val="nil"/>
            </w:tcBorders>
            <w:shd w:val="clear" w:color="auto" w:fill="auto"/>
            <w:noWrap/>
            <w:vAlign w:val="bottom"/>
            <w:hideMark/>
          </w:tcPr>
          <w:p w14:paraId="7D9D7C0E" w14:textId="77777777" w:rsidR="001631C6" w:rsidRPr="00F77F84" w:rsidRDefault="001631C6" w:rsidP="008F5322">
            <w:pPr>
              <w:jc w:val="center"/>
              <w:rPr>
                <w:color w:val="000000"/>
                <w:sz w:val="20"/>
                <w:szCs w:val="20"/>
                <w:lang w:val="en-US"/>
              </w:rPr>
            </w:pPr>
          </w:p>
        </w:tc>
        <w:tc>
          <w:tcPr>
            <w:tcW w:w="419" w:type="pct"/>
            <w:tcBorders>
              <w:top w:val="nil"/>
              <w:left w:val="nil"/>
              <w:bottom w:val="single" w:sz="4" w:space="0" w:color="auto"/>
              <w:right w:val="nil"/>
            </w:tcBorders>
            <w:shd w:val="clear" w:color="auto" w:fill="auto"/>
            <w:noWrap/>
            <w:vAlign w:val="bottom"/>
            <w:hideMark/>
          </w:tcPr>
          <w:p w14:paraId="1DAD3134" w14:textId="77777777" w:rsidR="001631C6" w:rsidRPr="00F77F84" w:rsidRDefault="001631C6" w:rsidP="008F5322">
            <w:pPr>
              <w:jc w:val="center"/>
              <w:rPr>
                <w:color w:val="000000"/>
                <w:sz w:val="20"/>
                <w:szCs w:val="20"/>
                <w:lang w:val="en-US"/>
              </w:rPr>
            </w:pPr>
            <w:r w:rsidRPr="00F77F84">
              <w:rPr>
                <w:color w:val="000000"/>
                <w:sz w:val="20"/>
                <w:szCs w:val="20"/>
              </w:rPr>
              <w:t xml:space="preserve"> [0.850] </w:t>
            </w:r>
          </w:p>
        </w:tc>
        <w:tc>
          <w:tcPr>
            <w:tcW w:w="626" w:type="pct"/>
            <w:tcBorders>
              <w:top w:val="nil"/>
              <w:left w:val="nil"/>
              <w:bottom w:val="single" w:sz="4" w:space="0" w:color="auto"/>
              <w:right w:val="nil"/>
            </w:tcBorders>
            <w:shd w:val="clear" w:color="auto" w:fill="auto"/>
            <w:noWrap/>
            <w:vAlign w:val="bottom"/>
            <w:hideMark/>
          </w:tcPr>
          <w:p w14:paraId="18456525" w14:textId="77777777" w:rsidR="001631C6" w:rsidRPr="00F77F84" w:rsidRDefault="001631C6" w:rsidP="008F5322">
            <w:pPr>
              <w:jc w:val="center"/>
              <w:rPr>
                <w:color w:val="000000"/>
                <w:sz w:val="20"/>
                <w:szCs w:val="20"/>
                <w:lang w:val="en-US"/>
              </w:rPr>
            </w:pPr>
            <w:r w:rsidRPr="00F77F84">
              <w:rPr>
                <w:color w:val="000000"/>
                <w:sz w:val="20"/>
                <w:szCs w:val="20"/>
              </w:rPr>
              <w:t xml:space="preserve"> [0.714] </w:t>
            </w:r>
          </w:p>
        </w:tc>
        <w:tc>
          <w:tcPr>
            <w:tcW w:w="502" w:type="pct"/>
            <w:tcBorders>
              <w:top w:val="nil"/>
              <w:left w:val="nil"/>
              <w:bottom w:val="single" w:sz="4" w:space="0" w:color="auto"/>
              <w:right w:val="nil"/>
            </w:tcBorders>
            <w:shd w:val="clear" w:color="auto" w:fill="auto"/>
            <w:noWrap/>
            <w:vAlign w:val="bottom"/>
            <w:hideMark/>
          </w:tcPr>
          <w:p w14:paraId="3945FA55" w14:textId="77777777" w:rsidR="001631C6" w:rsidRPr="00F77F84" w:rsidRDefault="001631C6" w:rsidP="008F5322">
            <w:pPr>
              <w:jc w:val="center"/>
              <w:rPr>
                <w:color w:val="000000"/>
                <w:sz w:val="20"/>
                <w:szCs w:val="20"/>
                <w:lang w:val="en-US"/>
              </w:rPr>
            </w:pPr>
            <w:r w:rsidRPr="00F77F84">
              <w:rPr>
                <w:color w:val="000000"/>
                <w:sz w:val="20"/>
                <w:szCs w:val="20"/>
              </w:rPr>
              <w:t xml:space="preserve"> [12.000] </w:t>
            </w:r>
          </w:p>
        </w:tc>
        <w:tc>
          <w:tcPr>
            <w:tcW w:w="538" w:type="pct"/>
            <w:tcBorders>
              <w:top w:val="nil"/>
              <w:left w:val="nil"/>
              <w:bottom w:val="single" w:sz="4" w:space="0" w:color="auto"/>
              <w:right w:val="nil"/>
            </w:tcBorders>
            <w:shd w:val="clear" w:color="auto" w:fill="auto"/>
            <w:noWrap/>
            <w:vAlign w:val="bottom"/>
            <w:hideMark/>
          </w:tcPr>
          <w:p w14:paraId="4CA16A11" w14:textId="77777777" w:rsidR="001631C6" w:rsidRPr="00F77F84" w:rsidRDefault="001631C6" w:rsidP="008F5322">
            <w:pPr>
              <w:jc w:val="center"/>
              <w:rPr>
                <w:color w:val="000000"/>
                <w:sz w:val="20"/>
                <w:szCs w:val="20"/>
                <w:lang w:val="en-US"/>
              </w:rPr>
            </w:pPr>
            <w:r w:rsidRPr="00F77F84">
              <w:rPr>
                <w:color w:val="000000"/>
                <w:sz w:val="20"/>
                <w:szCs w:val="20"/>
              </w:rPr>
              <w:t xml:space="preserve"> [0.750] </w:t>
            </w:r>
          </w:p>
        </w:tc>
        <w:tc>
          <w:tcPr>
            <w:tcW w:w="417" w:type="pct"/>
            <w:tcBorders>
              <w:top w:val="nil"/>
              <w:left w:val="nil"/>
              <w:bottom w:val="single" w:sz="4" w:space="0" w:color="auto"/>
              <w:right w:val="nil"/>
            </w:tcBorders>
            <w:shd w:val="clear" w:color="auto" w:fill="auto"/>
            <w:noWrap/>
            <w:vAlign w:val="bottom"/>
            <w:hideMark/>
          </w:tcPr>
          <w:p w14:paraId="676EEA30" w14:textId="77777777" w:rsidR="001631C6" w:rsidRPr="00F77F84" w:rsidRDefault="001631C6" w:rsidP="008F5322">
            <w:pPr>
              <w:jc w:val="center"/>
              <w:rPr>
                <w:color w:val="000000"/>
                <w:sz w:val="20"/>
                <w:szCs w:val="20"/>
                <w:lang w:val="en-US"/>
              </w:rPr>
            </w:pPr>
            <w:r w:rsidRPr="00F77F84">
              <w:rPr>
                <w:color w:val="000000"/>
                <w:sz w:val="20"/>
                <w:szCs w:val="20"/>
              </w:rPr>
              <w:t xml:space="preserve"> [8.000] </w:t>
            </w:r>
          </w:p>
        </w:tc>
        <w:tc>
          <w:tcPr>
            <w:tcW w:w="355" w:type="pct"/>
            <w:tcBorders>
              <w:top w:val="nil"/>
              <w:left w:val="nil"/>
              <w:bottom w:val="single" w:sz="4" w:space="0" w:color="auto"/>
              <w:right w:val="nil"/>
            </w:tcBorders>
            <w:shd w:val="clear" w:color="auto" w:fill="auto"/>
            <w:noWrap/>
            <w:vAlign w:val="bottom"/>
            <w:hideMark/>
          </w:tcPr>
          <w:p w14:paraId="251B0F60" w14:textId="77777777" w:rsidR="001631C6" w:rsidRPr="00F77F84" w:rsidRDefault="001631C6" w:rsidP="008F5322">
            <w:pPr>
              <w:jc w:val="center"/>
              <w:rPr>
                <w:color w:val="000000"/>
                <w:sz w:val="20"/>
                <w:szCs w:val="20"/>
                <w:lang w:val="en-US"/>
              </w:rPr>
            </w:pPr>
            <w:r w:rsidRPr="00F77F84">
              <w:rPr>
                <w:color w:val="000000"/>
                <w:sz w:val="20"/>
                <w:szCs w:val="20"/>
              </w:rPr>
              <w:t xml:space="preserve"> [7.000] </w:t>
            </w:r>
          </w:p>
        </w:tc>
        <w:tc>
          <w:tcPr>
            <w:tcW w:w="505" w:type="pct"/>
            <w:tcBorders>
              <w:top w:val="nil"/>
              <w:left w:val="nil"/>
              <w:bottom w:val="single" w:sz="4" w:space="0" w:color="auto"/>
              <w:right w:val="nil"/>
            </w:tcBorders>
            <w:shd w:val="clear" w:color="auto" w:fill="auto"/>
            <w:noWrap/>
            <w:vAlign w:val="bottom"/>
            <w:hideMark/>
          </w:tcPr>
          <w:p w14:paraId="1A29AAD9" w14:textId="77777777" w:rsidR="001631C6" w:rsidRPr="00F77F84" w:rsidRDefault="001631C6" w:rsidP="008F5322">
            <w:pPr>
              <w:jc w:val="center"/>
              <w:rPr>
                <w:color w:val="000000"/>
                <w:sz w:val="20"/>
                <w:szCs w:val="20"/>
                <w:lang w:val="en-US"/>
              </w:rPr>
            </w:pPr>
            <w:r w:rsidRPr="00F77F84">
              <w:rPr>
                <w:color w:val="000000"/>
                <w:sz w:val="20"/>
                <w:szCs w:val="20"/>
              </w:rPr>
              <w:t xml:space="preserve"> [750.000] </w:t>
            </w:r>
          </w:p>
        </w:tc>
        <w:tc>
          <w:tcPr>
            <w:tcW w:w="449" w:type="pct"/>
            <w:tcBorders>
              <w:top w:val="nil"/>
              <w:left w:val="nil"/>
              <w:bottom w:val="single" w:sz="4" w:space="0" w:color="auto"/>
              <w:right w:val="nil"/>
            </w:tcBorders>
            <w:shd w:val="clear" w:color="auto" w:fill="auto"/>
            <w:noWrap/>
            <w:vAlign w:val="bottom"/>
            <w:hideMark/>
          </w:tcPr>
          <w:p w14:paraId="4B8BF98F" w14:textId="77777777" w:rsidR="001631C6" w:rsidRPr="00F77F84" w:rsidRDefault="001631C6" w:rsidP="008F5322">
            <w:pPr>
              <w:jc w:val="center"/>
              <w:rPr>
                <w:color w:val="000000"/>
                <w:sz w:val="20"/>
                <w:szCs w:val="20"/>
                <w:lang w:val="en-US"/>
              </w:rPr>
            </w:pPr>
            <w:r w:rsidRPr="00F77F84">
              <w:rPr>
                <w:color w:val="000000"/>
                <w:sz w:val="20"/>
                <w:szCs w:val="20"/>
              </w:rPr>
              <w:t xml:space="preserve"> [37.391] </w:t>
            </w:r>
          </w:p>
        </w:tc>
      </w:tr>
    </w:tbl>
    <w:p w14:paraId="7BB944FE" w14:textId="77777777" w:rsidR="001631C6" w:rsidRPr="00DC68DD" w:rsidRDefault="001631C6" w:rsidP="001631C6">
      <w:pPr>
        <w:spacing w:after="200" w:line="276" w:lineRule="auto"/>
        <w:rPr>
          <w:rFonts w:eastAsiaTheme="majorEastAsia"/>
          <w:bCs/>
          <w:sz w:val="20"/>
          <w:szCs w:val="20"/>
          <w:lang w:val="en-US"/>
        </w:rPr>
      </w:pPr>
      <w:r w:rsidRPr="00DC68DD">
        <w:rPr>
          <w:b/>
          <w:sz w:val="20"/>
          <w:szCs w:val="20"/>
          <w:lang w:val="en-US"/>
        </w:rPr>
        <w:br w:type="page"/>
      </w:r>
    </w:p>
    <w:p w14:paraId="0D98B51E" w14:textId="77777777" w:rsidR="001631C6" w:rsidRDefault="001631C6" w:rsidP="001631C6">
      <w:pPr>
        <w:rPr>
          <w:b/>
          <w:sz w:val="20"/>
          <w:szCs w:val="20"/>
          <w:lang w:val="en-US"/>
        </w:rPr>
        <w:sectPr w:rsidR="001631C6" w:rsidSect="008F5322">
          <w:pgSz w:w="16838" w:h="11906" w:orient="landscape" w:code="9"/>
          <w:pgMar w:top="1440" w:right="1973" w:bottom="1440" w:left="1967" w:header="709" w:footer="709" w:gutter="0"/>
          <w:cols w:space="708"/>
          <w:docGrid w:linePitch="360"/>
        </w:sectPr>
      </w:pPr>
      <w:bookmarkStart w:id="20" w:name="_Toc415333332"/>
      <w:bookmarkStart w:id="21" w:name="_Toc390613827"/>
      <w:bookmarkEnd w:id="18"/>
      <w:bookmarkEnd w:id="19"/>
    </w:p>
    <w:p w14:paraId="366908A8" w14:textId="77777777" w:rsidR="001631C6" w:rsidRPr="00207BB5" w:rsidRDefault="001631C6" w:rsidP="001631C6">
      <w:pPr>
        <w:rPr>
          <w:rFonts w:eastAsiaTheme="majorEastAsia"/>
          <w:b/>
          <w:bCs/>
          <w:lang w:val="en-US"/>
        </w:rPr>
      </w:pPr>
      <w:r w:rsidRPr="00207BB5">
        <w:rPr>
          <w:b/>
          <w:lang w:val="en-US"/>
        </w:rPr>
        <w:lastRenderedPageBreak/>
        <w:t xml:space="preserve">Table 4 </w:t>
      </w:r>
    </w:p>
    <w:p w14:paraId="5ACCFE04" w14:textId="77777777" w:rsidR="00007479" w:rsidRDefault="001631C6" w:rsidP="00007479">
      <w:pPr>
        <w:pStyle w:val="Heading2"/>
        <w:spacing w:before="0" w:after="0"/>
        <w:jc w:val="both"/>
        <w:rPr>
          <w:rFonts w:cs="Times New Roman"/>
          <w:szCs w:val="24"/>
          <w:lang w:val="en-US"/>
        </w:rPr>
      </w:pPr>
      <w:r w:rsidRPr="00207BB5">
        <w:rPr>
          <w:rFonts w:cs="Times New Roman"/>
          <w:szCs w:val="24"/>
          <w:lang w:val="en-US"/>
        </w:rPr>
        <w:t>Regression analysis of impact of bookrunner syndicate geography on at-issue credit spread.</w:t>
      </w:r>
    </w:p>
    <w:p w14:paraId="54A6FC32" w14:textId="0D9CFE1B" w:rsidR="001631C6" w:rsidRPr="00007479" w:rsidRDefault="001631C6" w:rsidP="00007479">
      <w:pPr>
        <w:pStyle w:val="Heading2"/>
        <w:spacing w:before="0" w:after="0"/>
        <w:jc w:val="both"/>
        <w:rPr>
          <w:rFonts w:cs="Times New Roman"/>
          <w:b/>
          <w:i w:val="0"/>
          <w:szCs w:val="24"/>
          <w:lang w:val="en-US"/>
        </w:rPr>
      </w:pPr>
      <w:r w:rsidRPr="00007479">
        <w:rPr>
          <w:i w:val="0"/>
          <w:sz w:val="20"/>
          <w:szCs w:val="20"/>
          <w:lang w:val="en-US"/>
        </w:rPr>
        <w:t>The table reports the results of an instrumental variable two-stage least squares (IV-2SLS) regression</w:t>
      </w:r>
      <w:r w:rsidRPr="00007479" w:rsidDel="00125C74">
        <w:rPr>
          <w:i w:val="0"/>
          <w:sz w:val="20"/>
          <w:szCs w:val="20"/>
          <w:lang w:val="en-US"/>
        </w:rPr>
        <w:t xml:space="preserve"> </w:t>
      </w:r>
      <w:r w:rsidRPr="00007479">
        <w:rPr>
          <w:i w:val="0"/>
          <w:sz w:val="20"/>
          <w:szCs w:val="20"/>
          <w:lang w:val="en-US"/>
        </w:rPr>
        <w:t xml:space="preserve">predicting the proportion of non-domestic bookrunners (first stage) and the at-issue credit spread (second stage) of 2,409 euro-denominated public bond tranches issued by 356 Western European firms during 2001-2020. All variables are defined in Table 1. Standard errors clustered at the firm and year level are reported in parenthesis. </w:t>
      </w:r>
      <w:r w:rsidRPr="00007479">
        <w:rPr>
          <w:i w:val="0"/>
          <w:color w:val="000000"/>
          <w:sz w:val="20"/>
          <w:szCs w:val="20"/>
          <w:lang w:val="en-US" w:eastAsia="en-GB"/>
        </w:rPr>
        <w:t>***</w:t>
      </w:r>
      <w:r w:rsidRPr="00007479">
        <w:rPr>
          <w:i w:val="0"/>
          <w:color w:val="000000"/>
          <w:sz w:val="20"/>
          <w:szCs w:val="20"/>
          <w:lang w:val="en-US"/>
        </w:rPr>
        <w:t>, **, and * denote significance at the 1%, 5%, and 10% levels respectively.</w:t>
      </w:r>
    </w:p>
    <w:tbl>
      <w:tblPr>
        <w:tblW w:w="5000" w:type="pct"/>
        <w:tblBorders>
          <w:top w:val="single" w:sz="4" w:space="0" w:color="auto"/>
          <w:bottom w:val="single" w:sz="4" w:space="0" w:color="auto"/>
        </w:tblBorders>
        <w:tblLook w:val="04A0" w:firstRow="1" w:lastRow="0" w:firstColumn="1" w:lastColumn="0" w:noHBand="0" w:noVBand="1"/>
      </w:tblPr>
      <w:tblGrid>
        <w:gridCol w:w="4231"/>
        <w:gridCol w:w="3020"/>
        <w:gridCol w:w="1775"/>
      </w:tblGrid>
      <w:tr w:rsidR="001631C6" w:rsidRPr="00BE6BBE" w14:paraId="410248B0" w14:textId="77777777" w:rsidTr="008F5322">
        <w:trPr>
          <w:trHeight w:val="20"/>
        </w:trPr>
        <w:tc>
          <w:tcPr>
            <w:tcW w:w="2344" w:type="pct"/>
            <w:tcBorders>
              <w:bottom w:val="nil"/>
            </w:tcBorders>
            <w:shd w:val="clear" w:color="auto" w:fill="auto"/>
            <w:vAlign w:val="bottom"/>
            <w:hideMark/>
          </w:tcPr>
          <w:p w14:paraId="2525F623" w14:textId="77777777" w:rsidR="001631C6" w:rsidRPr="00007479" w:rsidRDefault="001631C6" w:rsidP="008F5322">
            <w:pPr>
              <w:rPr>
                <w:color w:val="000000"/>
                <w:sz w:val="20"/>
                <w:szCs w:val="20"/>
                <w:lang w:val="en-US" w:eastAsia="en-GB"/>
              </w:rPr>
            </w:pPr>
            <w:r w:rsidRPr="00007479">
              <w:rPr>
                <w:color w:val="000000"/>
                <w:sz w:val="20"/>
                <w:szCs w:val="20"/>
                <w:lang w:val="en-US" w:eastAsia="en-GB"/>
              </w:rPr>
              <w:t> </w:t>
            </w:r>
          </w:p>
        </w:tc>
        <w:tc>
          <w:tcPr>
            <w:tcW w:w="1673" w:type="pct"/>
            <w:tcBorders>
              <w:bottom w:val="nil"/>
            </w:tcBorders>
            <w:shd w:val="clear" w:color="auto" w:fill="auto"/>
            <w:vAlign w:val="center"/>
            <w:hideMark/>
          </w:tcPr>
          <w:p w14:paraId="3C606CBD" w14:textId="77777777" w:rsidR="001631C6" w:rsidRPr="00007479" w:rsidRDefault="001631C6" w:rsidP="008F5322">
            <w:pPr>
              <w:jc w:val="center"/>
              <w:rPr>
                <w:bCs/>
                <w:color w:val="000000"/>
                <w:sz w:val="20"/>
                <w:szCs w:val="20"/>
                <w:lang w:val="en-US" w:eastAsia="en-GB"/>
              </w:rPr>
            </w:pPr>
            <w:r w:rsidRPr="00007479">
              <w:rPr>
                <w:bCs/>
                <w:color w:val="000000"/>
                <w:sz w:val="20"/>
                <w:szCs w:val="20"/>
                <w:lang w:val="en-US" w:eastAsia="en-GB"/>
              </w:rPr>
              <w:t>Model 1</w:t>
            </w:r>
          </w:p>
        </w:tc>
        <w:tc>
          <w:tcPr>
            <w:tcW w:w="983" w:type="pct"/>
            <w:tcBorders>
              <w:bottom w:val="nil"/>
            </w:tcBorders>
            <w:shd w:val="clear" w:color="auto" w:fill="auto"/>
            <w:vAlign w:val="center"/>
            <w:hideMark/>
          </w:tcPr>
          <w:p w14:paraId="5A386833" w14:textId="77777777" w:rsidR="001631C6" w:rsidRPr="00007479" w:rsidRDefault="001631C6" w:rsidP="008F5322">
            <w:pPr>
              <w:jc w:val="center"/>
              <w:rPr>
                <w:bCs/>
                <w:color w:val="000000"/>
                <w:sz w:val="20"/>
                <w:szCs w:val="20"/>
                <w:lang w:val="en-US" w:eastAsia="en-GB"/>
              </w:rPr>
            </w:pPr>
            <w:r w:rsidRPr="00007479">
              <w:rPr>
                <w:bCs/>
                <w:color w:val="000000"/>
                <w:sz w:val="20"/>
                <w:szCs w:val="20"/>
                <w:lang w:val="en-US" w:eastAsia="en-GB"/>
              </w:rPr>
              <w:t>Model 2</w:t>
            </w:r>
          </w:p>
        </w:tc>
      </w:tr>
      <w:tr w:rsidR="001631C6" w:rsidRPr="00BE6BBE" w14:paraId="35B9A7E1" w14:textId="77777777" w:rsidTr="008F5322">
        <w:trPr>
          <w:trHeight w:val="20"/>
        </w:trPr>
        <w:tc>
          <w:tcPr>
            <w:tcW w:w="2344" w:type="pct"/>
            <w:tcBorders>
              <w:top w:val="nil"/>
              <w:bottom w:val="single" w:sz="4" w:space="0" w:color="auto"/>
            </w:tcBorders>
            <w:shd w:val="clear" w:color="auto" w:fill="auto"/>
            <w:noWrap/>
            <w:vAlign w:val="bottom"/>
            <w:hideMark/>
          </w:tcPr>
          <w:p w14:paraId="0FAB71D0" w14:textId="77777777" w:rsidR="001631C6" w:rsidRPr="00007479" w:rsidRDefault="001631C6" w:rsidP="008F5322">
            <w:pPr>
              <w:rPr>
                <w:color w:val="000000"/>
                <w:sz w:val="20"/>
                <w:szCs w:val="20"/>
                <w:lang w:val="en-US" w:eastAsia="en-GB"/>
              </w:rPr>
            </w:pPr>
            <w:r w:rsidRPr="00007479">
              <w:rPr>
                <w:color w:val="000000"/>
                <w:sz w:val="20"/>
                <w:szCs w:val="20"/>
                <w:lang w:val="en-US" w:eastAsia="en-GB"/>
              </w:rPr>
              <w:t> </w:t>
            </w:r>
          </w:p>
        </w:tc>
        <w:tc>
          <w:tcPr>
            <w:tcW w:w="1673" w:type="pct"/>
            <w:tcBorders>
              <w:top w:val="nil"/>
              <w:bottom w:val="single" w:sz="4" w:space="0" w:color="auto"/>
            </w:tcBorders>
            <w:shd w:val="clear" w:color="auto" w:fill="auto"/>
            <w:vAlign w:val="center"/>
            <w:hideMark/>
          </w:tcPr>
          <w:p w14:paraId="3F3A054A" w14:textId="77777777" w:rsidR="001631C6" w:rsidRPr="00007479" w:rsidRDefault="001631C6" w:rsidP="008F5322">
            <w:pPr>
              <w:jc w:val="center"/>
              <w:rPr>
                <w:bCs/>
                <w:color w:val="000000"/>
                <w:sz w:val="20"/>
                <w:szCs w:val="20"/>
                <w:lang w:val="en-US" w:eastAsia="en-GB"/>
              </w:rPr>
            </w:pPr>
            <w:r w:rsidRPr="00007479">
              <w:rPr>
                <w:bCs/>
                <w:color w:val="000000"/>
                <w:sz w:val="20"/>
                <w:szCs w:val="20"/>
                <w:lang w:val="en-US" w:eastAsia="en-GB"/>
              </w:rPr>
              <w:t>% of Non-domestic BRs</w:t>
            </w:r>
          </w:p>
        </w:tc>
        <w:tc>
          <w:tcPr>
            <w:tcW w:w="983" w:type="pct"/>
            <w:tcBorders>
              <w:top w:val="nil"/>
              <w:bottom w:val="single" w:sz="4" w:space="0" w:color="auto"/>
            </w:tcBorders>
            <w:shd w:val="clear" w:color="auto" w:fill="auto"/>
            <w:vAlign w:val="center"/>
            <w:hideMark/>
          </w:tcPr>
          <w:p w14:paraId="2FE9C1B9" w14:textId="77777777" w:rsidR="001631C6" w:rsidRPr="00007479" w:rsidRDefault="001631C6" w:rsidP="008F5322">
            <w:pPr>
              <w:jc w:val="center"/>
              <w:rPr>
                <w:bCs/>
                <w:color w:val="000000"/>
                <w:sz w:val="20"/>
                <w:szCs w:val="20"/>
                <w:lang w:val="en-US" w:eastAsia="en-GB"/>
              </w:rPr>
            </w:pPr>
            <w:r w:rsidRPr="00007479">
              <w:rPr>
                <w:bCs/>
                <w:color w:val="000000"/>
                <w:sz w:val="20"/>
                <w:szCs w:val="20"/>
                <w:lang w:val="en-US" w:eastAsia="en-GB"/>
              </w:rPr>
              <w:t>Credit spread</w:t>
            </w:r>
          </w:p>
        </w:tc>
      </w:tr>
      <w:tr w:rsidR="001631C6" w:rsidRPr="00BE6BBE" w14:paraId="07C62947" w14:textId="77777777" w:rsidTr="008F5322">
        <w:trPr>
          <w:trHeight w:val="20"/>
        </w:trPr>
        <w:tc>
          <w:tcPr>
            <w:tcW w:w="2344" w:type="pct"/>
            <w:vMerge w:val="restart"/>
            <w:shd w:val="clear" w:color="auto" w:fill="auto"/>
            <w:noWrap/>
            <w:vAlign w:val="center"/>
            <w:hideMark/>
          </w:tcPr>
          <w:p w14:paraId="2E6A3C21"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Ln (No. of bonds)</w:t>
            </w:r>
          </w:p>
        </w:tc>
        <w:tc>
          <w:tcPr>
            <w:tcW w:w="1673" w:type="pct"/>
            <w:shd w:val="clear" w:color="auto" w:fill="auto"/>
          </w:tcPr>
          <w:p w14:paraId="3C918C37" w14:textId="77777777" w:rsidR="001631C6" w:rsidRPr="00F14EF8" w:rsidRDefault="001631C6" w:rsidP="008F5322">
            <w:pPr>
              <w:jc w:val="center"/>
              <w:rPr>
                <w:sz w:val="18"/>
                <w:szCs w:val="18"/>
              </w:rPr>
            </w:pPr>
            <w:r w:rsidRPr="00F14EF8">
              <w:rPr>
                <w:sz w:val="18"/>
                <w:szCs w:val="18"/>
              </w:rPr>
              <w:t>-0.067***</w:t>
            </w:r>
          </w:p>
        </w:tc>
        <w:tc>
          <w:tcPr>
            <w:tcW w:w="983" w:type="pct"/>
            <w:shd w:val="clear" w:color="auto" w:fill="auto"/>
          </w:tcPr>
          <w:p w14:paraId="36BCE5BC" w14:textId="77777777" w:rsidR="001631C6" w:rsidRPr="00F14EF8" w:rsidRDefault="001631C6" w:rsidP="008F5322">
            <w:pPr>
              <w:jc w:val="center"/>
              <w:rPr>
                <w:sz w:val="18"/>
                <w:szCs w:val="18"/>
                <w:lang w:val="en-US"/>
              </w:rPr>
            </w:pPr>
          </w:p>
        </w:tc>
      </w:tr>
      <w:tr w:rsidR="001631C6" w:rsidRPr="00BE6BBE" w14:paraId="2CFAC402" w14:textId="77777777" w:rsidTr="008F5322">
        <w:trPr>
          <w:trHeight w:val="20"/>
        </w:trPr>
        <w:tc>
          <w:tcPr>
            <w:tcW w:w="2344" w:type="pct"/>
            <w:vMerge/>
            <w:vAlign w:val="center"/>
            <w:hideMark/>
          </w:tcPr>
          <w:p w14:paraId="582A4350" w14:textId="77777777" w:rsidR="001631C6" w:rsidRPr="00F14EF8" w:rsidRDefault="001631C6" w:rsidP="008F5322">
            <w:pPr>
              <w:rPr>
                <w:color w:val="000000"/>
                <w:sz w:val="18"/>
                <w:szCs w:val="18"/>
                <w:lang w:val="en-US" w:eastAsia="en-GB"/>
              </w:rPr>
            </w:pPr>
          </w:p>
        </w:tc>
        <w:tc>
          <w:tcPr>
            <w:tcW w:w="1673" w:type="pct"/>
            <w:shd w:val="clear" w:color="auto" w:fill="auto"/>
          </w:tcPr>
          <w:p w14:paraId="68652894" w14:textId="77777777" w:rsidR="001631C6" w:rsidRPr="00F14EF8" w:rsidRDefault="001631C6" w:rsidP="008F5322">
            <w:pPr>
              <w:jc w:val="center"/>
              <w:rPr>
                <w:sz w:val="18"/>
                <w:szCs w:val="18"/>
              </w:rPr>
            </w:pPr>
            <w:r w:rsidRPr="00F14EF8">
              <w:rPr>
                <w:sz w:val="18"/>
                <w:szCs w:val="18"/>
              </w:rPr>
              <w:t>(0.007)</w:t>
            </w:r>
          </w:p>
        </w:tc>
        <w:tc>
          <w:tcPr>
            <w:tcW w:w="983" w:type="pct"/>
            <w:shd w:val="clear" w:color="auto" w:fill="auto"/>
          </w:tcPr>
          <w:p w14:paraId="0BD2B1C7" w14:textId="77777777" w:rsidR="001631C6" w:rsidRPr="00F14EF8" w:rsidRDefault="001631C6" w:rsidP="008F5322">
            <w:pPr>
              <w:jc w:val="center"/>
              <w:rPr>
                <w:sz w:val="18"/>
                <w:szCs w:val="18"/>
                <w:lang w:val="en-US"/>
              </w:rPr>
            </w:pPr>
          </w:p>
        </w:tc>
      </w:tr>
      <w:tr w:rsidR="001631C6" w:rsidRPr="00BE6BBE" w14:paraId="5D41E8D6" w14:textId="77777777" w:rsidTr="008F5322">
        <w:trPr>
          <w:trHeight w:val="20"/>
        </w:trPr>
        <w:tc>
          <w:tcPr>
            <w:tcW w:w="2344" w:type="pct"/>
            <w:vMerge w:val="restart"/>
            <w:vAlign w:val="center"/>
            <w:hideMark/>
          </w:tcPr>
          <w:p w14:paraId="2B3E5AB8" w14:textId="77777777" w:rsidR="001631C6" w:rsidRPr="00F14EF8" w:rsidRDefault="001631C6" w:rsidP="008F5322">
            <w:pPr>
              <w:rPr>
                <w:color w:val="000000"/>
                <w:sz w:val="18"/>
                <w:szCs w:val="18"/>
                <w:lang w:val="en-US" w:eastAsia="en-GB"/>
              </w:rPr>
            </w:pPr>
            <w:r w:rsidRPr="00F14EF8">
              <w:rPr>
                <w:bCs/>
                <w:color w:val="000000"/>
                <w:sz w:val="18"/>
                <w:szCs w:val="18"/>
                <w:lang w:val="en-US" w:eastAsia="en-GB"/>
              </w:rPr>
              <w:t>% of Non-domestic BRs</w:t>
            </w:r>
          </w:p>
        </w:tc>
        <w:tc>
          <w:tcPr>
            <w:tcW w:w="1673" w:type="pct"/>
            <w:shd w:val="clear" w:color="auto" w:fill="auto"/>
          </w:tcPr>
          <w:p w14:paraId="122AFE18" w14:textId="77777777" w:rsidR="001631C6" w:rsidRPr="00F14EF8" w:rsidRDefault="001631C6" w:rsidP="008F5322">
            <w:pPr>
              <w:jc w:val="center"/>
              <w:rPr>
                <w:sz w:val="18"/>
                <w:szCs w:val="18"/>
                <w:lang w:val="en-US"/>
              </w:rPr>
            </w:pPr>
          </w:p>
        </w:tc>
        <w:tc>
          <w:tcPr>
            <w:tcW w:w="983" w:type="pct"/>
            <w:shd w:val="clear" w:color="auto" w:fill="auto"/>
          </w:tcPr>
          <w:p w14:paraId="16628981" w14:textId="77777777" w:rsidR="001631C6" w:rsidRPr="00F14EF8" w:rsidRDefault="001631C6" w:rsidP="008F5322">
            <w:pPr>
              <w:jc w:val="center"/>
              <w:rPr>
                <w:sz w:val="18"/>
                <w:szCs w:val="18"/>
              </w:rPr>
            </w:pPr>
            <w:r w:rsidRPr="00F14EF8">
              <w:rPr>
                <w:sz w:val="18"/>
                <w:szCs w:val="18"/>
              </w:rPr>
              <w:t>1.268***</w:t>
            </w:r>
          </w:p>
        </w:tc>
      </w:tr>
      <w:tr w:rsidR="001631C6" w:rsidRPr="00BE6BBE" w14:paraId="3B9FB426" w14:textId="77777777" w:rsidTr="008F5322">
        <w:trPr>
          <w:trHeight w:val="20"/>
        </w:trPr>
        <w:tc>
          <w:tcPr>
            <w:tcW w:w="2344" w:type="pct"/>
            <w:vMerge/>
            <w:vAlign w:val="center"/>
            <w:hideMark/>
          </w:tcPr>
          <w:p w14:paraId="448E44D1" w14:textId="77777777" w:rsidR="001631C6" w:rsidRPr="00F14EF8" w:rsidRDefault="001631C6" w:rsidP="008F5322">
            <w:pPr>
              <w:rPr>
                <w:color w:val="000000"/>
                <w:sz w:val="18"/>
                <w:szCs w:val="18"/>
                <w:lang w:val="en-US" w:eastAsia="en-GB"/>
              </w:rPr>
            </w:pPr>
          </w:p>
        </w:tc>
        <w:tc>
          <w:tcPr>
            <w:tcW w:w="1673" w:type="pct"/>
            <w:shd w:val="clear" w:color="auto" w:fill="auto"/>
          </w:tcPr>
          <w:p w14:paraId="20F2CF0F" w14:textId="77777777" w:rsidR="001631C6" w:rsidRPr="00F14EF8" w:rsidRDefault="001631C6" w:rsidP="008F5322">
            <w:pPr>
              <w:jc w:val="center"/>
              <w:rPr>
                <w:sz w:val="18"/>
                <w:szCs w:val="18"/>
                <w:lang w:val="en-US"/>
              </w:rPr>
            </w:pPr>
          </w:p>
        </w:tc>
        <w:tc>
          <w:tcPr>
            <w:tcW w:w="983" w:type="pct"/>
            <w:shd w:val="clear" w:color="auto" w:fill="auto"/>
          </w:tcPr>
          <w:p w14:paraId="1DFE30B8" w14:textId="77777777" w:rsidR="001631C6" w:rsidRPr="00F14EF8" w:rsidRDefault="001631C6" w:rsidP="008F5322">
            <w:pPr>
              <w:jc w:val="center"/>
              <w:rPr>
                <w:sz w:val="18"/>
                <w:szCs w:val="18"/>
              </w:rPr>
            </w:pPr>
            <w:r w:rsidRPr="00F14EF8">
              <w:rPr>
                <w:sz w:val="18"/>
                <w:szCs w:val="18"/>
              </w:rPr>
              <w:t>(0.406)</w:t>
            </w:r>
          </w:p>
        </w:tc>
      </w:tr>
      <w:tr w:rsidR="001631C6" w:rsidRPr="00BE6BBE" w14:paraId="731ABFF1" w14:textId="77777777" w:rsidTr="008F5322">
        <w:trPr>
          <w:trHeight w:val="20"/>
        </w:trPr>
        <w:tc>
          <w:tcPr>
            <w:tcW w:w="2344" w:type="pct"/>
            <w:vMerge w:val="restart"/>
            <w:shd w:val="clear" w:color="auto" w:fill="auto"/>
            <w:noWrap/>
            <w:vAlign w:val="center"/>
          </w:tcPr>
          <w:p w14:paraId="78CEDD35" w14:textId="77777777" w:rsidR="001631C6" w:rsidRPr="00F14EF8" w:rsidRDefault="001631C6" w:rsidP="008F5322">
            <w:pPr>
              <w:rPr>
                <w:bCs/>
                <w:color w:val="000000"/>
                <w:sz w:val="18"/>
                <w:szCs w:val="18"/>
                <w:lang w:val="en-US" w:eastAsia="en-GB"/>
              </w:rPr>
            </w:pPr>
            <w:r w:rsidRPr="00F14EF8">
              <w:rPr>
                <w:bCs/>
                <w:color w:val="000000"/>
                <w:sz w:val="18"/>
                <w:szCs w:val="18"/>
                <w:lang w:val="en-US" w:eastAsia="en-GB"/>
              </w:rPr>
              <w:t>% of BRs prior lender</w:t>
            </w:r>
          </w:p>
        </w:tc>
        <w:tc>
          <w:tcPr>
            <w:tcW w:w="1673" w:type="pct"/>
            <w:shd w:val="clear" w:color="auto" w:fill="auto"/>
          </w:tcPr>
          <w:p w14:paraId="33093E6E" w14:textId="77777777" w:rsidR="001631C6" w:rsidRPr="00F14EF8" w:rsidRDefault="001631C6" w:rsidP="008F5322">
            <w:pPr>
              <w:jc w:val="center"/>
              <w:rPr>
                <w:sz w:val="18"/>
                <w:szCs w:val="18"/>
              </w:rPr>
            </w:pPr>
            <w:r w:rsidRPr="00F14EF8">
              <w:rPr>
                <w:sz w:val="18"/>
                <w:szCs w:val="18"/>
              </w:rPr>
              <w:t>-0.014</w:t>
            </w:r>
          </w:p>
        </w:tc>
        <w:tc>
          <w:tcPr>
            <w:tcW w:w="983" w:type="pct"/>
            <w:shd w:val="clear" w:color="auto" w:fill="auto"/>
          </w:tcPr>
          <w:p w14:paraId="04ACC553" w14:textId="77777777" w:rsidR="001631C6" w:rsidRPr="00F14EF8" w:rsidRDefault="001631C6" w:rsidP="008F5322">
            <w:pPr>
              <w:jc w:val="center"/>
              <w:rPr>
                <w:sz w:val="18"/>
                <w:szCs w:val="18"/>
              </w:rPr>
            </w:pPr>
            <w:r w:rsidRPr="00F14EF8">
              <w:rPr>
                <w:sz w:val="18"/>
                <w:szCs w:val="18"/>
              </w:rPr>
              <w:t>-0.002</w:t>
            </w:r>
          </w:p>
        </w:tc>
      </w:tr>
      <w:tr w:rsidR="001631C6" w:rsidRPr="00BE6BBE" w14:paraId="2B93FFC0" w14:textId="77777777" w:rsidTr="008F5322">
        <w:trPr>
          <w:trHeight w:val="20"/>
        </w:trPr>
        <w:tc>
          <w:tcPr>
            <w:tcW w:w="2344" w:type="pct"/>
            <w:vMerge/>
            <w:shd w:val="clear" w:color="auto" w:fill="auto"/>
            <w:noWrap/>
            <w:vAlign w:val="center"/>
          </w:tcPr>
          <w:p w14:paraId="644262A1" w14:textId="77777777" w:rsidR="001631C6" w:rsidRPr="00F14EF8" w:rsidRDefault="001631C6" w:rsidP="008F5322">
            <w:pPr>
              <w:rPr>
                <w:color w:val="000000"/>
                <w:sz w:val="18"/>
                <w:szCs w:val="18"/>
                <w:lang w:val="en-US" w:eastAsia="en-GB"/>
              </w:rPr>
            </w:pPr>
          </w:p>
        </w:tc>
        <w:tc>
          <w:tcPr>
            <w:tcW w:w="1673" w:type="pct"/>
            <w:shd w:val="clear" w:color="auto" w:fill="auto"/>
          </w:tcPr>
          <w:p w14:paraId="61CEB1D9" w14:textId="77777777" w:rsidR="001631C6" w:rsidRPr="00F14EF8" w:rsidRDefault="001631C6" w:rsidP="008F5322">
            <w:pPr>
              <w:jc w:val="center"/>
              <w:rPr>
                <w:sz w:val="18"/>
                <w:szCs w:val="18"/>
              </w:rPr>
            </w:pPr>
            <w:r w:rsidRPr="00F14EF8">
              <w:rPr>
                <w:sz w:val="18"/>
                <w:szCs w:val="18"/>
              </w:rPr>
              <w:t>(0.013)</w:t>
            </w:r>
          </w:p>
        </w:tc>
        <w:tc>
          <w:tcPr>
            <w:tcW w:w="983" w:type="pct"/>
            <w:shd w:val="clear" w:color="auto" w:fill="auto"/>
          </w:tcPr>
          <w:p w14:paraId="5189B93B" w14:textId="77777777" w:rsidR="001631C6" w:rsidRPr="00F14EF8" w:rsidRDefault="001631C6" w:rsidP="008F5322">
            <w:pPr>
              <w:jc w:val="center"/>
              <w:rPr>
                <w:sz w:val="18"/>
                <w:szCs w:val="18"/>
              </w:rPr>
            </w:pPr>
            <w:r w:rsidRPr="00F14EF8">
              <w:rPr>
                <w:sz w:val="18"/>
                <w:szCs w:val="18"/>
              </w:rPr>
              <w:t>(0.046)</w:t>
            </w:r>
          </w:p>
        </w:tc>
      </w:tr>
      <w:tr w:rsidR="001631C6" w:rsidRPr="00BE6BBE" w14:paraId="7F17814D" w14:textId="77777777" w:rsidTr="008F5322">
        <w:trPr>
          <w:trHeight w:val="20"/>
        </w:trPr>
        <w:tc>
          <w:tcPr>
            <w:tcW w:w="2344" w:type="pct"/>
            <w:vMerge w:val="restart"/>
            <w:shd w:val="clear" w:color="auto" w:fill="auto"/>
            <w:noWrap/>
            <w:vAlign w:val="center"/>
            <w:hideMark/>
          </w:tcPr>
          <w:p w14:paraId="67C73121"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Firm size</w:t>
            </w:r>
          </w:p>
        </w:tc>
        <w:tc>
          <w:tcPr>
            <w:tcW w:w="1673" w:type="pct"/>
            <w:shd w:val="clear" w:color="auto" w:fill="auto"/>
          </w:tcPr>
          <w:p w14:paraId="5FB4AAA9" w14:textId="77777777" w:rsidR="001631C6" w:rsidRPr="00F14EF8" w:rsidRDefault="001631C6" w:rsidP="008F5322">
            <w:pPr>
              <w:jc w:val="center"/>
              <w:rPr>
                <w:sz w:val="18"/>
                <w:szCs w:val="18"/>
              </w:rPr>
            </w:pPr>
            <w:r w:rsidRPr="00F14EF8">
              <w:rPr>
                <w:sz w:val="18"/>
                <w:szCs w:val="18"/>
              </w:rPr>
              <w:t>0.037***</w:t>
            </w:r>
          </w:p>
        </w:tc>
        <w:tc>
          <w:tcPr>
            <w:tcW w:w="983" w:type="pct"/>
            <w:shd w:val="clear" w:color="auto" w:fill="auto"/>
          </w:tcPr>
          <w:p w14:paraId="3103EFE9" w14:textId="77777777" w:rsidR="001631C6" w:rsidRPr="00F14EF8" w:rsidRDefault="001631C6" w:rsidP="008F5322">
            <w:pPr>
              <w:jc w:val="center"/>
              <w:rPr>
                <w:sz w:val="18"/>
                <w:szCs w:val="18"/>
              </w:rPr>
            </w:pPr>
            <w:r w:rsidRPr="00F14EF8">
              <w:rPr>
                <w:sz w:val="18"/>
                <w:szCs w:val="18"/>
              </w:rPr>
              <w:t>-0.108***</w:t>
            </w:r>
          </w:p>
        </w:tc>
      </w:tr>
      <w:tr w:rsidR="001631C6" w:rsidRPr="00BE6BBE" w14:paraId="609DADA4" w14:textId="77777777" w:rsidTr="008F5322">
        <w:trPr>
          <w:trHeight w:val="20"/>
        </w:trPr>
        <w:tc>
          <w:tcPr>
            <w:tcW w:w="2344" w:type="pct"/>
            <w:vMerge/>
            <w:shd w:val="clear" w:color="auto" w:fill="auto"/>
            <w:vAlign w:val="center"/>
            <w:hideMark/>
          </w:tcPr>
          <w:p w14:paraId="43C86800" w14:textId="77777777" w:rsidR="001631C6" w:rsidRPr="00F14EF8" w:rsidRDefault="001631C6" w:rsidP="008F5322">
            <w:pPr>
              <w:rPr>
                <w:color w:val="000000"/>
                <w:sz w:val="18"/>
                <w:szCs w:val="18"/>
                <w:lang w:val="en-US" w:eastAsia="en-GB"/>
              </w:rPr>
            </w:pPr>
          </w:p>
        </w:tc>
        <w:tc>
          <w:tcPr>
            <w:tcW w:w="1673" w:type="pct"/>
            <w:shd w:val="clear" w:color="auto" w:fill="auto"/>
          </w:tcPr>
          <w:p w14:paraId="7A4A99BE" w14:textId="77777777" w:rsidR="001631C6" w:rsidRPr="00F14EF8" w:rsidRDefault="001631C6" w:rsidP="008F5322">
            <w:pPr>
              <w:jc w:val="center"/>
              <w:rPr>
                <w:sz w:val="18"/>
                <w:szCs w:val="18"/>
              </w:rPr>
            </w:pPr>
            <w:r w:rsidRPr="00F14EF8">
              <w:rPr>
                <w:sz w:val="18"/>
                <w:szCs w:val="18"/>
              </w:rPr>
              <w:t>(0.006)</w:t>
            </w:r>
          </w:p>
        </w:tc>
        <w:tc>
          <w:tcPr>
            <w:tcW w:w="983" w:type="pct"/>
            <w:shd w:val="clear" w:color="auto" w:fill="auto"/>
          </w:tcPr>
          <w:p w14:paraId="1AF914BF" w14:textId="77777777" w:rsidR="001631C6" w:rsidRPr="00F14EF8" w:rsidRDefault="001631C6" w:rsidP="008F5322">
            <w:pPr>
              <w:jc w:val="center"/>
              <w:rPr>
                <w:sz w:val="18"/>
                <w:szCs w:val="18"/>
              </w:rPr>
            </w:pPr>
            <w:r w:rsidRPr="00F14EF8">
              <w:rPr>
                <w:sz w:val="18"/>
                <w:szCs w:val="18"/>
              </w:rPr>
              <w:t>(0.025)</w:t>
            </w:r>
          </w:p>
        </w:tc>
      </w:tr>
      <w:tr w:rsidR="001631C6" w:rsidRPr="00BE6BBE" w14:paraId="49CF244C" w14:textId="77777777" w:rsidTr="008F5322">
        <w:trPr>
          <w:trHeight w:val="20"/>
        </w:trPr>
        <w:tc>
          <w:tcPr>
            <w:tcW w:w="2344" w:type="pct"/>
            <w:vMerge w:val="restart"/>
            <w:shd w:val="clear" w:color="auto" w:fill="auto"/>
            <w:noWrap/>
            <w:vAlign w:val="center"/>
            <w:hideMark/>
          </w:tcPr>
          <w:p w14:paraId="1C1B46A5"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Profitability</w:t>
            </w:r>
          </w:p>
        </w:tc>
        <w:tc>
          <w:tcPr>
            <w:tcW w:w="1673" w:type="pct"/>
            <w:shd w:val="clear" w:color="auto" w:fill="auto"/>
          </w:tcPr>
          <w:p w14:paraId="5D71E827" w14:textId="77777777" w:rsidR="001631C6" w:rsidRPr="00F14EF8" w:rsidRDefault="001631C6" w:rsidP="008F5322">
            <w:pPr>
              <w:jc w:val="center"/>
              <w:rPr>
                <w:sz w:val="18"/>
                <w:szCs w:val="18"/>
              </w:rPr>
            </w:pPr>
            <w:r w:rsidRPr="00F14EF8">
              <w:rPr>
                <w:sz w:val="18"/>
                <w:szCs w:val="18"/>
              </w:rPr>
              <w:t>0.173</w:t>
            </w:r>
          </w:p>
        </w:tc>
        <w:tc>
          <w:tcPr>
            <w:tcW w:w="983" w:type="pct"/>
            <w:shd w:val="clear" w:color="auto" w:fill="auto"/>
          </w:tcPr>
          <w:p w14:paraId="75E4138E" w14:textId="77777777" w:rsidR="001631C6" w:rsidRPr="00F14EF8" w:rsidRDefault="001631C6" w:rsidP="008F5322">
            <w:pPr>
              <w:jc w:val="center"/>
              <w:rPr>
                <w:sz w:val="18"/>
                <w:szCs w:val="18"/>
              </w:rPr>
            </w:pPr>
            <w:r w:rsidRPr="00F14EF8">
              <w:rPr>
                <w:sz w:val="18"/>
                <w:szCs w:val="18"/>
              </w:rPr>
              <w:t>-1.604***</w:t>
            </w:r>
          </w:p>
        </w:tc>
      </w:tr>
      <w:tr w:rsidR="001631C6" w:rsidRPr="00BE6BBE" w14:paraId="4FE35028" w14:textId="77777777" w:rsidTr="008F5322">
        <w:trPr>
          <w:trHeight w:val="20"/>
        </w:trPr>
        <w:tc>
          <w:tcPr>
            <w:tcW w:w="2344" w:type="pct"/>
            <w:vMerge/>
            <w:shd w:val="clear" w:color="auto" w:fill="auto"/>
            <w:vAlign w:val="center"/>
            <w:hideMark/>
          </w:tcPr>
          <w:p w14:paraId="2AB05F3D" w14:textId="77777777" w:rsidR="001631C6" w:rsidRPr="00F14EF8" w:rsidRDefault="001631C6" w:rsidP="008F5322">
            <w:pPr>
              <w:rPr>
                <w:color w:val="000000"/>
                <w:sz w:val="18"/>
                <w:szCs w:val="18"/>
                <w:lang w:val="en-US" w:eastAsia="en-GB"/>
              </w:rPr>
            </w:pPr>
          </w:p>
        </w:tc>
        <w:tc>
          <w:tcPr>
            <w:tcW w:w="1673" w:type="pct"/>
            <w:shd w:val="clear" w:color="auto" w:fill="auto"/>
          </w:tcPr>
          <w:p w14:paraId="4B4262A7" w14:textId="77777777" w:rsidR="001631C6" w:rsidRPr="00F14EF8" w:rsidRDefault="001631C6" w:rsidP="008F5322">
            <w:pPr>
              <w:jc w:val="center"/>
              <w:rPr>
                <w:sz w:val="18"/>
                <w:szCs w:val="18"/>
              </w:rPr>
            </w:pPr>
            <w:r w:rsidRPr="00F14EF8">
              <w:rPr>
                <w:sz w:val="18"/>
                <w:szCs w:val="18"/>
              </w:rPr>
              <w:t>(0.114)</w:t>
            </w:r>
          </w:p>
        </w:tc>
        <w:tc>
          <w:tcPr>
            <w:tcW w:w="983" w:type="pct"/>
            <w:shd w:val="clear" w:color="auto" w:fill="auto"/>
          </w:tcPr>
          <w:p w14:paraId="4CCF830C" w14:textId="77777777" w:rsidR="001631C6" w:rsidRPr="00F14EF8" w:rsidRDefault="001631C6" w:rsidP="008F5322">
            <w:pPr>
              <w:jc w:val="center"/>
              <w:rPr>
                <w:sz w:val="18"/>
                <w:szCs w:val="18"/>
              </w:rPr>
            </w:pPr>
            <w:r w:rsidRPr="00F14EF8">
              <w:rPr>
                <w:sz w:val="18"/>
                <w:szCs w:val="18"/>
              </w:rPr>
              <w:t>(0.456)</w:t>
            </w:r>
          </w:p>
        </w:tc>
      </w:tr>
      <w:tr w:rsidR="001631C6" w:rsidRPr="00BE6BBE" w14:paraId="5B4DA2C4" w14:textId="77777777" w:rsidTr="008F5322">
        <w:trPr>
          <w:trHeight w:val="20"/>
        </w:trPr>
        <w:tc>
          <w:tcPr>
            <w:tcW w:w="2344" w:type="pct"/>
            <w:vMerge w:val="restart"/>
            <w:shd w:val="clear" w:color="auto" w:fill="auto"/>
            <w:noWrap/>
            <w:vAlign w:val="center"/>
            <w:hideMark/>
          </w:tcPr>
          <w:p w14:paraId="5E86DE7A"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Intangible assets</w:t>
            </w:r>
          </w:p>
        </w:tc>
        <w:tc>
          <w:tcPr>
            <w:tcW w:w="1673" w:type="pct"/>
            <w:shd w:val="clear" w:color="auto" w:fill="auto"/>
          </w:tcPr>
          <w:p w14:paraId="7711E740" w14:textId="77777777" w:rsidR="001631C6" w:rsidRPr="00F14EF8" w:rsidRDefault="001631C6" w:rsidP="008F5322">
            <w:pPr>
              <w:jc w:val="center"/>
              <w:rPr>
                <w:sz w:val="18"/>
                <w:szCs w:val="18"/>
              </w:rPr>
            </w:pPr>
            <w:r w:rsidRPr="00F14EF8">
              <w:rPr>
                <w:sz w:val="18"/>
                <w:szCs w:val="18"/>
              </w:rPr>
              <w:t>-0.015</w:t>
            </w:r>
          </w:p>
        </w:tc>
        <w:tc>
          <w:tcPr>
            <w:tcW w:w="983" w:type="pct"/>
            <w:shd w:val="clear" w:color="auto" w:fill="auto"/>
          </w:tcPr>
          <w:p w14:paraId="04E188E6" w14:textId="77777777" w:rsidR="001631C6" w:rsidRPr="00F14EF8" w:rsidRDefault="001631C6" w:rsidP="008F5322">
            <w:pPr>
              <w:jc w:val="center"/>
              <w:rPr>
                <w:sz w:val="18"/>
                <w:szCs w:val="18"/>
              </w:rPr>
            </w:pPr>
            <w:r w:rsidRPr="00F14EF8">
              <w:rPr>
                <w:sz w:val="18"/>
                <w:szCs w:val="18"/>
              </w:rPr>
              <w:t>-0.091</w:t>
            </w:r>
          </w:p>
        </w:tc>
      </w:tr>
      <w:tr w:rsidR="001631C6" w:rsidRPr="00BE6BBE" w14:paraId="75C23BB7" w14:textId="77777777" w:rsidTr="008F5322">
        <w:trPr>
          <w:trHeight w:val="20"/>
        </w:trPr>
        <w:tc>
          <w:tcPr>
            <w:tcW w:w="2344" w:type="pct"/>
            <w:vMerge/>
            <w:shd w:val="clear" w:color="auto" w:fill="auto"/>
            <w:vAlign w:val="center"/>
            <w:hideMark/>
          </w:tcPr>
          <w:p w14:paraId="4C6A106B" w14:textId="77777777" w:rsidR="001631C6" w:rsidRPr="00F14EF8" w:rsidRDefault="001631C6" w:rsidP="008F5322">
            <w:pPr>
              <w:rPr>
                <w:color w:val="000000"/>
                <w:sz w:val="18"/>
                <w:szCs w:val="18"/>
                <w:lang w:val="en-US" w:eastAsia="en-GB"/>
              </w:rPr>
            </w:pPr>
          </w:p>
        </w:tc>
        <w:tc>
          <w:tcPr>
            <w:tcW w:w="1673" w:type="pct"/>
            <w:shd w:val="clear" w:color="auto" w:fill="auto"/>
          </w:tcPr>
          <w:p w14:paraId="1C04C332" w14:textId="77777777" w:rsidR="001631C6" w:rsidRPr="00F14EF8" w:rsidRDefault="001631C6" w:rsidP="008F5322">
            <w:pPr>
              <w:jc w:val="center"/>
              <w:rPr>
                <w:sz w:val="18"/>
                <w:szCs w:val="18"/>
              </w:rPr>
            </w:pPr>
            <w:r w:rsidRPr="00F14EF8">
              <w:rPr>
                <w:sz w:val="18"/>
                <w:szCs w:val="18"/>
              </w:rPr>
              <w:t>(0.028)</w:t>
            </w:r>
          </w:p>
        </w:tc>
        <w:tc>
          <w:tcPr>
            <w:tcW w:w="983" w:type="pct"/>
            <w:shd w:val="clear" w:color="auto" w:fill="auto"/>
          </w:tcPr>
          <w:p w14:paraId="7DC12555" w14:textId="77777777" w:rsidR="001631C6" w:rsidRPr="00F14EF8" w:rsidRDefault="001631C6" w:rsidP="008F5322">
            <w:pPr>
              <w:jc w:val="center"/>
              <w:rPr>
                <w:sz w:val="18"/>
                <w:szCs w:val="18"/>
              </w:rPr>
            </w:pPr>
            <w:r w:rsidRPr="00F14EF8">
              <w:rPr>
                <w:sz w:val="18"/>
                <w:szCs w:val="18"/>
              </w:rPr>
              <w:t>(0.090)</w:t>
            </w:r>
          </w:p>
        </w:tc>
      </w:tr>
      <w:tr w:rsidR="001631C6" w:rsidRPr="00BE6BBE" w14:paraId="51723818" w14:textId="77777777" w:rsidTr="008F5322">
        <w:trPr>
          <w:trHeight w:val="20"/>
        </w:trPr>
        <w:tc>
          <w:tcPr>
            <w:tcW w:w="2344" w:type="pct"/>
            <w:vMerge w:val="restart"/>
            <w:shd w:val="clear" w:color="auto" w:fill="auto"/>
            <w:noWrap/>
            <w:vAlign w:val="center"/>
            <w:hideMark/>
          </w:tcPr>
          <w:p w14:paraId="3779D5D7"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Leverage</w:t>
            </w:r>
          </w:p>
        </w:tc>
        <w:tc>
          <w:tcPr>
            <w:tcW w:w="1673" w:type="pct"/>
            <w:shd w:val="clear" w:color="auto" w:fill="auto"/>
          </w:tcPr>
          <w:p w14:paraId="580D6468" w14:textId="77777777" w:rsidR="001631C6" w:rsidRPr="00F14EF8" w:rsidRDefault="001631C6" w:rsidP="008F5322">
            <w:pPr>
              <w:jc w:val="center"/>
              <w:rPr>
                <w:sz w:val="18"/>
                <w:szCs w:val="18"/>
              </w:rPr>
            </w:pPr>
            <w:r w:rsidRPr="00F14EF8">
              <w:rPr>
                <w:sz w:val="18"/>
                <w:szCs w:val="18"/>
              </w:rPr>
              <w:t>0.015</w:t>
            </w:r>
          </w:p>
        </w:tc>
        <w:tc>
          <w:tcPr>
            <w:tcW w:w="983" w:type="pct"/>
            <w:shd w:val="clear" w:color="auto" w:fill="auto"/>
          </w:tcPr>
          <w:p w14:paraId="14D1D8AE" w14:textId="77777777" w:rsidR="001631C6" w:rsidRPr="00F14EF8" w:rsidRDefault="001631C6" w:rsidP="008F5322">
            <w:pPr>
              <w:jc w:val="center"/>
              <w:rPr>
                <w:sz w:val="18"/>
                <w:szCs w:val="18"/>
              </w:rPr>
            </w:pPr>
            <w:r w:rsidRPr="00F14EF8">
              <w:rPr>
                <w:sz w:val="18"/>
                <w:szCs w:val="18"/>
              </w:rPr>
              <w:t>0.293*</w:t>
            </w:r>
          </w:p>
        </w:tc>
      </w:tr>
      <w:tr w:rsidR="001631C6" w:rsidRPr="00BE6BBE" w14:paraId="7C8843E9" w14:textId="77777777" w:rsidTr="008F5322">
        <w:trPr>
          <w:trHeight w:val="20"/>
        </w:trPr>
        <w:tc>
          <w:tcPr>
            <w:tcW w:w="2344" w:type="pct"/>
            <w:vMerge/>
            <w:shd w:val="clear" w:color="auto" w:fill="auto"/>
            <w:vAlign w:val="center"/>
            <w:hideMark/>
          </w:tcPr>
          <w:p w14:paraId="25DEC2FE" w14:textId="77777777" w:rsidR="001631C6" w:rsidRPr="00F14EF8" w:rsidRDefault="001631C6" w:rsidP="008F5322">
            <w:pPr>
              <w:rPr>
                <w:color w:val="000000"/>
                <w:sz w:val="18"/>
                <w:szCs w:val="18"/>
                <w:lang w:val="en-US" w:eastAsia="en-GB"/>
              </w:rPr>
            </w:pPr>
          </w:p>
        </w:tc>
        <w:tc>
          <w:tcPr>
            <w:tcW w:w="1673" w:type="pct"/>
            <w:shd w:val="clear" w:color="auto" w:fill="auto"/>
          </w:tcPr>
          <w:p w14:paraId="6DEB4EAE" w14:textId="77777777" w:rsidR="001631C6" w:rsidRPr="00F14EF8" w:rsidRDefault="001631C6" w:rsidP="008F5322">
            <w:pPr>
              <w:jc w:val="center"/>
              <w:rPr>
                <w:sz w:val="18"/>
                <w:szCs w:val="18"/>
              </w:rPr>
            </w:pPr>
            <w:r w:rsidRPr="00F14EF8">
              <w:rPr>
                <w:sz w:val="18"/>
                <w:szCs w:val="18"/>
              </w:rPr>
              <w:t>(0.041)</w:t>
            </w:r>
          </w:p>
        </w:tc>
        <w:tc>
          <w:tcPr>
            <w:tcW w:w="983" w:type="pct"/>
            <w:shd w:val="clear" w:color="auto" w:fill="auto"/>
          </w:tcPr>
          <w:p w14:paraId="77366331" w14:textId="77777777" w:rsidR="001631C6" w:rsidRPr="00F14EF8" w:rsidRDefault="001631C6" w:rsidP="008F5322">
            <w:pPr>
              <w:jc w:val="center"/>
              <w:rPr>
                <w:sz w:val="18"/>
                <w:szCs w:val="18"/>
              </w:rPr>
            </w:pPr>
            <w:r w:rsidRPr="00F14EF8">
              <w:rPr>
                <w:sz w:val="18"/>
                <w:szCs w:val="18"/>
              </w:rPr>
              <w:t>(0.156)</w:t>
            </w:r>
          </w:p>
        </w:tc>
      </w:tr>
      <w:tr w:rsidR="001631C6" w:rsidRPr="00BE6BBE" w14:paraId="389C6D26" w14:textId="77777777" w:rsidTr="008F5322">
        <w:trPr>
          <w:trHeight w:val="20"/>
        </w:trPr>
        <w:tc>
          <w:tcPr>
            <w:tcW w:w="2344" w:type="pct"/>
            <w:vMerge w:val="restart"/>
            <w:shd w:val="clear" w:color="auto" w:fill="auto"/>
            <w:noWrap/>
            <w:vAlign w:val="center"/>
            <w:hideMark/>
          </w:tcPr>
          <w:p w14:paraId="12A23E41"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Growth opportunities</w:t>
            </w:r>
          </w:p>
        </w:tc>
        <w:tc>
          <w:tcPr>
            <w:tcW w:w="1673" w:type="pct"/>
            <w:shd w:val="clear" w:color="auto" w:fill="auto"/>
          </w:tcPr>
          <w:p w14:paraId="753AF9C9" w14:textId="77777777" w:rsidR="001631C6" w:rsidRPr="00F14EF8" w:rsidRDefault="001631C6" w:rsidP="008F5322">
            <w:pPr>
              <w:jc w:val="center"/>
              <w:rPr>
                <w:sz w:val="18"/>
                <w:szCs w:val="18"/>
              </w:rPr>
            </w:pPr>
            <w:r w:rsidRPr="00F14EF8">
              <w:rPr>
                <w:sz w:val="18"/>
                <w:szCs w:val="18"/>
              </w:rPr>
              <w:t>0.002</w:t>
            </w:r>
          </w:p>
        </w:tc>
        <w:tc>
          <w:tcPr>
            <w:tcW w:w="983" w:type="pct"/>
            <w:shd w:val="clear" w:color="auto" w:fill="auto"/>
          </w:tcPr>
          <w:p w14:paraId="728D7A5E" w14:textId="77777777" w:rsidR="001631C6" w:rsidRPr="00F14EF8" w:rsidRDefault="001631C6" w:rsidP="008F5322">
            <w:pPr>
              <w:jc w:val="center"/>
              <w:rPr>
                <w:sz w:val="18"/>
                <w:szCs w:val="18"/>
              </w:rPr>
            </w:pPr>
            <w:r w:rsidRPr="00F14EF8">
              <w:rPr>
                <w:sz w:val="18"/>
                <w:szCs w:val="18"/>
              </w:rPr>
              <w:t>-0.097**</w:t>
            </w:r>
          </w:p>
        </w:tc>
      </w:tr>
      <w:tr w:rsidR="001631C6" w:rsidRPr="00BE6BBE" w14:paraId="19C3DE12" w14:textId="77777777" w:rsidTr="008F5322">
        <w:trPr>
          <w:trHeight w:val="20"/>
        </w:trPr>
        <w:tc>
          <w:tcPr>
            <w:tcW w:w="2344" w:type="pct"/>
            <w:vMerge/>
            <w:vAlign w:val="center"/>
            <w:hideMark/>
          </w:tcPr>
          <w:p w14:paraId="64140E2A" w14:textId="77777777" w:rsidR="001631C6" w:rsidRPr="00F14EF8" w:rsidRDefault="001631C6" w:rsidP="008F5322">
            <w:pPr>
              <w:rPr>
                <w:color w:val="000000"/>
                <w:sz w:val="18"/>
                <w:szCs w:val="18"/>
                <w:lang w:val="en-US" w:eastAsia="en-GB"/>
              </w:rPr>
            </w:pPr>
          </w:p>
        </w:tc>
        <w:tc>
          <w:tcPr>
            <w:tcW w:w="1673" w:type="pct"/>
            <w:shd w:val="clear" w:color="auto" w:fill="auto"/>
          </w:tcPr>
          <w:p w14:paraId="70704669" w14:textId="77777777" w:rsidR="001631C6" w:rsidRPr="00F14EF8" w:rsidRDefault="001631C6" w:rsidP="008F5322">
            <w:pPr>
              <w:jc w:val="center"/>
              <w:rPr>
                <w:sz w:val="18"/>
                <w:szCs w:val="18"/>
              </w:rPr>
            </w:pPr>
            <w:r w:rsidRPr="00F14EF8">
              <w:rPr>
                <w:sz w:val="18"/>
                <w:szCs w:val="18"/>
              </w:rPr>
              <w:t>(0.011)</w:t>
            </w:r>
          </w:p>
        </w:tc>
        <w:tc>
          <w:tcPr>
            <w:tcW w:w="983" w:type="pct"/>
            <w:shd w:val="clear" w:color="auto" w:fill="auto"/>
          </w:tcPr>
          <w:p w14:paraId="1E4A0C3A" w14:textId="77777777" w:rsidR="001631C6" w:rsidRPr="00F14EF8" w:rsidRDefault="001631C6" w:rsidP="008F5322">
            <w:pPr>
              <w:jc w:val="center"/>
              <w:rPr>
                <w:sz w:val="18"/>
                <w:szCs w:val="18"/>
              </w:rPr>
            </w:pPr>
            <w:r w:rsidRPr="00F14EF8">
              <w:rPr>
                <w:sz w:val="18"/>
                <w:szCs w:val="18"/>
              </w:rPr>
              <w:t>(0.039)</w:t>
            </w:r>
          </w:p>
        </w:tc>
      </w:tr>
      <w:tr w:rsidR="001631C6" w:rsidRPr="00BE6BBE" w14:paraId="16A84C62" w14:textId="77777777" w:rsidTr="008F5322">
        <w:trPr>
          <w:trHeight w:val="20"/>
        </w:trPr>
        <w:tc>
          <w:tcPr>
            <w:tcW w:w="2344" w:type="pct"/>
            <w:vMerge w:val="restart"/>
            <w:shd w:val="clear" w:color="auto" w:fill="auto"/>
            <w:noWrap/>
            <w:vAlign w:val="center"/>
            <w:hideMark/>
          </w:tcPr>
          <w:p w14:paraId="0A2B1995"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Government owned</w:t>
            </w:r>
          </w:p>
        </w:tc>
        <w:tc>
          <w:tcPr>
            <w:tcW w:w="1673" w:type="pct"/>
            <w:shd w:val="clear" w:color="auto" w:fill="auto"/>
          </w:tcPr>
          <w:p w14:paraId="32810FB8" w14:textId="77777777" w:rsidR="001631C6" w:rsidRPr="00F14EF8" w:rsidRDefault="001631C6" w:rsidP="008F5322">
            <w:pPr>
              <w:jc w:val="center"/>
              <w:rPr>
                <w:sz w:val="18"/>
                <w:szCs w:val="18"/>
              </w:rPr>
            </w:pPr>
            <w:r w:rsidRPr="00F14EF8">
              <w:rPr>
                <w:sz w:val="18"/>
                <w:szCs w:val="18"/>
              </w:rPr>
              <w:t>-0.140***</w:t>
            </w:r>
          </w:p>
        </w:tc>
        <w:tc>
          <w:tcPr>
            <w:tcW w:w="983" w:type="pct"/>
            <w:shd w:val="clear" w:color="auto" w:fill="auto"/>
          </w:tcPr>
          <w:p w14:paraId="1C44CE3A" w14:textId="77777777" w:rsidR="001631C6" w:rsidRPr="00F14EF8" w:rsidRDefault="001631C6" w:rsidP="008F5322">
            <w:pPr>
              <w:jc w:val="center"/>
              <w:rPr>
                <w:sz w:val="18"/>
                <w:szCs w:val="18"/>
              </w:rPr>
            </w:pPr>
            <w:r w:rsidRPr="00F14EF8">
              <w:rPr>
                <w:sz w:val="18"/>
                <w:szCs w:val="18"/>
              </w:rPr>
              <w:t>0.281**</w:t>
            </w:r>
          </w:p>
        </w:tc>
      </w:tr>
      <w:tr w:rsidR="001631C6" w:rsidRPr="00BE6BBE" w14:paraId="3042A8D1" w14:textId="77777777" w:rsidTr="008F5322">
        <w:trPr>
          <w:trHeight w:val="20"/>
        </w:trPr>
        <w:tc>
          <w:tcPr>
            <w:tcW w:w="2344" w:type="pct"/>
            <w:vMerge/>
            <w:shd w:val="clear" w:color="auto" w:fill="auto"/>
            <w:vAlign w:val="center"/>
            <w:hideMark/>
          </w:tcPr>
          <w:p w14:paraId="5186FFC0" w14:textId="77777777" w:rsidR="001631C6" w:rsidRPr="00F14EF8" w:rsidRDefault="001631C6" w:rsidP="008F5322">
            <w:pPr>
              <w:rPr>
                <w:color w:val="000000"/>
                <w:sz w:val="18"/>
                <w:szCs w:val="18"/>
                <w:lang w:val="en-US" w:eastAsia="en-GB"/>
              </w:rPr>
            </w:pPr>
          </w:p>
        </w:tc>
        <w:tc>
          <w:tcPr>
            <w:tcW w:w="1673" w:type="pct"/>
            <w:shd w:val="clear" w:color="auto" w:fill="auto"/>
          </w:tcPr>
          <w:p w14:paraId="430E52C6" w14:textId="77777777" w:rsidR="001631C6" w:rsidRPr="00F14EF8" w:rsidRDefault="001631C6" w:rsidP="008F5322">
            <w:pPr>
              <w:jc w:val="center"/>
              <w:rPr>
                <w:sz w:val="18"/>
                <w:szCs w:val="18"/>
              </w:rPr>
            </w:pPr>
            <w:r w:rsidRPr="00F14EF8">
              <w:rPr>
                <w:sz w:val="18"/>
                <w:szCs w:val="18"/>
              </w:rPr>
              <w:t>(0.027)</w:t>
            </w:r>
          </w:p>
        </w:tc>
        <w:tc>
          <w:tcPr>
            <w:tcW w:w="983" w:type="pct"/>
            <w:shd w:val="clear" w:color="auto" w:fill="auto"/>
          </w:tcPr>
          <w:p w14:paraId="178A5099" w14:textId="77777777" w:rsidR="001631C6" w:rsidRPr="00F14EF8" w:rsidRDefault="001631C6" w:rsidP="008F5322">
            <w:pPr>
              <w:jc w:val="center"/>
              <w:rPr>
                <w:sz w:val="18"/>
                <w:szCs w:val="18"/>
              </w:rPr>
            </w:pPr>
            <w:r w:rsidRPr="00F14EF8">
              <w:rPr>
                <w:sz w:val="18"/>
                <w:szCs w:val="18"/>
              </w:rPr>
              <w:t>(0.130)</w:t>
            </w:r>
          </w:p>
        </w:tc>
      </w:tr>
      <w:tr w:rsidR="001631C6" w:rsidRPr="00BE6BBE" w14:paraId="14475A82" w14:textId="77777777" w:rsidTr="008F5322">
        <w:trPr>
          <w:trHeight w:val="20"/>
        </w:trPr>
        <w:tc>
          <w:tcPr>
            <w:tcW w:w="2344" w:type="pct"/>
            <w:vMerge w:val="restart"/>
            <w:shd w:val="clear" w:color="auto" w:fill="auto"/>
            <w:noWrap/>
            <w:vAlign w:val="center"/>
            <w:hideMark/>
          </w:tcPr>
          <w:p w14:paraId="08532C5A"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Maturity</w:t>
            </w:r>
          </w:p>
        </w:tc>
        <w:tc>
          <w:tcPr>
            <w:tcW w:w="1673" w:type="pct"/>
            <w:shd w:val="clear" w:color="auto" w:fill="auto"/>
          </w:tcPr>
          <w:p w14:paraId="79D924AD" w14:textId="77777777" w:rsidR="001631C6" w:rsidRPr="00F14EF8" w:rsidRDefault="001631C6" w:rsidP="008F5322">
            <w:pPr>
              <w:jc w:val="center"/>
              <w:rPr>
                <w:sz w:val="18"/>
                <w:szCs w:val="18"/>
              </w:rPr>
            </w:pPr>
            <w:r w:rsidRPr="00F14EF8">
              <w:rPr>
                <w:sz w:val="18"/>
                <w:szCs w:val="18"/>
              </w:rPr>
              <w:t>-0.011</w:t>
            </w:r>
          </w:p>
        </w:tc>
        <w:tc>
          <w:tcPr>
            <w:tcW w:w="983" w:type="pct"/>
            <w:shd w:val="clear" w:color="auto" w:fill="auto"/>
          </w:tcPr>
          <w:p w14:paraId="1A60F297" w14:textId="77777777" w:rsidR="001631C6" w:rsidRPr="00F14EF8" w:rsidRDefault="001631C6" w:rsidP="008F5322">
            <w:pPr>
              <w:jc w:val="center"/>
              <w:rPr>
                <w:sz w:val="18"/>
                <w:szCs w:val="18"/>
              </w:rPr>
            </w:pPr>
            <w:r w:rsidRPr="00F14EF8">
              <w:rPr>
                <w:sz w:val="18"/>
                <w:szCs w:val="18"/>
              </w:rPr>
              <w:t>0.138***</w:t>
            </w:r>
          </w:p>
        </w:tc>
      </w:tr>
      <w:tr w:rsidR="001631C6" w:rsidRPr="00BE6BBE" w14:paraId="01EEB7D7" w14:textId="77777777" w:rsidTr="008F5322">
        <w:trPr>
          <w:trHeight w:val="20"/>
        </w:trPr>
        <w:tc>
          <w:tcPr>
            <w:tcW w:w="2344" w:type="pct"/>
            <w:vMerge/>
            <w:shd w:val="clear" w:color="auto" w:fill="auto"/>
            <w:vAlign w:val="center"/>
            <w:hideMark/>
          </w:tcPr>
          <w:p w14:paraId="1067E3ED" w14:textId="77777777" w:rsidR="001631C6" w:rsidRPr="00F14EF8" w:rsidRDefault="001631C6" w:rsidP="008F5322">
            <w:pPr>
              <w:rPr>
                <w:color w:val="000000"/>
                <w:sz w:val="18"/>
                <w:szCs w:val="18"/>
                <w:lang w:val="en-US" w:eastAsia="en-GB"/>
              </w:rPr>
            </w:pPr>
          </w:p>
        </w:tc>
        <w:tc>
          <w:tcPr>
            <w:tcW w:w="1673" w:type="pct"/>
            <w:shd w:val="clear" w:color="auto" w:fill="auto"/>
          </w:tcPr>
          <w:p w14:paraId="7C9FC580" w14:textId="77777777" w:rsidR="001631C6" w:rsidRPr="00F14EF8" w:rsidRDefault="001631C6" w:rsidP="008F5322">
            <w:pPr>
              <w:jc w:val="center"/>
              <w:rPr>
                <w:sz w:val="18"/>
                <w:szCs w:val="18"/>
              </w:rPr>
            </w:pPr>
            <w:r w:rsidRPr="00F14EF8">
              <w:rPr>
                <w:sz w:val="18"/>
                <w:szCs w:val="18"/>
              </w:rPr>
              <w:t>(0.009)</w:t>
            </w:r>
          </w:p>
        </w:tc>
        <w:tc>
          <w:tcPr>
            <w:tcW w:w="983" w:type="pct"/>
            <w:shd w:val="clear" w:color="auto" w:fill="auto"/>
          </w:tcPr>
          <w:p w14:paraId="1868A781" w14:textId="77777777" w:rsidR="001631C6" w:rsidRPr="00F14EF8" w:rsidRDefault="001631C6" w:rsidP="008F5322">
            <w:pPr>
              <w:jc w:val="center"/>
              <w:rPr>
                <w:sz w:val="18"/>
                <w:szCs w:val="18"/>
              </w:rPr>
            </w:pPr>
            <w:r w:rsidRPr="00F14EF8">
              <w:rPr>
                <w:sz w:val="18"/>
                <w:szCs w:val="18"/>
              </w:rPr>
              <w:t>(0.035)</w:t>
            </w:r>
          </w:p>
        </w:tc>
      </w:tr>
      <w:tr w:rsidR="001631C6" w:rsidRPr="00BE6BBE" w14:paraId="0DE1AC3D" w14:textId="77777777" w:rsidTr="008F5322">
        <w:trPr>
          <w:trHeight w:val="20"/>
        </w:trPr>
        <w:tc>
          <w:tcPr>
            <w:tcW w:w="2344" w:type="pct"/>
            <w:vMerge w:val="restart"/>
            <w:shd w:val="clear" w:color="auto" w:fill="auto"/>
            <w:noWrap/>
            <w:vAlign w:val="center"/>
            <w:hideMark/>
          </w:tcPr>
          <w:p w14:paraId="3E0F5A85"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Tranche size</w:t>
            </w:r>
          </w:p>
        </w:tc>
        <w:tc>
          <w:tcPr>
            <w:tcW w:w="1673" w:type="pct"/>
            <w:shd w:val="clear" w:color="auto" w:fill="auto"/>
          </w:tcPr>
          <w:p w14:paraId="6E10689F" w14:textId="77777777" w:rsidR="001631C6" w:rsidRPr="00F14EF8" w:rsidRDefault="001631C6" w:rsidP="008F5322">
            <w:pPr>
              <w:jc w:val="center"/>
              <w:rPr>
                <w:sz w:val="18"/>
                <w:szCs w:val="18"/>
              </w:rPr>
            </w:pPr>
            <w:r w:rsidRPr="00F14EF8">
              <w:rPr>
                <w:sz w:val="18"/>
                <w:szCs w:val="18"/>
              </w:rPr>
              <w:t>0.017</w:t>
            </w:r>
          </w:p>
        </w:tc>
        <w:tc>
          <w:tcPr>
            <w:tcW w:w="983" w:type="pct"/>
            <w:shd w:val="clear" w:color="auto" w:fill="auto"/>
          </w:tcPr>
          <w:p w14:paraId="068A9779" w14:textId="77777777" w:rsidR="001631C6" w:rsidRPr="00F14EF8" w:rsidRDefault="001631C6" w:rsidP="008F5322">
            <w:pPr>
              <w:jc w:val="center"/>
              <w:rPr>
                <w:sz w:val="18"/>
                <w:szCs w:val="18"/>
              </w:rPr>
            </w:pPr>
            <w:r w:rsidRPr="00F14EF8">
              <w:rPr>
                <w:sz w:val="18"/>
                <w:szCs w:val="18"/>
              </w:rPr>
              <w:t>0.116***</w:t>
            </w:r>
          </w:p>
        </w:tc>
      </w:tr>
      <w:tr w:rsidR="001631C6" w:rsidRPr="00BE6BBE" w14:paraId="7DC2E5A7" w14:textId="77777777" w:rsidTr="008F5322">
        <w:trPr>
          <w:trHeight w:val="20"/>
        </w:trPr>
        <w:tc>
          <w:tcPr>
            <w:tcW w:w="2344" w:type="pct"/>
            <w:vMerge/>
            <w:shd w:val="clear" w:color="auto" w:fill="auto"/>
            <w:vAlign w:val="center"/>
            <w:hideMark/>
          </w:tcPr>
          <w:p w14:paraId="25996B3E" w14:textId="77777777" w:rsidR="001631C6" w:rsidRPr="00F14EF8" w:rsidRDefault="001631C6" w:rsidP="008F5322">
            <w:pPr>
              <w:rPr>
                <w:color w:val="000000"/>
                <w:sz w:val="18"/>
                <w:szCs w:val="18"/>
                <w:lang w:val="en-US" w:eastAsia="en-GB"/>
              </w:rPr>
            </w:pPr>
          </w:p>
        </w:tc>
        <w:tc>
          <w:tcPr>
            <w:tcW w:w="1673" w:type="pct"/>
            <w:shd w:val="clear" w:color="auto" w:fill="auto"/>
          </w:tcPr>
          <w:p w14:paraId="09B3DD27" w14:textId="77777777" w:rsidR="001631C6" w:rsidRPr="00F14EF8" w:rsidRDefault="001631C6" w:rsidP="008F5322">
            <w:pPr>
              <w:jc w:val="center"/>
              <w:rPr>
                <w:sz w:val="18"/>
                <w:szCs w:val="18"/>
              </w:rPr>
            </w:pPr>
            <w:r w:rsidRPr="00F14EF8">
              <w:rPr>
                <w:sz w:val="18"/>
                <w:szCs w:val="18"/>
              </w:rPr>
              <w:t>(0.014)</w:t>
            </w:r>
          </w:p>
        </w:tc>
        <w:tc>
          <w:tcPr>
            <w:tcW w:w="983" w:type="pct"/>
            <w:shd w:val="clear" w:color="auto" w:fill="auto"/>
          </w:tcPr>
          <w:p w14:paraId="5437DA6A" w14:textId="77777777" w:rsidR="001631C6" w:rsidRPr="00F14EF8" w:rsidRDefault="001631C6" w:rsidP="008F5322">
            <w:pPr>
              <w:jc w:val="center"/>
              <w:rPr>
                <w:sz w:val="18"/>
                <w:szCs w:val="18"/>
              </w:rPr>
            </w:pPr>
            <w:r w:rsidRPr="00F14EF8">
              <w:rPr>
                <w:sz w:val="18"/>
                <w:szCs w:val="18"/>
              </w:rPr>
              <w:t>(0.044)</w:t>
            </w:r>
          </w:p>
        </w:tc>
      </w:tr>
      <w:tr w:rsidR="001631C6" w:rsidRPr="00BE6BBE" w14:paraId="65A9F155" w14:textId="77777777" w:rsidTr="008F5322">
        <w:trPr>
          <w:trHeight w:val="20"/>
        </w:trPr>
        <w:tc>
          <w:tcPr>
            <w:tcW w:w="2344" w:type="pct"/>
            <w:vMerge w:val="restart"/>
            <w:shd w:val="clear" w:color="auto" w:fill="auto"/>
            <w:noWrap/>
            <w:vAlign w:val="center"/>
            <w:hideMark/>
          </w:tcPr>
          <w:p w14:paraId="38F12D02"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Multi-tranche</w:t>
            </w:r>
          </w:p>
        </w:tc>
        <w:tc>
          <w:tcPr>
            <w:tcW w:w="1673" w:type="pct"/>
            <w:shd w:val="clear" w:color="auto" w:fill="auto"/>
          </w:tcPr>
          <w:p w14:paraId="17586A97" w14:textId="77777777" w:rsidR="001631C6" w:rsidRPr="00F14EF8" w:rsidRDefault="001631C6" w:rsidP="008F5322">
            <w:pPr>
              <w:jc w:val="center"/>
              <w:rPr>
                <w:sz w:val="18"/>
                <w:szCs w:val="18"/>
              </w:rPr>
            </w:pPr>
            <w:r w:rsidRPr="00F14EF8">
              <w:rPr>
                <w:sz w:val="18"/>
                <w:szCs w:val="18"/>
              </w:rPr>
              <w:t>0.049***</w:t>
            </w:r>
          </w:p>
        </w:tc>
        <w:tc>
          <w:tcPr>
            <w:tcW w:w="983" w:type="pct"/>
            <w:shd w:val="clear" w:color="auto" w:fill="auto"/>
          </w:tcPr>
          <w:p w14:paraId="35FDD38F" w14:textId="77777777" w:rsidR="001631C6" w:rsidRPr="00F14EF8" w:rsidRDefault="001631C6" w:rsidP="008F5322">
            <w:pPr>
              <w:jc w:val="center"/>
              <w:rPr>
                <w:sz w:val="18"/>
                <w:szCs w:val="18"/>
              </w:rPr>
            </w:pPr>
            <w:r w:rsidRPr="00F14EF8">
              <w:rPr>
                <w:sz w:val="18"/>
                <w:szCs w:val="18"/>
              </w:rPr>
              <w:t>-0.006</w:t>
            </w:r>
          </w:p>
        </w:tc>
      </w:tr>
      <w:tr w:rsidR="001631C6" w:rsidRPr="00BE6BBE" w14:paraId="0EC02229" w14:textId="77777777" w:rsidTr="008F5322">
        <w:trPr>
          <w:trHeight w:val="20"/>
        </w:trPr>
        <w:tc>
          <w:tcPr>
            <w:tcW w:w="2344" w:type="pct"/>
            <w:vMerge/>
            <w:shd w:val="clear" w:color="auto" w:fill="auto"/>
            <w:vAlign w:val="center"/>
            <w:hideMark/>
          </w:tcPr>
          <w:p w14:paraId="439C48A8" w14:textId="77777777" w:rsidR="001631C6" w:rsidRPr="00F14EF8" w:rsidRDefault="001631C6" w:rsidP="008F5322">
            <w:pPr>
              <w:rPr>
                <w:color w:val="000000"/>
                <w:sz w:val="18"/>
                <w:szCs w:val="18"/>
                <w:lang w:val="en-US" w:eastAsia="en-GB"/>
              </w:rPr>
            </w:pPr>
          </w:p>
        </w:tc>
        <w:tc>
          <w:tcPr>
            <w:tcW w:w="1673" w:type="pct"/>
            <w:shd w:val="clear" w:color="auto" w:fill="auto"/>
          </w:tcPr>
          <w:p w14:paraId="5D9C3BC2" w14:textId="77777777" w:rsidR="001631C6" w:rsidRPr="00F14EF8" w:rsidRDefault="001631C6" w:rsidP="008F5322">
            <w:pPr>
              <w:jc w:val="center"/>
              <w:rPr>
                <w:sz w:val="18"/>
                <w:szCs w:val="18"/>
              </w:rPr>
            </w:pPr>
            <w:r w:rsidRPr="00F14EF8">
              <w:rPr>
                <w:sz w:val="18"/>
                <w:szCs w:val="18"/>
              </w:rPr>
              <w:t>(0.011)</w:t>
            </w:r>
          </w:p>
        </w:tc>
        <w:tc>
          <w:tcPr>
            <w:tcW w:w="983" w:type="pct"/>
            <w:shd w:val="clear" w:color="auto" w:fill="auto"/>
          </w:tcPr>
          <w:p w14:paraId="4DAD5C70" w14:textId="77777777" w:rsidR="001631C6" w:rsidRPr="00F14EF8" w:rsidRDefault="001631C6" w:rsidP="008F5322">
            <w:pPr>
              <w:jc w:val="center"/>
              <w:rPr>
                <w:sz w:val="18"/>
                <w:szCs w:val="18"/>
              </w:rPr>
            </w:pPr>
            <w:r w:rsidRPr="00F14EF8">
              <w:rPr>
                <w:sz w:val="18"/>
                <w:szCs w:val="18"/>
              </w:rPr>
              <w:t>(0.043)</w:t>
            </w:r>
          </w:p>
        </w:tc>
      </w:tr>
      <w:tr w:rsidR="001631C6" w:rsidRPr="00BE6BBE" w14:paraId="75F7C675" w14:textId="77777777" w:rsidTr="008F5322">
        <w:trPr>
          <w:trHeight w:val="20"/>
        </w:trPr>
        <w:tc>
          <w:tcPr>
            <w:tcW w:w="2344" w:type="pct"/>
            <w:vMerge w:val="restart"/>
            <w:shd w:val="clear" w:color="auto" w:fill="auto"/>
            <w:vAlign w:val="center"/>
          </w:tcPr>
          <w:p w14:paraId="7BEB40D4"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AA-BBB spread</w:t>
            </w:r>
          </w:p>
        </w:tc>
        <w:tc>
          <w:tcPr>
            <w:tcW w:w="1673" w:type="pct"/>
            <w:shd w:val="clear" w:color="auto" w:fill="auto"/>
          </w:tcPr>
          <w:p w14:paraId="0B22FF3A" w14:textId="77777777" w:rsidR="001631C6" w:rsidRPr="00F14EF8" w:rsidRDefault="001631C6" w:rsidP="008F5322">
            <w:pPr>
              <w:jc w:val="center"/>
              <w:rPr>
                <w:sz w:val="18"/>
                <w:szCs w:val="18"/>
              </w:rPr>
            </w:pPr>
            <w:r w:rsidRPr="00F14EF8">
              <w:rPr>
                <w:sz w:val="18"/>
                <w:szCs w:val="18"/>
              </w:rPr>
              <w:t>0.019*</w:t>
            </w:r>
          </w:p>
        </w:tc>
        <w:tc>
          <w:tcPr>
            <w:tcW w:w="983" w:type="pct"/>
            <w:shd w:val="clear" w:color="auto" w:fill="auto"/>
          </w:tcPr>
          <w:p w14:paraId="58A6116F" w14:textId="77777777" w:rsidR="001631C6" w:rsidRPr="00F14EF8" w:rsidRDefault="001631C6" w:rsidP="008F5322">
            <w:pPr>
              <w:jc w:val="center"/>
              <w:rPr>
                <w:sz w:val="18"/>
                <w:szCs w:val="18"/>
              </w:rPr>
            </w:pPr>
            <w:r w:rsidRPr="00F14EF8">
              <w:rPr>
                <w:sz w:val="18"/>
                <w:szCs w:val="18"/>
              </w:rPr>
              <w:t>0.288***</w:t>
            </w:r>
          </w:p>
        </w:tc>
      </w:tr>
      <w:tr w:rsidR="001631C6" w:rsidRPr="00BE6BBE" w14:paraId="4CC4AB28" w14:textId="77777777" w:rsidTr="008F5322">
        <w:trPr>
          <w:trHeight w:val="20"/>
        </w:trPr>
        <w:tc>
          <w:tcPr>
            <w:tcW w:w="2344" w:type="pct"/>
            <w:vMerge/>
            <w:shd w:val="clear" w:color="auto" w:fill="auto"/>
            <w:vAlign w:val="center"/>
          </w:tcPr>
          <w:p w14:paraId="3D856F5D" w14:textId="77777777" w:rsidR="001631C6" w:rsidRPr="00F14EF8" w:rsidRDefault="001631C6" w:rsidP="008F5322">
            <w:pPr>
              <w:rPr>
                <w:color w:val="000000"/>
                <w:sz w:val="18"/>
                <w:szCs w:val="18"/>
                <w:lang w:val="en-US" w:eastAsia="en-GB"/>
              </w:rPr>
            </w:pPr>
          </w:p>
        </w:tc>
        <w:tc>
          <w:tcPr>
            <w:tcW w:w="1673" w:type="pct"/>
            <w:shd w:val="clear" w:color="auto" w:fill="auto"/>
          </w:tcPr>
          <w:p w14:paraId="430E1C2D" w14:textId="77777777" w:rsidR="001631C6" w:rsidRPr="00F14EF8" w:rsidRDefault="001631C6" w:rsidP="008F5322">
            <w:pPr>
              <w:jc w:val="center"/>
              <w:rPr>
                <w:sz w:val="18"/>
                <w:szCs w:val="18"/>
              </w:rPr>
            </w:pPr>
            <w:r w:rsidRPr="00F14EF8">
              <w:rPr>
                <w:sz w:val="18"/>
                <w:szCs w:val="18"/>
              </w:rPr>
              <w:t>(0.010)</w:t>
            </w:r>
          </w:p>
        </w:tc>
        <w:tc>
          <w:tcPr>
            <w:tcW w:w="983" w:type="pct"/>
            <w:shd w:val="clear" w:color="auto" w:fill="auto"/>
          </w:tcPr>
          <w:p w14:paraId="0F5BB893" w14:textId="77777777" w:rsidR="001631C6" w:rsidRPr="00F14EF8" w:rsidRDefault="001631C6" w:rsidP="008F5322">
            <w:pPr>
              <w:jc w:val="center"/>
              <w:rPr>
                <w:sz w:val="18"/>
                <w:szCs w:val="18"/>
              </w:rPr>
            </w:pPr>
            <w:r w:rsidRPr="00F14EF8">
              <w:rPr>
                <w:sz w:val="18"/>
                <w:szCs w:val="18"/>
              </w:rPr>
              <w:t>(0.047)</w:t>
            </w:r>
          </w:p>
        </w:tc>
      </w:tr>
      <w:tr w:rsidR="001631C6" w:rsidRPr="00BE6BBE" w14:paraId="2C1952F2" w14:textId="77777777" w:rsidTr="008F5322">
        <w:trPr>
          <w:trHeight w:val="20"/>
        </w:trPr>
        <w:tc>
          <w:tcPr>
            <w:tcW w:w="2344" w:type="pct"/>
            <w:vMerge w:val="restart"/>
            <w:shd w:val="clear" w:color="auto" w:fill="auto"/>
            <w:vAlign w:val="center"/>
          </w:tcPr>
          <w:p w14:paraId="2FE6E983"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AAA</w:t>
            </w:r>
          </w:p>
        </w:tc>
        <w:tc>
          <w:tcPr>
            <w:tcW w:w="1673" w:type="pct"/>
            <w:shd w:val="clear" w:color="auto" w:fill="auto"/>
          </w:tcPr>
          <w:p w14:paraId="4899011C" w14:textId="77777777" w:rsidR="001631C6" w:rsidRPr="00F14EF8" w:rsidRDefault="001631C6" w:rsidP="008F5322">
            <w:pPr>
              <w:jc w:val="center"/>
              <w:rPr>
                <w:sz w:val="18"/>
                <w:szCs w:val="18"/>
              </w:rPr>
            </w:pPr>
            <w:r w:rsidRPr="00F14EF8">
              <w:rPr>
                <w:sz w:val="18"/>
                <w:szCs w:val="18"/>
              </w:rPr>
              <w:t>-0.353**</w:t>
            </w:r>
          </w:p>
        </w:tc>
        <w:tc>
          <w:tcPr>
            <w:tcW w:w="983" w:type="pct"/>
            <w:shd w:val="clear" w:color="auto" w:fill="auto"/>
          </w:tcPr>
          <w:p w14:paraId="30CC63B1" w14:textId="77777777" w:rsidR="001631C6" w:rsidRPr="00F14EF8" w:rsidRDefault="001631C6" w:rsidP="008F5322">
            <w:pPr>
              <w:jc w:val="center"/>
              <w:rPr>
                <w:sz w:val="18"/>
                <w:szCs w:val="18"/>
              </w:rPr>
            </w:pPr>
            <w:r w:rsidRPr="00F14EF8">
              <w:rPr>
                <w:sz w:val="18"/>
                <w:szCs w:val="18"/>
              </w:rPr>
              <w:t>-1.405***</w:t>
            </w:r>
          </w:p>
        </w:tc>
      </w:tr>
      <w:tr w:rsidR="001631C6" w:rsidRPr="00BE6BBE" w14:paraId="3664D26D" w14:textId="77777777" w:rsidTr="008F5322">
        <w:trPr>
          <w:trHeight w:val="20"/>
        </w:trPr>
        <w:tc>
          <w:tcPr>
            <w:tcW w:w="2344" w:type="pct"/>
            <w:vMerge/>
            <w:shd w:val="clear" w:color="auto" w:fill="auto"/>
            <w:vAlign w:val="center"/>
          </w:tcPr>
          <w:p w14:paraId="628FD8FE" w14:textId="77777777" w:rsidR="001631C6" w:rsidRPr="00F14EF8" w:rsidRDefault="001631C6" w:rsidP="008F5322">
            <w:pPr>
              <w:rPr>
                <w:color w:val="000000"/>
                <w:sz w:val="18"/>
                <w:szCs w:val="18"/>
                <w:lang w:val="en-US" w:eastAsia="en-GB"/>
              </w:rPr>
            </w:pPr>
          </w:p>
        </w:tc>
        <w:tc>
          <w:tcPr>
            <w:tcW w:w="1673" w:type="pct"/>
            <w:shd w:val="clear" w:color="auto" w:fill="auto"/>
          </w:tcPr>
          <w:p w14:paraId="43846243" w14:textId="77777777" w:rsidR="001631C6" w:rsidRPr="00F14EF8" w:rsidRDefault="001631C6" w:rsidP="008F5322">
            <w:pPr>
              <w:jc w:val="center"/>
              <w:rPr>
                <w:sz w:val="18"/>
                <w:szCs w:val="18"/>
              </w:rPr>
            </w:pPr>
            <w:r w:rsidRPr="00F14EF8">
              <w:rPr>
                <w:sz w:val="18"/>
                <w:szCs w:val="18"/>
              </w:rPr>
              <w:t>(0.144)</w:t>
            </w:r>
          </w:p>
        </w:tc>
        <w:tc>
          <w:tcPr>
            <w:tcW w:w="983" w:type="pct"/>
            <w:shd w:val="clear" w:color="auto" w:fill="auto"/>
          </w:tcPr>
          <w:p w14:paraId="48BA83F3" w14:textId="77777777" w:rsidR="001631C6" w:rsidRPr="00F14EF8" w:rsidRDefault="001631C6" w:rsidP="008F5322">
            <w:pPr>
              <w:jc w:val="center"/>
              <w:rPr>
                <w:sz w:val="18"/>
                <w:szCs w:val="18"/>
              </w:rPr>
            </w:pPr>
            <w:r w:rsidRPr="00F14EF8">
              <w:rPr>
                <w:sz w:val="18"/>
                <w:szCs w:val="18"/>
              </w:rPr>
              <w:t>(0.277)</w:t>
            </w:r>
          </w:p>
        </w:tc>
      </w:tr>
      <w:tr w:rsidR="001631C6" w:rsidRPr="00BE6BBE" w14:paraId="5EB2AD63" w14:textId="77777777" w:rsidTr="008F5322">
        <w:trPr>
          <w:trHeight w:val="20"/>
        </w:trPr>
        <w:tc>
          <w:tcPr>
            <w:tcW w:w="2344" w:type="pct"/>
            <w:vMerge w:val="restart"/>
            <w:shd w:val="clear" w:color="auto" w:fill="auto"/>
            <w:vAlign w:val="center"/>
          </w:tcPr>
          <w:p w14:paraId="54E96E92"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AA+</w:t>
            </w:r>
          </w:p>
        </w:tc>
        <w:tc>
          <w:tcPr>
            <w:tcW w:w="1673" w:type="pct"/>
            <w:shd w:val="clear" w:color="auto" w:fill="auto"/>
          </w:tcPr>
          <w:p w14:paraId="1A43C21D" w14:textId="77777777" w:rsidR="001631C6" w:rsidRPr="00F14EF8" w:rsidRDefault="001631C6" w:rsidP="008F5322">
            <w:pPr>
              <w:jc w:val="center"/>
              <w:rPr>
                <w:sz w:val="18"/>
                <w:szCs w:val="18"/>
              </w:rPr>
            </w:pPr>
            <w:r w:rsidRPr="00F14EF8">
              <w:rPr>
                <w:sz w:val="18"/>
                <w:szCs w:val="18"/>
              </w:rPr>
              <w:t>0.096</w:t>
            </w:r>
          </w:p>
        </w:tc>
        <w:tc>
          <w:tcPr>
            <w:tcW w:w="983" w:type="pct"/>
            <w:shd w:val="clear" w:color="auto" w:fill="auto"/>
          </w:tcPr>
          <w:p w14:paraId="347A9BAB" w14:textId="77777777" w:rsidR="001631C6" w:rsidRPr="00F14EF8" w:rsidRDefault="001631C6" w:rsidP="008F5322">
            <w:pPr>
              <w:jc w:val="center"/>
              <w:rPr>
                <w:sz w:val="18"/>
                <w:szCs w:val="18"/>
              </w:rPr>
            </w:pPr>
            <w:r w:rsidRPr="00F14EF8">
              <w:rPr>
                <w:sz w:val="18"/>
                <w:szCs w:val="18"/>
              </w:rPr>
              <w:t>-1.905***</w:t>
            </w:r>
          </w:p>
        </w:tc>
      </w:tr>
      <w:tr w:rsidR="001631C6" w:rsidRPr="00BE6BBE" w14:paraId="01AFC1BF" w14:textId="77777777" w:rsidTr="008F5322">
        <w:trPr>
          <w:trHeight w:val="20"/>
        </w:trPr>
        <w:tc>
          <w:tcPr>
            <w:tcW w:w="2344" w:type="pct"/>
            <w:vMerge/>
            <w:shd w:val="clear" w:color="auto" w:fill="auto"/>
            <w:vAlign w:val="center"/>
          </w:tcPr>
          <w:p w14:paraId="07B286A2" w14:textId="77777777" w:rsidR="001631C6" w:rsidRPr="00F14EF8" w:rsidRDefault="001631C6" w:rsidP="008F5322">
            <w:pPr>
              <w:rPr>
                <w:color w:val="000000"/>
                <w:sz w:val="18"/>
                <w:szCs w:val="18"/>
                <w:lang w:val="en-US" w:eastAsia="en-GB"/>
              </w:rPr>
            </w:pPr>
          </w:p>
        </w:tc>
        <w:tc>
          <w:tcPr>
            <w:tcW w:w="1673" w:type="pct"/>
            <w:shd w:val="clear" w:color="auto" w:fill="auto"/>
          </w:tcPr>
          <w:p w14:paraId="66E3BC42" w14:textId="77777777" w:rsidR="001631C6" w:rsidRPr="00F14EF8" w:rsidRDefault="001631C6" w:rsidP="008F5322">
            <w:pPr>
              <w:jc w:val="center"/>
              <w:rPr>
                <w:sz w:val="18"/>
                <w:szCs w:val="18"/>
              </w:rPr>
            </w:pPr>
            <w:r w:rsidRPr="00F14EF8">
              <w:rPr>
                <w:sz w:val="18"/>
                <w:szCs w:val="18"/>
              </w:rPr>
              <w:t>(0.065)</w:t>
            </w:r>
          </w:p>
        </w:tc>
        <w:tc>
          <w:tcPr>
            <w:tcW w:w="983" w:type="pct"/>
            <w:shd w:val="clear" w:color="auto" w:fill="auto"/>
          </w:tcPr>
          <w:p w14:paraId="49BA0DC9" w14:textId="77777777" w:rsidR="001631C6" w:rsidRPr="00F14EF8" w:rsidRDefault="001631C6" w:rsidP="008F5322">
            <w:pPr>
              <w:jc w:val="center"/>
              <w:rPr>
                <w:sz w:val="18"/>
                <w:szCs w:val="18"/>
              </w:rPr>
            </w:pPr>
            <w:r w:rsidRPr="00F14EF8">
              <w:rPr>
                <w:sz w:val="18"/>
                <w:szCs w:val="18"/>
              </w:rPr>
              <w:t>(0.358)</w:t>
            </w:r>
          </w:p>
        </w:tc>
      </w:tr>
      <w:tr w:rsidR="001631C6" w:rsidRPr="00BE6BBE" w14:paraId="7B78D9D4" w14:textId="77777777" w:rsidTr="008F5322">
        <w:trPr>
          <w:trHeight w:val="20"/>
        </w:trPr>
        <w:tc>
          <w:tcPr>
            <w:tcW w:w="2344" w:type="pct"/>
            <w:vMerge w:val="restart"/>
            <w:shd w:val="clear" w:color="auto" w:fill="auto"/>
            <w:vAlign w:val="center"/>
          </w:tcPr>
          <w:p w14:paraId="4EA87B2D"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AA</w:t>
            </w:r>
          </w:p>
        </w:tc>
        <w:tc>
          <w:tcPr>
            <w:tcW w:w="1673" w:type="pct"/>
            <w:shd w:val="clear" w:color="auto" w:fill="auto"/>
          </w:tcPr>
          <w:p w14:paraId="308A4F6F" w14:textId="77777777" w:rsidR="001631C6" w:rsidRPr="00F14EF8" w:rsidRDefault="001631C6" w:rsidP="008F5322">
            <w:pPr>
              <w:jc w:val="center"/>
              <w:rPr>
                <w:sz w:val="18"/>
                <w:szCs w:val="18"/>
              </w:rPr>
            </w:pPr>
            <w:r w:rsidRPr="00F14EF8">
              <w:rPr>
                <w:sz w:val="18"/>
                <w:szCs w:val="18"/>
              </w:rPr>
              <w:t>0.070**</w:t>
            </w:r>
          </w:p>
        </w:tc>
        <w:tc>
          <w:tcPr>
            <w:tcW w:w="983" w:type="pct"/>
            <w:shd w:val="clear" w:color="auto" w:fill="auto"/>
          </w:tcPr>
          <w:p w14:paraId="451616E3" w14:textId="77777777" w:rsidR="001631C6" w:rsidRPr="00F14EF8" w:rsidRDefault="001631C6" w:rsidP="008F5322">
            <w:pPr>
              <w:jc w:val="center"/>
              <w:rPr>
                <w:sz w:val="18"/>
                <w:szCs w:val="18"/>
              </w:rPr>
            </w:pPr>
            <w:r w:rsidRPr="00F14EF8">
              <w:rPr>
                <w:sz w:val="18"/>
                <w:szCs w:val="18"/>
              </w:rPr>
              <w:t>-1.054***</w:t>
            </w:r>
          </w:p>
        </w:tc>
      </w:tr>
      <w:tr w:rsidR="001631C6" w:rsidRPr="00BE6BBE" w14:paraId="22EE3318" w14:textId="77777777" w:rsidTr="008F5322">
        <w:trPr>
          <w:trHeight w:val="20"/>
        </w:trPr>
        <w:tc>
          <w:tcPr>
            <w:tcW w:w="2344" w:type="pct"/>
            <w:vMerge/>
            <w:shd w:val="clear" w:color="auto" w:fill="auto"/>
            <w:vAlign w:val="center"/>
          </w:tcPr>
          <w:p w14:paraId="66499246" w14:textId="77777777" w:rsidR="001631C6" w:rsidRPr="00F14EF8" w:rsidRDefault="001631C6" w:rsidP="008F5322">
            <w:pPr>
              <w:rPr>
                <w:color w:val="000000"/>
                <w:sz w:val="18"/>
                <w:szCs w:val="18"/>
                <w:lang w:val="en-US" w:eastAsia="en-GB"/>
              </w:rPr>
            </w:pPr>
          </w:p>
        </w:tc>
        <w:tc>
          <w:tcPr>
            <w:tcW w:w="1673" w:type="pct"/>
            <w:shd w:val="clear" w:color="auto" w:fill="auto"/>
          </w:tcPr>
          <w:p w14:paraId="2F7D75CD" w14:textId="77777777" w:rsidR="001631C6" w:rsidRPr="00F14EF8" w:rsidRDefault="001631C6" w:rsidP="008F5322">
            <w:pPr>
              <w:jc w:val="center"/>
              <w:rPr>
                <w:sz w:val="18"/>
                <w:szCs w:val="18"/>
              </w:rPr>
            </w:pPr>
            <w:r w:rsidRPr="00F14EF8">
              <w:rPr>
                <w:sz w:val="18"/>
                <w:szCs w:val="18"/>
              </w:rPr>
              <w:t>(0.033)</w:t>
            </w:r>
          </w:p>
        </w:tc>
        <w:tc>
          <w:tcPr>
            <w:tcW w:w="983" w:type="pct"/>
            <w:shd w:val="clear" w:color="auto" w:fill="auto"/>
          </w:tcPr>
          <w:p w14:paraId="7B1D024D" w14:textId="77777777" w:rsidR="001631C6" w:rsidRPr="00F14EF8" w:rsidRDefault="001631C6" w:rsidP="008F5322">
            <w:pPr>
              <w:jc w:val="center"/>
              <w:rPr>
                <w:sz w:val="18"/>
                <w:szCs w:val="18"/>
              </w:rPr>
            </w:pPr>
            <w:r w:rsidRPr="00F14EF8">
              <w:rPr>
                <w:sz w:val="18"/>
                <w:szCs w:val="18"/>
              </w:rPr>
              <w:t>(0.150)</w:t>
            </w:r>
          </w:p>
        </w:tc>
      </w:tr>
      <w:tr w:rsidR="001631C6" w:rsidRPr="00BE6BBE" w14:paraId="72749281" w14:textId="77777777" w:rsidTr="008F5322">
        <w:trPr>
          <w:trHeight w:val="20"/>
        </w:trPr>
        <w:tc>
          <w:tcPr>
            <w:tcW w:w="2344" w:type="pct"/>
            <w:vMerge w:val="restart"/>
            <w:shd w:val="clear" w:color="auto" w:fill="auto"/>
            <w:vAlign w:val="center"/>
          </w:tcPr>
          <w:p w14:paraId="272AE195"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AA-</w:t>
            </w:r>
          </w:p>
        </w:tc>
        <w:tc>
          <w:tcPr>
            <w:tcW w:w="1673" w:type="pct"/>
            <w:shd w:val="clear" w:color="auto" w:fill="auto"/>
          </w:tcPr>
          <w:p w14:paraId="331CDE02" w14:textId="77777777" w:rsidR="001631C6" w:rsidRPr="00F14EF8" w:rsidRDefault="001631C6" w:rsidP="008F5322">
            <w:pPr>
              <w:jc w:val="center"/>
              <w:rPr>
                <w:sz w:val="18"/>
                <w:szCs w:val="18"/>
              </w:rPr>
            </w:pPr>
            <w:r w:rsidRPr="00F14EF8">
              <w:rPr>
                <w:sz w:val="18"/>
                <w:szCs w:val="18"/>
              </w:rPr>
              <w:t>0.027</w:t>
            </w:r>
          </w:p>
        </w:tc>
        <w:tc>
          <w:tcPr>
            <w:tcW w:w="983" w:type="pct"/>
            <w:shd w:val="clear" w:color="auto" w:fill="auto"/>
          </w:tcPr>
          <w:p w14:paraId="757DB423" w14:textId="77777777" w:rsidR="001631C6" w:rsidRPr="00F14EF8" w:rsidRDefault="001631C6" w:rsidP="008F5322">
            <w:pPr>
              <w:jc w:val="center"/>
              <w:rPr>
                <w:sz w:val="18"/>
                <w:szCs w:val="18"/>
              </w:rPr>
            </w:pPr>
            <w:r w:rsidRPr="00F14EF8">
              <w:rPr>
                <w:sz w:val="18"/>
                <w:szCs w:val="18"/>
              </w:rPr>
              <w:t>-1.074***</w:t>
            </w:r>
          </w:p>
        </w:tc>
      </w:tr>
      <w:tr w:rsidR="001631C6" w:rsidRPr="00BE6BBE" w14:paraId="1CAAE982" w14:textId="77777777" w:rsidTr="008F5322">
        <w:trPr>
          <w:trHeight w:val="20"/>
        </w:trPr>
        <w:tc>
          <w:tcPr>
            <w:tcW w:w="2344" w:type="pct"/>
            <w:vMerge/>
            <w:shd w:val="clear" w:color="auto" w:fill="auto"/>
            <w:vAlign w:val="center"/>
          </w:tcPr>
          <w:p w14:paraId="7D255F5D" w14:textId="77777777" w:rsidR="001631C6" w:rsidRPr="00F14EF8" w:rsidRDefault="001631C6" w:rsidP="008F5322">
            <w:pPr>
              <w:rPr>
                <w:color w:val="000000"/>
                <w:sz w:val="18"/>
                <w:szCs w:val="18"/>
                <w:lang w:val="en-US" w:eastAsia="en-GB"/>
              </w:rPr>
            </w:pPr>
          </w:p>
        </w:tc>
        <w:tc>
          <w:tcPr>
            <w:tcW w:w="1673" w:type="pct"/>
            <w:shd w:val="clear" w:color="auto" w:fill="auto"/>
          </w:tcPr>
          <w:p w14:paraId="1DC86068" w14:textId="77777777" w:rsidR="001631C6" w:rsidRPr="00F14EF8" w:rsidRDefault="001631C6" w:rsidP="008F5322">
            <w:pPr>
              <w:jc w:val="center"/>
              <w:rPr>
                <w:sz w:val="18"/>
                <w:szCs w:val="18"/>
              </w:rPr>
            </w:pPr>
            <w:r w:rsidRPr="00F14EF8">
              <w:rPr>
                <w:sz w:val="18"/>
                <w:szCs w:val="18"/>
              </w:rPr>
              <w:t>(0.033)</w:t>
            </w:r>
          </w:p>
        </w:tc>
        <w:tc>
          <w:tcPr>
            <w:tcW w:w="983" w:type="pct"/>
            <w:shd w:val="clear" w:color="auto" w:fill="auto"/>
          </w:tcPr>
          <w:p w14:paraId="2B2745BB" w14:textId="77777777" w:rsidR="001631C6" w:rsidRPr="00F14EF8" w:rsidRDefault="001631C6" w:rsidP="008F5322">
            <w:pPr>
              <w:jc w:val="center"/>
              <w:rPr>
                <w:sz w:val="18"/>
                <w:szCs w:val="18"/>
              </w:rPr>
            </w:pPr>
            <w:r w:rsidRPr="00F14EF8">
              <w:rPr>
                <w:sz w:val="18"/>
                <w:szCs w:val="18"/>
              </w:rPr>
              <w:t>(0.133)</w:t>
            </w:r>
          </w:p>
        </w:tc>
      </w:tr>
      <w:tr w:rsidR="001631C6" w:rsidRPr="00BE6BBE" w14:paraId="5790EF8D" w14:textId="77777777" w:rsidTr="008F5322">
        <w:trPr>
          <w:trHeight w:val="20"/>
        </w:trPr>
        <w:tc>
          <w:tcPr>
            <w:tcW w:w="2344" w:type="pct"/>
            <w:vMerge w:val="restart"/>
            <w:shd w:val="clear" w:color="auto" w:fill="auto"/>
            <w:vAlign w:val="center"/>
          </w:tcPr>
          <w:p w14:paraId="63CCDA25"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w:t>
            </w:r>
          </w:p>
        </w:tc>
        <w:tc>
          <w:tcPr>
            <w:tcW w:w="1673" w:type="pct"/>
            <w:shd w:val="clear" w:color="auto" w:fill="auto"/>
          </w:tcPr>
          <w:p w14:paraId="44D9A6F1" w14:textId="77777777" w:rsidR="001631C6" w:rsidRPr="00F14EF8" w:rsidRDefault="001631C6" w:rsidP="008F5322">
            <w:pPr>
              <w:jc w:val="center"/>
              <w:rPr>
                <w:sz w:val="18"/>
                <w:szCs w:val="18"/>
              </w:rPr>
            </w:pPr>
            <w:r w:rsidRPr="00F14EF8">
              <w:rPr>
                <w:sz w:val="18"/>
                <w:szCs w:val="18"/>
              </w:rPr>
              <w:t>0.041</w:t>
            </w:r>
          </w:p>
        </w:tc>
        <w:tc>
          <w:tcPr>
            <w:tcW w:w="983" w:type="pct"/>
            <w:shd w:val="clear" w:color="auto" w:fill="auto"/>
          </w:tcPr>
          <w:p w14:paraId="6CE63BCC" w14:textId="77777777" w:rsidR="001631C6" w:rsidRPr="00F14EF8" w:rsidRDefault="001631C6" w:rsidP="008F5322">
            <w:pPr>
              <w:jc w:val="center"/>
              <w:rPr>
                <w:sz w:val="18"/>
                <w:szCs w:val="18"/>
              </w:rPr>
            </w:pPr>
            <w:r w:rsidRPr="00F14EF8">
              <w:rPr>
                <w:sz w:val="18"/>
                <w:szCs w:val="18"/>
              </w:rPr>
              <w:t>-0.977***</w:t>
            </w:r>
          </w:p>
        </w:tc>
      </w:tr>
      <w:tr w:rsidR="001631C6" w:rsidRPr="00BE6BBE" w14:paraId="2AF48EB5" w14:textId="77777777" w:rsidTr="008F5322">
        <w:trPr>
          <w:trHeight w:val="20"/>
        </w:trPr>
        <w:tc>
          <w:tcPr>
            <w:tcW w:w="2344" w:type="pct"/>
            <w:vMerge/>
            <w:shd w:val="clear" w:color="auto" w:fill="auto"/>
            <w:vAlign w:val="center"/>
          </w:tcPr>
          <w:p w14:paraId="6E42EA88" w14:textId="77777777" w:rsidR="001631C6" w:rsidRPr="00F14EF8" w:rsidRDefault="001631C6" w:rsidP="008F5322">
            <w:pPr>
              <w:rPr>
                <w:color w:val="000000"/>
                <w:sz w:val="18"/>
                <w:szCs w:val="18"/>
                <w:lang w:val="en-US" w:eastAsia="en-GB"/>
              </w:rPr>
            </w:pPr>
          </w:p>
        </w:tc>
        <w:tc>
          <w:tcPr>
            <w:tcW w:w="1673" w:type="pct"/>
            <w:shd w:val="clear" w:color="auto" w:fill="auto"/>
          </w:tcPr>
          <w:p w14:paraId="182C5C58" w14:textId="77777777" w:rsidR="001631C6" w:rsidRPr="00F14EF8" w:rsidRDefault="001631C6" w:rsidP="008F5322">
            <w:pPr>
              <w:jc w:val="center"/>
              <w:rPr>
                <w:sz w:val="18"/>
                <w:szCs w:val="18"/>
              </w:rPr>
            </w:pPr>
            <w:r w:rsidRPr="00F14EF8">
              <w:rPr>
                <w:sz w:val="18"/>
                <w:szCs w:val="18"/>
              </w:rPr>
              <w:t>(0.026)</w:t>
            </w:r>
          </w:p>
        </w:tc>
        <w:tc>
          <w:tcPr>
            <w:tcW w:w="983" w:type="pct"/>
            <w:shd w:val="clear" w:color="auto" w:fill="auto"/>
          </w:tcPr>
          <w:p w14:paraId="78DF5609" w14:textId="77777777" w:rsidR="001631C6" w:rsidRPr="00F14EF8" w:rsidRDefault="001631C6" w:rsidP="008F5322">
            <w:pPr>
              <w:jc w:val="center"/>
              <w:rPr>
                <w:sz w:val="18"/>
                <w:szCs w:val="18"/>
              </w:rPr>
            </w:pPr>
            <w:r w:rsidRPr="00F14EF8">
              <w:rPr>
                <w:sz w:val="18"/>
                <w:szCs w:val="18"/>
              </w:rPr>
              <w:t>(0.100)</w:t>
            </w:r>
          </w:p>
        </w:tc>
      </w:tr>
      <w:tr w:rsidR="001631C6" w:rsidRPr="00BE6BBE" w14:paraId="1DABF0B9" w14:textId="77777777" w:rsidTr="008F5322">
        <w:trPr>
          <w:trHeight w:val="20"/>
        </w:trPr>
        <w:tc>
          <w:tcPr>
            <w:tcW w:w="2344" w:type="pct"/>
            <w:vMerge w:val="restart"/>
            <w:shd w:val="clear" w:color="auto" w:fill="auto"/>
            <w:vAlign w:val="center"/>
          </w:tcPr>
          <w:p w14:paraId="03137DEA"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w:t>
            </w:r>
          </w:p>
        </w:tc>
        <w:tc>
          <w:tcPr>
            <w:tcW w:w="1673" w:type="pct"/>
            <w:shd w:val="clear" w:color="auto" w:fill="auto"/>
          </w:tcPr>
          <w:p w14:paraId="1DD22A6A" w14:textId="77777777" w:rsidR="001631C6" w:rsidRPr="00F14EF8" w:rsidRDefault="001631C6" w:rsidP="008F5322">
            <w:pPr>
              <w:jc w:val="center"/>
              <w:rPr>
                <w:sz w:val="18"/>
                <w:szCs w:val="18"/>
              </w:rPr>
            </w:pPr>
            <w:r w:rsidRPr="00F14EF8">
              <w:rPr>
                <w:sz w:val="18"/>
                <w:szCs w:val="18"/>
              </w:rPr>
              <w:t>0.076***</w:t>
            </w:r>
          </w:p>
        </w:tc>
        <w:tc>
          <w:tcPr>
            <w:tcW w:w="983" w:type="pct"/>
            <w:shd w:val="clear" w:color="auto" w:fill="auto"/>
          </w:tcPr>
          <w:p w14:paraId="22B1E507" w14:textId="77777777" w:rsidR="001631C6" w:rsidRPr="00F14EF8" w:rsidRDefault="001631C6" w:rsidP="008F5322">
            <w:pPr>
              <w:jc w:val="center"/>
              <w:rPr>
                <w:sz w:val="18"/>
                <w:szCs w:val="18"/>
              </w:rPr>
            </w:pPr>
            <w:r w:rsidRPr="00F14EF8">
              <w:rPr>
                <w:sz w:val="18"/>
                <w:szCs w:val="18"/>
              </w:rPr>
              <w:t>-0.961***</w:t>
            </w:r>
          </w:p>
        </w:tc>
      </w:tr>
      <w:tr w:rsidR="001631C6" w:rsidRPr="00BE6BBE" w14:paraId="0849B94F" w14:textId="77777777" w:rsidTr="008F5322">
        <w:trPr>
          <w:trHeight w:val="20"/>
        </w:trPr>
        <w:tc>
          <w:tcPr>
            <w:tcW w:w="2344" w:type="pct"/>
            <w:vMerge/>
            <w:shd w:val="clear" w:color="auto" w:fill="auto"/>
            <w:vAlign w:val="center"/>
          </w:tcPr>
          <w:p w14:paraId="683E9F01" w14:textId="77777777" w:rsidR="001631C6" w:rsidRPr="00F14EF8" w:rsidRDefault="001631C6" w:rsidP="008F5322">
            <w:pPr>
              <w:rPr>
                <w:color w:val="000000"/>
                <w:sz w:val="18"/>
                <w:szCs w:val="18"/>
                <w:lang w:val="en-US" w:eastAsia="en-GB"/>
              </w:rPr>
            </w:pPr>
          </w:p>
        </w:tc>
        <w:tc>
          <w:tcPr>
            <w:tcW w:w="1673" w:type="pct"/>
            <w:shd w:val="clear" w:color="auto" w:fill="auto"/>
          </w:tcPr>
          <w:p w14:paraId="4566D33D" w14:textId="77777777" w:rsidR="001631C6" w:rsidRPr="00F14EF8" w:rsidRDefault="001631C6" w:rsidP="008F5322">
            <w:pPr>
              <w:jc w:val="center"/>
              <w:rPr>
                <w:sz w:val="18"/>
                <w:szCs w:val="18"/>
              </w:rPr>
            </w:pPr>
            <w:r w:rsidRPr="00F14EF8">
              <w:rPr>
                <w:sz w:val="18"/>
                <w:szCs w:val="18"/>
              </w:rPr>
              <w:t>(0.024)</w:t>
            </w:r>
          </w:p>
        </w:tc>
        <w:tc>
          <w:tcPr>
            <w:tcW w:w="983" w:type="pct"/>
            <w:shd w:val="clear" w:color="auto" w:fill="auto"/>
          </w:tcPr>
          <w:p w14:paraId="14C297E4" w14:textId="77777777" w:rsidR="001631C6" w:rsidRPr="00F14EF8" w:rsidRDefault="001631C6" w:rsidP="008F5322">
            <w:pPr>
              <w:jc w:val="center"/>
              <w:rPr>
                <w:sz w:val="18"/>
                <w:szCs w:val="18"/>
              </w:rPr>
            </w:pPr>
            <w:r w:rsidRPr="00F14EF8">
              <w:rPr>
                <w:sz w:val="18"/>
                <w:szCs w:val="18"/>
              </w:rPr>
              <w:t>(0.102)</w:t>
            </w:r>
          </w:p>
        </w:tc>
      </w:tr>
      <w:tr w:rsidR="001631C6" w:rsidRPr="00BE6BBE" w14:paraId="2ED2F961" w14:textId="77777777" w:rsidTr="008F5322">
        <w:trPr>
          <w:trHeight w:val="20"/>
        </w:trPr>
        <w:tc>
          <w:tcPr>
            <w:tcW w:w="2344" w:type="pct"/>
            <w:vMerge w:val="restart"/>
            <w:shd w:val="clear" w:color="auto" w:fill="auto"/>
            <w:vAlign w:val="center"/>
          </w:tcPr>
          <w:p w14:paraId="0F56B703"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A-</w:t>
            </w:r>
          </w:p>
        </w:tc>
        <w:tc>
          <w:tcPr>
            <w:tcW w:w="1673" w:type="pct"/>
            <w:shd w:val="clear" w:color="auto" w:fill="auto"/>
          </w:tcPr>
          <w:p w14:paraId="0CB7A11F" w14:textId="77777777" w:rsidR="001631C6" w:rsidRPr="00F14EF8" w:rsidRDefault="001631C6" w:rsidP="008F5322">
            <w:pPr>
              <w:jc w:val="center"/>
              <w:rPr>
                <w:sz w:val="18"/>
                <w:szCs w:val="18"/>
              </w:rPr>
            </w:pPr>
            <w:r w:rsidRPr="00F14EF8">
              <w:rPr>
                <w:sz w:val="18"/>
                <w:szCs w:val="18"/>
              </w:rPr>
              <w:t>0.041**</w:t>
            </w:r>
          </w:p>
        </w:tc>
        <w:tc>
          <w:tcPr>
            <w:tcW w:w="983" w:type="pct"/>
            <w:shd w:val="clear" w:color="auto" w:fill="auto"/>
          </w:tcPr>
          <w:p w14:paraId="7BACCA1F" w14:textId="77777777" w:rsidR="001631C6" w:rsidRPr="00F14EF8" w:rsidRDefault="001631C6" w:rsidP="008F5322">
            <w:pPr>
              <w:jc w:val="center"/>
              <w:rPr>
                <w:sz w:val="18"/>
                <w:szCs w:val="18"/>
              </w:rPr>
            </w:pPr>
            <w:r w:rsidRPr="00F14EF8">
              <w:rPr>
                <w:sz w:val="18"/>
                <w:szCs w:val="18"/>
              </w:rPr>
              <w:t>-0.712***</w:t>
            </w:r>
          </w:p>
        </w:tc>
      </w:tr>
      <w:tr w:rsidR="001631C6" w:rsidRPr="00BE6BBE" w14:paraId="3A322E6C" w14:textId="77777777" w:rsidTr="008F5322">
        <w:trPr>
          <w:trHeight w:val="20"/>
        </w:trPr>
        <w:tc>
          <w:tcPr>
            <w:tcW w:w="2344" w:type="pct"/>
            <w:vMerge/>
            <w:shd w:val="clear" w:color="auto" w:fill="auto"/>
            <w:vAlign w:val="center"/>
          </w:tcPr>
          <w:p w14:paraId="6EB5CA4A" w14:textId="77777777" w:rsidR="001631C6" w:rsidRPr="00F14EF8" w:rsidRDefault="001631C6" w:rsidP="008F5322">
            <w:pPr>
              <w:rPr>
                <w:color w:val="000000"/>
                <w:sz w:val="18"/>
                <w:szCs w:val="18"/>
                <w:lang w:val="en-US" w:eastAsia="en-GB"/>
              </w:rPr>
            </w:pPr>
          </w:p>
        </w:tc>
        <w:tc>
          <w:tcPr>
            <w:tcW w:w="1673" w:type="pct"/>
            <w:shd w:val="clear" w:color="auto" w:fill="auto"/>
          </w:tcPr>
          <w:p w14:paraId="4F1E60BC" w14:textId="77777777" w:rsidR="001631C6" w:rsidRPr="00F14EF8" w:rsidRDefault="001631C6" w:rsidP="008F5322">
            <w:pPr>
              <w:jc w:val="center"/>
              <w:rPr>
                <w:sz w:val="18"/>
                <w:szCs w:val="18"/>
              </w:rPr>
            </w:pPr>
            <w:r w:rsidRPr="00F14EF8">
              <w:rPr>
                <w:sz w:val="18"/>
                <w:szCs w:val="18"/>
              </w:rPr>
              <w:t>(0.021)</w:t>
            </w:r>
          </w:p>
        </w:tc>
        <w:tc>
          <w:tcPr>
            <w:tcW w:w="983" w:type="pct"/>
            <w:shd w:val="clear" w:color="auto" w:fill="auto"/>
          </w:tcPr>
          <w:p w14:paraId="5B71DCD8" w14:textId="77777777" w:rsidR="001631C6" w:rsidRPr="00F14EF8" w:rsidRDefault="001631C6" w:rsidP="008F5322">
            <w:pPr>
              <w:jc w:val="center"/>
              <w:rPr>
                <w:sz w:val="18"/>
                <w:szCs w:val="18"/>
              </w:rPr>
            </w:pPr>
            <w:r w:rsidRPr="00F14EF8">
              <w:rPr>
                <w:sz w:val="18"/>
                <w:szCs w:val="18"/>
              </w:rPr>
              <w:t>(0.086)</w:t>
            </w:r>
          </w:p>
        </w:tc>
      </w:tr>
      <w:tr w:rsidR="001631C6" w:rsidRPr="00BE6BBE" w14:paraId="68114F02" w14:textId="77777777" w:rsidTr="008F5322">
        <w:trPr>
          <w:trHeight w:val="80"/>
        </w:trPr>
        <w:tc>
          <w:tcPr>
            <w:tcW w:w="2344" w:type="pct"/>
            <w:vMerge w:val="restart"/>
            <w:shd w:val="clear" w:color="auto" w:fill="auto"/>
            <w:vAlign w:val="center"/>
          </w:tcPr>
          <w:p w14:paraId="322BCAEA"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BBB+</w:t>
            </w:r>
          </w:p>
        </w:tc>
        <w:tc>
          <w:tcPr>
            <w:tcW w:w="1673" w:type="pct"/>
            <w:shd w:val="clear" w:color="auto" w:fill="auto"/>
          </w:tcPr>
          <w:p w14:paraId="55143924" w14:textId="77777777" w:rsidR="001631C6" w:rsidRPr="00F14EF8" w:rsidRDefault="001631C6" w:rsidP="008F5322">
            <w:pPr>
              <w:jc w:val="center"/>
              <w:rPr>
                <w:sz w:val="18"/>
                <w:szCs w:val="18"/>
              </w:rPr>
            </w:pPr>
            <w:r w:rsidRPr="00F14EF8">
              <w:rPr>
                <w:sz w:val="18"/>
                <w:szCs w:val="18"/>
              </w:rPr>
              <w:t>0.054***</w:t>
            </w:r>
          </w:p>
        </w:tc>
        <w:tc>
          <w:tcPr>
            <w:tcW w:w="983" w:type="pct"/>
            <w:shd w:val="clear" w:color="auto" w:fill="auto"/>
          </w:tcPr>
          <w:p w14:paraId="03E0F485" w14:textId="77777777" w:rsidR="001631C6" w:rsidRPr="00F14EF8" w:rsidRDefault="001631C6" w:rsidP="008F5322">
            <w:pPr>
              <w:jc w:val="center"/>
              <w:rPr>
                <w:sz w:val="18"/>
                <w:szCs w:val="18"/>
              </w:rPr>
            </w:pPr>
            <w:r w:rsidRPr="00F14EF8">
              <w:rPr>
                <w:sz w:val="18"/>
                <w:szCs w:val="18"/>
              </w:rPr>
              <w:t>-0.530***</w:t>
            </w:r>
          </w:p>
        </w:tc>
      </w:tr>
      <w:tr w:rsidR="001631C6" w:rsidRPr="00BE6BBE" w14:paraId="5FAA70D0" w14:textId="77777777" w:rsidTr="008F5322">
        <w:trPr>
          <w:trHeight w:val="80"/>
        </w:trPr>
        <w:tc>
          <w:tcPr>
            <w:tcW w:w="2344" w:type="pct"/>
            <w:vMerge/>
            <w:shd w:val="clear" w:color="auto" w:fill="auto"/>
            <w:vAlign w:val="center"/>
          </w:tcPr>
          <w:p w14:paraId="7B10DE82" w14:textId="77777777" w:rsidR="001631C6" w:rsidRPr="00F14EF8" w:rsidRDefault="001631C6" w:rsidP="008F5322">
            <w:pPr>
              <w:rPr>
                <w:color w:val="000000"/>
                <w:sz w:val="18"/>
                <w:szCs w:val="18"/>
                <w:lang w:val="en-US" w:eastAsia="en-GB"/>
              </w:rPr>
            </w:pPr>
          </w:p>
        </w:tc>
        <w:tc>
          <w:tcPr>
            <w:tcW w:w="1673" w:type="pct"/>
            <w:shd w:val="clear" w:color="auto" w:fill="auto"/>
          </w:tcPr>
          <w:p w14:paraId="513518D0" w14:textId="77777777" w:rsidR="001631C6" w:rsidRPr="00F14EF8" w:rsidRDefault="001631C6" w:rsidP="008F5322">
            <w:pPr>
              <w:jc w:val="center"/>
              <w:rPr>
                <w:sz w:val="18"/>
                <w:szCs w:val="18"/>
              </w:rPr>
            </w:pPr>
            <w:r w:rsidRPr="00F14EF8">
              <w:rPr>
                <w:sz w:val="18"/>
                <w:szCs w:val="18"/>
              </w:rPr>
              <w:t>(0.020)</w:t>
            </w:r>
          </w:p>
        </w:tc>
        <w:tc>
          <w:tcPr>
            <w:tcW w:w="983" w:type="pct"/>
            <w:shd w:val="clear" w:color="auto" w:fill="auto"/>
          </w:tcPr>
          <w:p w14:paraId="7D05B980" w14:textId="77777777" w:rsidR="001631C6" w:rsidRPr="00F14EF8" w:rsidRDefault="001631C6" w:rsidP="008F5322">
            <w:pPr>
              <w:jc w:val="center"/>
              <w:rPr>
                <w:sz w:val="18"/>
                <w:szCs w:val="18"/>
              </w:rPr>
            </w:pPr>
            <w:r w:rsidRPr="00F14EF8">
              <w:rPr>
                <w:sz w:val="18"/>
                <w:szCs w:val="18"/>
              </w:rPr>
              <w:t>(0.082)</w:t>
            </w:r>
          </w:p>
        </w:tc>
      </w:tr>
      <w:tr w:rsidR="001631C6" w:rsidRPr="00BE6BBE" w14:paraId="0798FAA2" w14:textId="77777777" w:rsidTr="008F5322">
        <w:trPr>
          <w:trHeight w:val="80"/>
        </w:trPr>
        <w:tc>
          <w:tcPr>
            <w:tcW w:w="2344" w:type="pct"/>
            <w:vMerge w:val="restart"/>
            <w:shd w:val="clear" w:color="auto" w:fill="auto"/>
            <w:vAlign w:val="center"/>
          </w:tcPr>
          <w:p w14:paraId="28B6CB95"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BBB</w:t>
            </w:r>
          </w:p>
        </w:tc>
        <w:tc>
          <w:tcPr>
            <w:tcW w:w="1673" w:type="pct"/>
            <w:shd w:val="clear" w:color="auto" w:fill="auto"/>
          </w:tcPr>
          <w:p w14:paraId="07ACDBD0" w14:textId="77777777" w:rsidR="001631C6" w:rsidRPr="00F14EF8" w:rsidRDefault="001631C6" w:rsidP="008F5322">
            <w:pPr>
              <w:jc w:val="center"/>
              <w:rPr>
                <w:sz w:val="18"/>
                <w:szCs w:val="18"/>
              </w:rPr>
            </w:pPr>
            <w:r w:rsidRPr="00F14EF8">
              <w:rPr>
                <w:sz w:val="18"/>
                <w:szCs w:val="18"/>
              </w:rPr>
              <w:t>0.040**</w:t>
            </w:r>
          </w:p>
        </w:tc>
        <w:tc>
          <w:tcPr>
            <w:tcW w:w="983" w:type="pct"/>
            <w:shd w:val="clear" w:color="auto" w:fill="auto"/>
          </w:tcPr>
          <w:p w14:paraId="0D797562" w14:textId="77777777" w:rsidR="001631C6" w:rsidRPr="00F14EF8" w:rsidRDefault="001631C6" w:rsidP="008F5322">
            <w:pPr>
              <w:jc w:val="center"/>
              <w:rPr>
                <w:sz w:val="18"/>
                <w:szCs w:val="18"/>
              </w:rPr>
            </w:pPr>
            <w:r w:rsidRPr="00F14EF8">
              <w:rPr>
                <w:sz w:val="18"/>
                <w:szCs w:val="18"/>
              </w:rPr>
              <w:t>-0.282***</w:t>
            </w:r>
          </w:p>
        </w:tc>
      </w:tr>
      <w:tr w:rsidR="001631C6" w:rsidRPr="00BE6BBE" w14:paraId="0F87C919" w14:textId="77777777" w:rsidTr="008F5322">
        <w:trPr>
          <w:trHeight w:val="80"/>
        </w:trPr>
        <w:tc>
          <w:tcPr>
            <w:tcW w:w="2344" w:type="pct"/>
            <w:vMerge/>
            <w:shd w:val="clear" w:color="auto" w:fill="auto"/>
            <w:vAlign w:val="center"/>
          </w:tcPr>
          <w:p w14:paraId="12D3DE03" w14:textId="77777777" w:rsidR="001631C6" w:rsidRPr="00F14EF8" w:rsidRDefault="001631C6" w:rsidP="008F5322">
            <w:pPr>
              <w:rPr>
                <w:color w:val="000000"/>
                <w:sz w:val="18"/>
                <w:szCs w:val="18"/>
                <w:lang w:val="en-US" w:eastAsia="en-GB"/>
              </w:rPr>
            </w:pPr>
          </w:p>
        </w:tc>
        <w:tc>
          <w:tcPr>
            <w:tcW w:w="1673" w:type="pct"/>
            <w:shd w:val="clear" w:color="auto" w:fill="auto"/>
          </w:tcPr>
          <w:p w14:paraId="64F8E5AA" w14:textId="77777777" w:rsidR="001631C6" w:rsidRPr="00F14EF8" w:rsidRDefault="001631C6" w:rsidP="008F5322">
            <w:pPr>
              <w:jc w:val="center"/>
              <w:rPr>
                <w:sz w:val="18"/>
                <w:szCs w:val="18"/>
              </w:rPr>
            </w:pPr>
            <w:r w:rsidRPr="00F14EF8">
              <w:rPr>
                <w:sz w:val="18"/>
                <w:szCs w:val="18"/>
              </w:rPr>
              <w:t>(0.018)</w:t>
            </w:r>
          </w:p>
        </w:tc>
        <w:tc>
          <w:tcPr>
            <w:tcW w:w="983" w:type="pct"/>
            <w:shd w:val="clear" w:color="auto" w:fill="auto"/>
          </w:tcPr>
          <w:p w14:paraId="3B8F9D06" w14:textId="77777777" w:rsidR="001631C6" w:rsidRPr="00F14EF8" w:rsidRDefault="001631C6" w:rsidP="008F5322">
            <w:pPr>
              <w:jc w:val="center"/>
              <w:rPr>
                <w:sz w:val="18"/>
                <w:szCs w:val="18"/>
              </w:rPr>
            </w:pPr>
            <w:r w:rsidRPr="00F14EF8">
              <w:rPr>
                <w:sz w:val="18"/>
                <w:szCs w:val="18"/>
              </w:rPr>
              <w:t>(0.079)</w:t>
            </w:r>
          </w:p>
        </w:tc>
      </w:tr>
      <w:tr w:rsidR="001631C6" w:rsidRPr="00BE6BBE" w14:paraId="11D14627" w14:textId="77777777" w:rsidTr="008F5322">
        <w:trPr>
          <w:trHeight w:val="80"/>
        </w:trPr>
        <w:tc>
          <w:tcPr>
            <w:tcW w:w="2344" w:type="pct"/>
            <w:vMerge w:val="restart"/>
            <w:shd w:val="clear" w:color="auto" w:fill="auto"/>
            <w:vAlign w:val="center"/>
          </w:tcPr>
          <w:p w14:paraId="673A765B"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BBB-</w:t>
            </w:r>
          </w:p>
        </w:tc>
        <w:tc>
          <w:tcPr>
            <w:tcW w:w="1673" w:type="pct"/>
            <w:shd w:val="clear" w:color="auto" w:fill="auto"/>
          </w:tcPr>
          <w:p w14:paraId="48DB7CB1" w14:textId="77777777" w:rsidR="001631C6" w:rsidRPr="00F14EF8" w:rsidRDefault="001631C6" w:rsidP="008F5322">
            <w:pPr>
              <w:jc w:val="center"/>
              <w:rPr>
                <w:sz w:val="18"/>
                <w:szCs w:val="18"/>
              </w:rPr>
            </w:pPr>
            <w:r w:rsidRPr="00F14EF8">
              <w:rPr>
                <w:sz w:val="18"/>
                <w:szCs w:val="18"/>
              </w:rPr>
              <w:t>0.012</w:t>
            </w:r>
          </w:p>
        </w:tc>
        <w:tc>
          <w:tcPr>
            <w:tcW w:w="983" w:type="pct"/>
            <w:shd w:val="clear" w:color="auto" w:fill="auto"/>
          </w:tcPr>
          <w:p w14:paraId="274B60E7" w14:textId="77777777" w:rsidR="001631C6" w:rsidRPr="00F14EF8" w:rsidRDefault="001631C6" w:rsidP="008F5322">
            <w:pPr>
              <w:jc w:val="center"/>
              <w:rPr>
                <w:sz w:val="18"/>
                <w:szCs w:val="18"/>
              </w:rPr>
            </w:pPr>
            <w:r w:rsidRPr="00F14EF8">
              <w:rPr>
                <w:sz w:val="18"/>
                <w:szCs w:val="18"/>
              </w:rPr>
              <w:t>0.016</w:t>
            </w:r>
          </w:p>
        </w:tc>
      </w:tr>
      <w:tr w:rsidR="001631C6" w:rsidRPr="00BE6BBE" w14:paraId="5A264E5E" w14:textId="77777777" w:rsidTr="008F5322">
        <w:trPr>
          <w:trHeight w:val="80"/>
        </w:trPr>
        <w:tc>
          <w:tcPr>
            <w:tcW w:w="2344" w:type="pct"/>
            <w:vMerge/>
            <w:shd w:val="clear" w:color="auto" w:fill="auto"/>
            <w:vAlign w:val="center"/>
          </w:tcPr>
          <w:p w14:paraId="247CFD8B" w14:textId="77777777" w:rsidR="001631C6" w:rsidRPr="00F14EF8" w:rsidRDefault="001631C6" w:rsidP="008F5322">
            <w:pPr>
              <w:rPr>
                <w:color w:val="000000"/>
                <w:sz w:val="18"/>
                <w:szCs w:val="18"/>
                <w:lang w:val="en-US" w:eastAsia="en-GB"/>
              </w:rPr>
            </w:pPr>
          </w:p>
        </w:tc>
        <w:tc>
          <w:tcPr>
            <w:tcW w:w="1673" w:type="pct"/>
            <w:shd w:val="clear" w:color="auto" w:fill="auto"/>
          </w:tcPr>
          <w:p w14:paraId="6A1779E3" w14:textId="77777777" w:rsidR="001631C6" w:rsidRPr="00F14EF8" w:rsidRDefault="001631C6" w:rsidP="008F5322">
            <w:pPr>
              <w:jc w:val="center"/>
              <w:rPr>
                <w:sz w:val="18"/>
                <w:szCs w:val="18"/>
              </w:rPr>
            </w:pPr>
            <w:r w:rsidRPr="00F14EF8">
              <w:rPr>
                <w:sz w:val="18"/>
                <w:szCs w:val="18"/>
              </w:rPr>
              <w:t>(0.022)</w:t>
            </w:r>
          </w:p>
        </w:tc>
        <w:tc>
          <w:tcPr>
            <w:tcW w:w="983" w:type="pct"/>
            <w:shd w:val="clear" w:color="auto" w:fill="auto"/>
          </w:tcPr>
          <w:p w14:paraId="21ABE2BE" w14:textId="77777777" w:rsidR="001631C6" w:rsidRPr="00F14EF8" w:rsidRDefault="001631C6" w:rsidP="008F5322">
            <w:pPr>
              <w:jc w:val="center"/>
              <w:rPr>
                <w:sz w:val="18"/>
                <w:szCs w:val="18"/>
              </w:rPr>
            </w:pPr>
            <w:r w:rsidRPr="00F14EF8">
              <w:rPr>
                <w:sz w:val="18"/>
                <w:szCs w:val="18"/>
              </w:rPr>
              <w:t>(0.087)</w:t>
            </w:r>
          </w:p>
        </w:tc>
      </w:tr>
      <w:tr w:rsidR="001631C6" w:rsidRPr="00BE6BBE" w14:paraId="67E9B2F1" w14:textId="77777777" w:rsidTr="008F5322">
        <w:trPr>
          <w:trHeight w:val="80"/>
        </w:trPr>
        <w:tc>
          <w:tcPr>
            <w:tcW w:w="2344" w:type="pct"/>
            <w:shd w:val="clear" w:color="auto" w:fill="auto"/>
            <w:vAlign w:val="center"/>
          </w:tcPr>
          <w:p w14:paraId="0A994099"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Constant</w:t>
            </w:r>
          </w:p>
        </w:tc>
        <w:tc>
          <w:tcPr>
            <w:tcW w:w="1673" w:type="pct"/>
            <w:shd w:val="clear" w:color="auto" w:fill="auto"/>
          </w:tcPr>
          <w:p w14:paraId="344FD5E5" w14:textId="77777777" w:rsidR="001631C6" w:rsidRPr="00F14EF8" w:rsidRDefault="001631C6" w:rsidP="008F5322">
            <w:pPr>
              <w:jc w:val="center"/>
              <w:rPr>
                <w:sz w:val="18"/>
                <w:szCs w:val="18"/>
              </w:rPr>
            </w:pPr>
            <w:r w:rsidRPr="00F14EF8">
              <w:rPr>
                <w:sz w:val="18"/>
                <w:szCs w:val="18"/>
              </w:rPr>
              <w:t>0.237</w:t>
            </w:r>
          </w:p>
        </w:tc>
        <w:tc>
          <w:tcPr>
            <w:tcW w:w="983" w:type="pct"/>
            <w:shd w:val="clear" w:color="auto" w:fill="auto"/>
          </w:tcPr>
          <w:p w14:paraId="75CD8163" w14:textId="77777777" w:rsidR="001631C6" w:rsidRPr="00F14EF8" w:rsidRDefault="001631C6" w:rsidP="008F5322">
            <w:pPr>
              <w:jc w:val="center"/>
              <w:rPr>
                <w:sz w:val="18"/>
                <w:szCs w:val="18"/>
              </w:rPr>
            </w:pPr>
            <w:r w:rsidRPr="00F14EF8">
              <w:rPr>
                <w:sz w:val="18"/>
                <w:szCs w:val="18"/>
              </w:rPr>
              <w:t>-0.210</w:t>
            </w:r>
          </w:p>
        </w:tc>
      </w:tr>
      <w:tr w:rsidR="001631C6" w:rsidRPr="00BE6BBE" w14:paraId="6C335BB2" w14:textId="77777777" w:rsidTr="008F5322">
        <w:trPr>
          <w:trHeight w:val="80"/>
        </w:trPr>
        <w:tc>
          <w:tcPr>
            <w:tcW w:w="2344" w:type="pct"/>
            <w:tcBorders>
              <w:bottom w:val="single" w:sz="4" w:space="0" w:color="auto"/>
            </w:tcBorders>
            <w:shd w:val="clear" w:color="auto" w:fill="auto"/>
            <w:vAlign w:val="center"/>
          </w:tcPr>
          <w:p w14:paraId="0B82AAAF" w14:textId="77777777" w:rsidR="001631C6" w:rsidRPr="00F14EF8" w:rsidRDefault="001631C6" w:rsidP="008F5322">
            <w:pPr>
              <w:rPr>
                <w:color w:val="000000"/>
                <w:sz w:val="18"/>
                <w:szCs w:val="18"/>
                <w:lang w:val="en-US" w:eastAsia="en-GB"/>
              </w:rPr>
            </w:pPr>
          </w:p>
        </w:tc>
        <w:tc>
          <w:tcPr>
            <w:tcW w:w="1673" w:type="pct"/>
            <w:tcBorders>
              <w:bottom w:val="single" w:sz="4" w:space="0" w:color="auto"/>
            </w:tcBorders>
            <w:shd w:val="clear" w:color="auto" w:fill="auto"/>
          </w:tcPr>
          <w:p w14:paraId="2EDABAF7" w14:textId="77777777" w:rsidR="001631C6" w:rsidRPr="00F14EF8" w:rsidRDefault="001631C6" w:rsidP="008F5322">
            <w:pPr>
              <w:jc w:val="center"/>
              <w:rPr>
                <w:sz w:val="18"/>
                <w:szCs w:val="18"/>
              </w:rPr>
            </w:pPr>
            <w:r w:rsidRPr="00F14EF8">
              <w:rPr>
                <w:sz w:val="18"/>
                <w:szCs w:val="18"/>
              </w:rPr>
              <w:t>(0.278)</w:t>
            </w:r>
          </w:p>
        </w:tc>
        <w:tc>
          <w:tcPr>
            <w:tcW w:w="983" w:type="pct"/>
            <w:tcBorders>
              <w:bottom w:val="single" w:sz="4" w:space="0" w:color="auto"/>
            </w:tcBorders>
            <w:shd w:val="clear" w:color="auto" w:fill="auto"/>
          </w:tcPr>
          <w:p w14:paraId="184362D6" w14:textId="77777777" w:rsidR="001631C6" w:rsidRPr="00F14EF8" w:rsidRDefault="001631C6" w:rsidP="008F5322">
            <w:pPr>
              <w:jc w:val="center"/>
              <w:rPr>
                <w:sz w:val="18"/>
                <w:szCs w:val="18"/>
              </w:rPr>
            </w:pPr>
            <w:r w:rsidRPr="00F14EF8">
              <w:rPr>
                <w:sz w:val="18"/>
                <w:szCs w:val="18"/>
              </w:rPr>
              <w:t>(0.898)</w:t>
            </w:r>
          </w:p>
        </w:tc>
      </w:tr>
      <w:tr w:rsidR="001631C6" w:rsidRPr="00BE6BBE" w14:paraId="1B5372F8" w14:textId="77777777" w:rsidTr="008F5322">
        <w:trPr>
          <w:trHeight w:val="80"/>
        </w:trPr>
        <w:tc>
          <w:tcPr>
            <w:tcW w:w="2344" w:type="pct"/>
            <w:tcBorders>
              <w:top w:val="single" w:sz="4" w:space="0" w:color="auto"/>
              <w:bottom w:val="nil"/>
            </w:tcBorders>
            <w:shd w:val="clear" w:color="auto" w:fill="auto"/>
            <w:vAlign w:val="center"/>
            <w:hideMark/>
          </w:tcPr>
          <w:p w14:paraId="09519F19"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Year, Sector and Country dummies</w:t>
            </w:r>
          </w:p>
        </w:tc>
        <w:tc>
          <w:tcPr>
            <w:tcW w:w="1673" w:type="pct"/>
            <w:tcBorders>
              <w:top w:val="single" w:sz="4" w:space="0" w:color="auto"/>
              <w:bottom w:val="nil"/>
            </w:tcBorders>
            <w:shd w:val="clear" w:color="auto" w:fill="auto"/>
            <w:vAlign w:val="center"/>
          </w:tcPr>
          <w:p w14:paraId="1B51370F" w14:textId="77777777" w:rsidR="001631C6" w:rsidRPr="00F14EF8" w:rsidRDefault="001631C6" w:rsidP="008F5322">
            <w:pPr>
              <w:jc w:val="center"/>
              <w:rPr>
                <w:color w:val="000000"/>
                <w:sz w:val="18"/>
                <w:szCs w:val="18"/>
                <w:lang w:val="en-US" w:eastAsia="en-GB"/>
              </w:rPr>
            </w:pPr>
            <w:r w:rsidRPr="00F14EF8">
              <w:rPr>
                <w:color w:val="000000"/>
                <w:sz w:val="18"/>
                <w:szCs w:val="18"/>
                <w:lang w:val="en-US" w:eastAsia="en-GB"/>
              </w:rPr>
              <w:t>Yes</w:t>
            </w:r>
          </w:p>
        </w:tc>
        <w:tc>
          <w:tcPr>
            <w:tcW w:w="983" w:type="pct"/>
            <w:tcBorders>
              <w:top w:val="single" w:sz="4" w:space="0" w:color="auto"/>
              <w:bottom w:val="nil"/>
            </w:tcBorders>
            <w:shd w:val="clear" w:color="auto" w:fill="auto"/>
            <w:vAlign w:val="center"/>
          </w:tcPr>
          <w:p w14:paraId="15B9FE0A" w14:textId="77777777" w:rsidR="001631C6" w:rsidRPr="00F14EF8" w:rsidRDefault="001631C6" w:rsidP="008F5322">
            <w:pPr>
              <w:jc w:val="center"/>
              <w:rPr>
                <w:color w:val="000000"/>
                <w:sz w:val="18"/>
                <w:szCs w:val="18"/>
                <w:lang w:val="en-US" w:eastAsia="en-GB"/>
              </w:rPr>
            </w:pPr>
            <w:r w:rsidRPr="00F14EF8">
              <w:rPr>
                <w:color w:val="000000"/>
                <w:sz w:val="18"/>
                <w:szCs w:val="18"/>
                <w:lang w:val="en-US" w:eastAsia="en-GB"/>
              </w:rPr>
              <w:t>yes</w:t>
            </w:r>
          </w:p>
        </w:tc>
      </w:tr>
      <w:tr w:rsidR="001631C6" w:rsidRPr="00BE6BBE" w14:paraId="3732562C" w14:textId="77777777" w:rsidTr="008F5322">
        <w:trPr>
          <w:trHeight w:val="80"/>
        </w:trPr>
        <w:tc>
          <w:tcPr>
            <w:tcW w:w="2344" w:type="pct"/>
            <w:tcBorders>
              <w:top w:val="nil"/>
            </w:tcBorders>
            <w:shd w:val="clear" w:color="auto" w:fill="auto"/>
            <w:noWrap/>
            <w:vAlign w:val="center"/>
            <w:hideMark/>
          </w:tcPr>
          <w:p w14:paraId="6B6E4372"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Number of Observations</w:t>
            </w:r>
          </w:p>
        </w:tc>
        <w:tc>
          <w:tcPr>
            <w:tcW w:w="1673" w:type="pct"/>
            <w:tcBorders>
              <w:top w:val="nil"/>
            </w:tcBorders>
            <w:shd w:val="clear" w:color="auto" w:fill="auto"/>
          </w:tcPr>
          <w:p w14:paraId="001E64D4" w14:textId="77777777" w:rsidR="001631C6" w:rsidRPr="00F14EF8" w:rsidRDefault="001631C6" w:rsidP="008F5322">
            <w:pPr>
              <w:jc w:val="center"/>
              <w:rPr>
                <w:sz w:val="18"/>
                <w:szCs w:val="18"/>
              </w:rPr>
            </w:pPr>
            <w:r w:rsidRPr="00F14EF8">
              <w:rPr>
                <w:sz w:val="18"/>
                <w:szCs w:val="18"/>
              </w:rPr>
              <w:t>2,409</w:t>
            </w:r>
          </w:p>
        </w:tc>
        <w:tc>
          <w:tcPr>
            <w:tcW w:w="983" w:type="pct"/>
            <w:tcBorders>
              <w:top w:val="nil"/>
            </w:tcBorders>
            <w:shd w:val="clear" w:color="auto" w:fill="auto"/>
          </w:tcPr>
          <w:p w14:paraId="290EC899" w14:textId="77777777" w:rsidR="001631C6" w:rsidRPr="00F14EF8" w:rsidRDefault="001631C6" w:rsidP="008F5322">
            <w:pPr>
              <w:jc w:val="center"/>
              <w:rPr>
                <w:sz w:val="18"/>
                <w:szCs w:val="18"/>
                <w:lang w:val="en-US"/>
              </w:rPr>
            </w:pPr>
            <w:r w:rsidRPr="00F14EF8">
              <w:rPr>
                <w:sz w:val="18"/>
                <w:szCs w:val="18"/>
              </w:rPr>
              <w:t>2,409</w:t>
            </w:r>
          </w:p>
        </w:tc>
      </w:tr>
      <w:tr w:rsidR="001631C6" w:rsidRPr="00BE6BBE" w14:paraId="7E565D85" w14:textId="77777777" w:rsidTr="008F5322">
        <w:trPr>
          <w:trHeight w:val="80"/>
        </w:trPr>
        <w:tc>
          <w:tcPr>
            <w:tcW w:w="2344" w:type="pct"/>
            <w:shd w:val="clear" w:color="auto" w:fill="auto"/>
            <w:noWrap/>
            <w:vAlign w:val="center"/>
            <w:hideMark/>
          </w:tcPr>
          <w:p w14:paraId="2120ADE1"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R</w:t>
            </w:r>
            <w:r w:rsidRPr="00F14EF8">
              <w:rPr>
                <w:color w:val="000000"/>
                <w:sz w:val="18"/>
                <w:szCs w:val="18"/>
                <w:vertAlign w:val="superscript"/>
                <w:lang w:val="en-US" w:eastAsia="en-GB"/>
              </w:rPr>
              <w:t>2</w:t>
            </w:r>
          </w:p>
        </w:tc>
        <w:tc>
          <w:tcPr>
            <w:tcW w:w="1673" w:type="pct"/>
            <w:shd w:val="clear" w:color="auto" w:fill="auto"/>
          </w:tcPr>
          <w:p w14:paraId="7DBB46AF" w14:textId="77777777" w:rsidR="001631C6" w:rsidRPr="00F14EF8" w:rsidRDefault="001631C6" w:rsidP="008F5322">
            <w:pPr>
              <w:jc w:val="center"/>
              <w:rPr>
                <w:sz w:val="18"/>
                <w:szCs w:val="18"/>
              </w:rPr>
            </w:pPr>
            <w:r w:rsidRPr="00F14EF8">
              <w:rPr>
                <w:sz w:val="18"/>
                <w:szCs w:val="18"/>
              </w:rPr>
              <w:t>0.256</w:t>
            </w:r>
          </w:p>
        </w:tc>
        <w:tc>
          <w:tcPr>
            <w:tcW w:w="983" w:type="pct"/>
            <w:shd w:val="clear" w:color="auto" w:fill="auto"/>
          </w:tcPr>
          <w:p w14:paraId="14939F63" w14:textId="77777777" w:rsidR="001631C6" w:rsidRPr="00F14EF8" w:rsidRDefault="001631C6" w:rsidP="008F5322">
            <w:pPr>
              <w:jc w:val="center"/>
              <w:rPr>
                <w:sz w:val="18"/>
                <w:szCs w:val="18"/>
                <w:lang w:val="en-US"/>
              </w:rPr>
            </w:pPr>
            <w:r w:rsidRPr="00F14EF8">
              <w:rPr>
                <w:sz w:val="18"/>
                <w:szCs w:val="18"/>
              </w:rPr>
              <w:t>0.454</w:t>
            </w:r>
          </w:p>
        </w:tc>
      </w:tr>
      <w:tr w:rsidR="001631C6" w:rsidRPr="00BE6BBE" w14:paraId="1FF6D1DE" w14:textId="77777777" w:rsidTr="008F5322">
        <w:trPr>
          <w:trHeight w:val="80"/>
        </w:trPr>
        <w:tc>
          <w:tcPr>
            <w:tcW w:w="2344" w:type="pct"/>
            <w:shd w:val="clear" w:color="auto" w:fill="auto"/>
            <w:noWrap/>
            <w:vAlign w:val="center"/>
            <w:hideMark/>
          </w:tcPr>
          <w:p w14:paraId="524EBF3C"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F-statistic</w:t>
            </w:r>
          </w:p>
        </w:tc>
        <w:tc>
          <w:tcPr>
            <w:tcW w:w="1673" w:type="pct"/>
            <w:shd w:val="clear" w:color="auto" w:fill="auto"/>
          </w:tcPr>
          <w:p w14:paraId="320B4DD2" w14:textId="77777777" w:rsidR="001631C6" w:rsidRPr="00F14EF8" w:rsidRDefault="001631C6" w:rsidP="008F5322">
            <w:pPr>
              <w:jc w:val="center"/>
              <w:rPr>
                <w:sz w:val="18"/>
                <w:szCs w:val="18"/>
                <w:lang w:val="en-US"/>
              </w:rPr>
            </w:pPr>
            <w:r w:rsidRPr="00F14EF8">
              <w:rPr>
                <w:sz w:val="18"/>
                <w:szCs w:val="18"/>
              </w:rPr>
              <w:t>12.43***</w:t>
            </w:r>
          </w:p>
        </w:tc>
        <w:tc>
          <w:tcPr>
            <w:tcW w:w="983" w:type="pct"/>
            <w:shd w:val="clear" w:color="auto" w:fill="auto"/>
          </w:tcPr>
          <w:p w14:paraId="76B52FC7" w14:textId="77777777" w:rsidR="001631C6" w:rsidRPr="00F14EF8" w:rsidRDefault="001631C6" w:rsidP="008F5322">
            <w:pPr>
              <w:jc w:val="center"/>
              <w:rPr>
                <w:sz w:val="18"/>
                <w:szCs w:val="18"/>
                <w:lang w:val="en-US"/>
              </w:rPr>
            </w:pPr>
          </w:p>
        </w:tc>
      </w:tr>
      <w:tr w:rsidR="001631C6" w:rsidRPr="00BE6BBE" w:rsidDel="00F21C62" w14:paraId="214BA9E9" w14:textId="77777777" w:rsidTr="008F5322">
        <w:trPr>
          <w:trHeight w:val="80"/>
        </w:trPr>
        <w:tc>
          <w:tcPr>
            <w:tcW w:w="2344" w:type="pct"/>
            <w:shd w:val="clear" w:color="auto" w:fill="auto"/>
            <w:noWrap/>
            <w:vAlign w:val="center"/>
            <w:hideMark/>
          </w:tcPr>
          <w:p w14:paraId="5ADDECC4" w14:textId="77777777" w:rsidR="001631C6" w:rsidRPr="00F14EF8" w:rsidRDefault="001631C6" w:rsidP="008F5322">
            <w:pPr>
              <w:rPr>
                <w:color w:val="000000"/>
                <w:sz w:val="18"/>
                <w:szCs w:val="18"/>
                <w:lang w:val="en-US" w:eastAsia="en-GB"/>
              </w:rPr>
            </w:pPr>
            <w:r w:rsidRPr="00F14EF8">
              <w:rPr>
                <w:color w:val="000000"/>
                <w:sz w:val="18"/>
                <w:szCs w:val="18"/>
                <w:lang w:val="en-US" w:eastAsia="en-GB"/>
              </w:rPr>
              <w:t>Wald χ</w:t>
            </w:r>
            <w:r w:rsidRPr="00F14EF8">
              <w:rPr>
                <w:color w:val="000000"/>
                <w:sz w:val="18"/>
                <w:szCs w:val="18"/>
                <w:vertAlign w:val="superscript"/>
                <w:lang w:val="en-US" w:eastAsia="en-GB"/>
              </w:rPr>
              <w:t>2</w:t>
            </w:r>
          </w:p>
        </w:tc>
        <w:tc>
          <w:tcPr>
            <w:tcW w:w="1673" w:type="pct"/>
            <w:shd w:val="clear" w:color="auto" w:fill="auto"/>
          </w:tcPr>
          <w:p w14:paraId="0ED1011C" w14:textId="77777777" w:rsidR="001631C6" w:rsidRPr="00F14EF8" w:rsidRDefault="001631C6" w:rsidP="008F5322">
            <w:pPr>
              <w:jc w:val="center"/>
              <w:rPr>
                <w:sz w:val="18"/>
                <w:szCs w:val="18"/>
                <w:lang w:val="en-US"/>
              </w:rPr>
            </w:pPr>
          </w:p>
        </w:tc>
        <w:tc>
          <w:tcPr>
            <w:tcW w:w="983" w:type="pct"/>
            <w:shd w:val="clear" w:color="auto" w:fill="auto"/>
          </w:tcPr>
          <w:p w14:paraId="032443DA" w14:textId="77777777" w:rsidR="001631C6" w:rsidRPr="00F14EF8" w:rsidDel="00F21C62" w:rsidRDefault="001631C6" w:rsidP="008F5322">
            <w:pPr>
              <w:jc w:val="center"/>
              <w:rPr>
                <w:sz w:val="18"/>
                <w:szCs w:val="18"/>
                <w:lang w:val="en-US"/>
              </w:rPr>
            </w:pPr>
            <w:r w:rsidRPr="00F14EF8">
              <w:rPr>
                <w:sz w:val="18"/>
                <w:szCs w:val="18"/>
              </w:rPr>
              <w:t>1,434***</w:t>
            </w:r>
          </w:p>
        </w:tc>
      </w:tr>
    </w:tbl>
    <w:p w14:paraId="6EC20D76" w14:textId="77777777" w:rsidR="001631C6" w:rsidRPr="00604F69" w:rsidRDefault="001631C6" w:rsidP="001631C6">
      <w:pPr>
        <w:rPr>
          <w:lang w:val="en-US"/>
        </w:rPr>
      </w:pPr>
    </w:p>
    <w:bookmarkEnd w:id="20"/>
    <w:bookmarkEnd w:id="21"/>
    <w:p w14:paraId="258B5317" w14:textId="77777777" w:rsidR="001631C6" w:rsidRPr="00207BB5" w:rsidRDefault="001631C6" w:rsidP="001631C6">
      <w:pPr>
        <w:tabs>
          <w:tab w:val="left" w:pos="8220"/>
        </w:tabs>
        <w:rPr>
          <w:rFonts w:eastAsiaTheme="majorEastAsia"/>
          <w:b/>
          <w:bCs/>
          <w:lang w:val="en-US"/>
        </w:rPr>
      </w:pPr>
      <w:r w:rsidRPr="00C04874">
        <w:rPr>
          <w:b/>
          <w:sz w:val="20"/>
          <w:szCs w:val="20"/>
          <w:lang w:val="en-US"/>
        </w:rPr>
        <w:br w:type="page"/>
      </w:r>
      <w:r w:rsidRPr="00207BB5">
        <w:rPr>
          <w:b/>
          <w:lang w:val="en-US"/>
        </w:rPr>
        <w:lastRenderedPageBreak/>
        <w:t>Table 5</w:t>
      </w:r>
    </w:p>
    <w:p w14:paraId="6CFF707F" w14:textId="77777777" w:rsidR="001631C6" w:rsidRPr="00207BB5" w:rsidRDefault="001631C6" w:rsidP="001631C6">
      <w:pPr>
        <w:pStyle w:val="Heading2"/>
        <w:spacing w:before="0"/>
        <w:jc w:val="both"/>
        <w:rPr>
          <w:rFonts w:cs="Times New Roman"/>
          <w:b/>
          <w:szCs w:val="24"/>
          <w:lang w:val="en-US"/>
        </w:rPr>
      </w:pPr>
      <w:r w:rsidRPr="00207BB5">
        <w:rPr>
          <w:rFonts w:cs="Times New Roman"/>
          <w:szCs w:val="24"/>
          <w:lang w:val="en-US"/>
        </w:rPr>
        <w:t>Alternative definitions of non-domestic bookrunners.</w:t>
      </w:r>
    </w:p>
    <w:p w14:paraId="1E8B9B7E" w14:textId="77777777" w:rsidR="001631C6" w:rsidRPr="00DC68DD" w:rsidRDefault="001631C6" w:rsidP="001631C6">
      <w:pPr>
        <w:jc w:val="both"/>
        <w:rPr>
          <w:sz w:val="20"/>
          <w:szCs w:val="20"/>
          <w:lang w:val="en-US"/>
        </w:rPr>
      </w:pPr>
      <w:r w:rsidRPr="004764C1">
        <w:rPr>
          <w:sz w:val="20"/>
          <w:szCs w:val="20"/>
          <w:lang w:val="en-US"/>
        </w:rPr>
        <w:t>The table reports the second stage regression for instrumental variable two-stage least squares (IV-2SLS) regressions</w:t>
      </w:r>
      <w:r w:rsidRPr="004764C1" w:rsidDel="00125C74">
        <w:rPr>
          <w:sz w:val="20"/>
          <w:szCs w:val="20"/>
          <w:lang w:val="en-US"/>
        </w:rPr>
        <w:t xml:space="preserve"> </w:t>
      </w:r>
      <w:r w:rsidRPr="004764C1">
        <w:rPr>
          <w:sz w:val="20"/>
          <w:szCs w:val="20"/>
          <w:lang w:val="en-US"/>
        </w:rPr>
        <w:t xml:space="preserve">predicting the at-issue credit spread of </w:t>
      </w:r>
      <w:r>
        <w:rPr>
          <w:sz w:val="20"/>
          <w:szCs w:val="20"/>
          <w:lang w:val="en-US"/>
        </w:rPr>
        <w:t>2,409</w:t>
      </w:r>
      <w:r w:rsidRPr="004764C1">
        <w:rPr>
          <w:sz w:val="20"/>
          <w:szCs w:val="20"/>
          <w:lang w:val="en-US"/>
        </w:rPr>
        <w:t xml:space="preserve"> euro-denominated public bond tranches issued by </w:t>
      </w:r>
      <w:r>
        <w:rPr>
          <w:sz w:val="20"/>
          <w:szCs w:val="20"/>
          <w:lang w:val="en-US"/>
        </w:rPr>
        <w:t>356</w:t>
      </w:r>
      <w:r w:rsidRPr="004764C1">
        <w:rPr>
          <w:sz w:val="20"/>
          <w:szCs w:val="20"/>
          <w:lang w:val="en-US"/>
        </w:rPr>
        <w:t xml:space="preserve"> Western European firms during 2001-20</w:t>
      </w:r>
      <w:r>
        <w:rPr>
          <w:sz w:val="20"/>
          <w:szCs w:val="20"/>
          <w:lang w:val="en-US"/>
        </w:rPr>
        <w:t>20</w:t>
      </w:r>
      <w:r w:rsidRPr="004764C1">
        <w:rPr>
          <w:sz w:val="20"/>
          <w:szCs w:val="20"/>
          <w:lang w:val="en-US"/>
        </w:rPr>
        <w:t>. Standard errors clustered at the firm</w:t>
      </w:r>
      <w:r>
        <w:rPr>
          <w:sz w:val="20"/>
          <w:szCs w:val="20"/>
          <w:lang w:val="en-US"/>
        </w:rPr>
        <w:t xml:space="preserve"> and year</w:t>
      </w:r>
      <w:r w:rsidRPr="004764C1">
        <w:rPr>
          <w:sz w:val="20"/>
          <w:szCs w:val="20"/>
          <w:lang w:val="en-US"/>
        </w:rPr>
        <w:t xml:space="preserve"> level are reported in parenthesis. </w:t>
      </w:r>
      <w:r w:rsidRPr="004764C1">
        <w:rPr>
          <w:color w:val="000000"/>
          <w:sz w:val="20"/>
          <w:szCs w:val="20"/>
          <w:lang w:val="en-US" w:eastAsia="en-GB"/>
        </w:rPr>
        <w:t>***</w:t>
      </w:r>
      <w:r w:rsidRPr="004764C1">
        <w:rPr>
          <w:color w:val="000000"/>
          <w:sz w:val="20"/>
          <w:szCs w:val="20"/>
          <w:lang w:val="en-US"/>
        </w:rPr>
        <w:t>, **, and * denote significance at the 1%, 5%, and 10% levels respectively.</w:t>
      </w:r>
    </w:p>
    <w:tbl>
      <w:tblPr>
        <w:tblW w:w="5126" w:type="pct"/>
        <w:jc w:val="center"/>
        <w:tblBorders>
          <w:top w:val="single" w:sz="4" w:space="0" w:color="auto"/>
          <w:bottom w:val="single" w:sz="4" w:space="0" w:color="auto"/>
        </w:tblBorders>
        <w:tblLook w:val="04A0" w:firstRow="1" w:lastRow="0" w:firstColumn="1" w:lastColumn="0" w:noHBand="0" w:noVBand="1"/>
      </w:tblPr>
      <w:tblGrid>
        <w:gridCol w:w="4101"/>
        <w:gridCol w:w="1288"/>
        <w:gridCol w:w="1288"/>
        <w:gridCol w:w="1288"/>
        <w:gridCol w:w="1288"/>
      </w:tblGrid>
      <w:tr w:rsidR="001631C6" w:rsidRPr="00BE6BBE" w14:paraId="43A1EEFF" w14:textId="77777777" w:rsidTr="008F5322">
        <w:trPr>
          <w:trHeight w:val="89"/>
          <w:jc w:val="center"/>
        </w:trPr>
        <w:tc>
          <w:tcPr>
            <w:tcW w:w="2216" w:type="pct"/>
            <w:tcBorders>
              <w:top w:val="single" w:sz="4" w:space="0" w:color="auto"/>
              <w:bottom w:val="single" w:sz="4" w:space="0" w:color="auto"/>
            </w:tcBorders>
            <w:shd w:val="clear" w:color="auto" w:fill="auto"/>
            <w:vAlign w:val="bottom"/>
            <w:hideMark/>
          </w:tcPr>
          <w:p w14:paraId="6CD90537"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 </w:t>
            </w:r>
          </w:p>
        </w:tc>
        <w:tc>
          <w:tcPr>
            <w:tcW w:w="696" w:type="pct"/>
            <w:tcBorders>
              <w:top w:val="single" w:sz="4" w:space="0" w:color="auto"/>
              <w:bottom w:val="single" w:sz="4" w:space="0" w:color="auto"/>
            </w:tcBorders>
            <w:shd w:val="clear" w:color="auto" w:fill="auto"/>
            <w:vAlign w:val="center"/>
            <w:hideMark/>
          </w:tcPr>
          <w:p w14:paraId="5CAA0404" w14:textId="77777777" w:rsidR="001631C6" w:rsidRPr="00BE6BBE" w:rsidRDefault="001631C6" w:rsidP="008F5322">
            <w:pPr>
              <w:jc w:val="center"/>
              <w:rPr>
                <w:bCs/>
                <w:color w:val="000000"/>
                <w:sz w:val="22"/>
                <w:szCs w:val="22"/>
                <w:lang w:val="en-US" w:eastAsia="en-GB"/>
              </w:rPr>
            </w:pPr>
            <w:r w:rsidRPr="00BE6BBE">
              <w:rPr>
                <w:bCs/>
                <w:color w:val="000000"/>
                <w:sz w:val="22"/>
                <w:szCs w:val="22"/>
                <w:lang w:val="en-US" w:eastAsia="en-GB"/>
              </w:rPr>
              <w:t>Model 1</w:t>
            </w:r>
          </w:p>
        </w:tc>
        <w:tc>
          <w:tcPr>
            <w:tcW w:w="696" w:type="pct"/>
            <w:tcBorders>
              <w:top w:val="single" w:sz="4" w:space="0" w:color="auto"/>
              <w:bottom w:val="single" w:sz="4" w:space="0" w:color="auto"/>
            </w:tcBorders>
            <w:shd w:val="clear" w:color="auto" w:fill="auto"/>
            <w:vAlign w:val="center"/>
            <w:hideMark/>
          </w:tcPr>
          <w:p w14:paraId="0169032B" w14:textId="77777777" w:rsidR="001631C6" w:rsidRPr="00BE6BBE" w:rsidRDefault="001631C6" w:rsidP="008F5322">
            <w:pPr>
              <w:jc w:val="center"/>
              <w:rPr>
                <w:bCs/>
                <w:color w:val="000000"/>
                <w:sz w:val="22"/>
                <w:szCs w:val="22"/>
                <w:lang w:val="en-US" w:eastAsia="en-GB"/>
              </w:rPr>
            </w:pPr>
            <w:r w:rsidRPr="00BE6BBE">
              <w:rPr>
                <w:bCs/>
                <w:color w:val="000000"/>
                <w:sz w:val="22"/>
                <w:szCs w:val="22"/>
                <w:lang w:val="en-US" w:eastAsia="en-GB"/>
              </w:rPr>
              <w:t>Model 2</w:t>
            </w:r>
          </w:p>
        </w:tc>
        <w:tc>
          <w:tcPr>
            <w:tcW w:w="696" w:type="pct"/>
            <w:tcBorders>
              <w:top w:val="single" w:sz="4" w:space="0" w:color="auto"/>
              <w:bottom w:val="single" w:sz="4" w:space="0" w:color="auto"/>
            </w:tcBorders>
            <w:shd w:val="clear" w:color="auto" w:fill="auto"/>
            <w:vAlign w:val="center"/>
            <w:hideMark/>
          </w:tcPr>
          <w:p w14:paraId="34AB49CF" w14:textId="77777777" w:rsidR="001631C6" w:rsidRPr="00BE6BBE" w:rsidRDefault="001631C6" w:rsidP="008F5322">
            <w:pPr>
              <w:jc w:val="center"/>
              <w:rPr>
                <w:bCs/>
                <w:color w:val="000000"/>
                <w:sz w:val="22"/>
                <w:szCs w:val="22"/>
                <w:lang w:val="en-US" w:eastAsia="en-GB"/>
              </w:rPr>
            </w:pPr>
            <w:r w:rsidRPr="00BE6BBE">
              <w:rPr>
                <w:bCs/>
                <w:color w:val="000000"/>
                <w:sz w:val="22"/>
                <w:szCs w:val="22"/>
                <w:lang w:val="en-US" w:eastAsia="en-GB"/>
              </w:rPr>
              <w:t>Model 3</w:t>
            </w:r>
          </w:p>
        </w:tc>
        <w:tc>
          <w:tcPr>
            <w:tcW w:w="696" w:type="pct"/>
            <w:tcBorders>
              <w:top w:val="single" w:sz="4" w:space="0" w:color="auto"/>
              <w:bottom w:val="single" w:sz="4" w:space="0" w:color="auto"/>
            </w:tcBorders>
            <w:vAlign w:val="center"/>
          </w:tcPr>
          <w:p w14:paraId="2A3B6517" w14:textId="77777777" w:rsidR="001631C6" w:rsidRPr="00BE6BBE" w:rsidRDefault="001631C6" w:rsidP="008F5322">
            <w:pPr>
              <w:jc w:val="center"/>
              <w:rPr>
                <w:bCs/>
                <w:color w:val="000000"/>
                <w:sz w:val="22"/>
                <w:szCs w:val="22"/>
                <w:lang w:val="en-US" w:eastAsia="en-GB"/>
              </w:rPr>
            </w:pPr>
            <w:r w:rsidRPr="00BE6BBE">
              <w:rPr>
                <w:bCs/>
                <w:color w:val="000000"/>
                <w:sz w:val="22"/>
                <w:szCs w:val="22"/>
                <w:lang w:val="en-US" w:eastAsia="en-GB"/>
              </w:rPr>
              <w:t>Model 4</w:t>
            </w:r>
          </w:p>
        </w:tc>
      </w:tr>
      <w:tr w:rsidR="001631C6" w:rsidRPr="00BE6BBE" w14:paraId="52750108" w14:textId="77777777" w:rsidTr="008F5322">
        <w:trPr>
          <w:trHeight w:val="230"/>
          <w:jc w:val="center"/>
        </w:trPr>
        <w:tc>
          <w:tcPr>
            <w:tcW w:w="2216" w:type="pct"/>
            <w:vMerge w:val="restart"/>
            <w:tcBorders>
              <w:top w:val="nil"/>
              <w:left w:val="nil"/>
              <w:bottom w:val="nil"/>
              <w:right w:val="nil"/>
            </w:tcBorders>
            <w:shd w:val="clear" w:color="auto" w:fill="auto"/>
            <w:vAlign w:val="center"/>
            <w:hideMark/>
          </w:tcPr>
          <w:p w14:paraId="365A8158" w14:textId="77777777" w:rsidR="001631C6" w:rsidRPr="00BE6BBE" w:rsidRDefault="001631C6" w:rsidP="008F5322">
            <w:pPr>
              <w:rPr>
                <w:bCs/>
                <w:color w:val="000000"/>
                <w:sz w:val="22"/>
                <w:szCs w:val="22"/>
                <w:lang w:val="en-US" w:eastAsia="en-GB"/>
              </w:rPr>
            </w:pPr>
            <w:r w:rsidRPr="00BE6BBE">
              <w:rPr>
                <w:bCs/>
                <w:color w:val="000000"/>
                <w:sz w:val="22"/>
                <w:szCs w:val="22"/>
                <w:lang w:val="en-US" w:eastAsia="en-GB"/>
              </w:rPr>
              <w:t>% of Non-domestic Active BRs</w:t>
            </w:r>
          </w:p>
          <w:p w14:paraId="4920E0E3" w14:textId="77777777" w:rsidR="001631C6" w:rsidRPr="00BE6BBE" w:rsidRDefault="001631C6" w:rsidP="008F5322">
            <w:pPr>
              <w:rPr>
                <w:color w:val="000000"/>
                <w:sz w:val="22"/>
                <w:szCs w:val="22"/>
                <w:lang w:val="en-US" w:eastAsia="en-GB"/>
              </w:rPr>
            </w:pPr>
          </w:p>
        </w:tc>
        <w:tc>
          <w:tcPr>
            <w:tcW w:w="696" w:type="pct"/>
            <w:tcBorders>
              <w:top w:val="nil"/>
              <w:left w:val="nil"/>
              <w:bottom w:val="nil"/>
              <w:right w:val="nil"/>
            </w:tcBorders>
            <w:shd w:val="clear" w:color="auto" w:fill="auto"/>
          </w:tcPr>
          <w:p w14:paraId="0D604F17" w14:textId="77777777" w:rsidR="001631C6" w:rsidRPr="00BE6BBE" w:rsidRDefault="001631C6" w:rsidP="008F5322">
            <w:pPr>
              <w:jc w:val="center"/>
              <w:rPr>
                <w:sz w:val="22"/>
                <w:szCs w:val="22"/>
              </w:rPr>
            </w:pPr>
            <w:r w:rsidRPr="00BE6BBE">
              <w:rPr>
                <w:sz w:val="22"/>
                <w:szCs w:val="22"/>
              </w:rPr>
              <w:t>1.222***</w:t>
            </w:r>
          </w:p>
        </w:tc>
        <w:tc>
          <w:tcPr>
            <w:tcW w:w="696" w:type="pct"/>
            <w:tcBorders>
              <w:top w:val="nil"/>
              <w:left w:val="nil"/>
              <w:bottom w:val="nil"/>
              <w:right w:val="nil"/>
            </w:tcBorders>
            <w:shd w:val="clear" w:color="auto" w:fill="auto"/>
          </w:tcPr>
          <w:p w14:paraId="42C6EB0A"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6433B59F" w14:textId="77777777" w:rsidR="001631C6" w:rsidRPr="00BE6BBE" w:rsidRDefault="001631C6" w:rsidP="008F5322">
            <w:pPr>
              <w:jc w:val="center"/>
              <w:rPr>
                <w:sz w:val="22"/>
                <w:szCs w:val="22"/>
              </w:rPr>
            </w:pPr>
          </w:p>
        </w:tc>
        <w:tc>
          <w:tcPr>
            <w:tcW w:w="696" w:type="pct"/>
            <w:tcBorders>
              <w:top w:val="nil"/>
              <w:left w:val="nil"/>
              <w:bottom w:val="nil"/>
              <w:right w:val="nil"/>
            </w:tcBorders>
          </w:tcPr>
          <w:p w14:paraId="2ECB908B" w14:textId="77777777" w:rsidR="001631C6" w:rsidRPr="00BE6BBE" w:rsidRDefault="001631C6" w:rsidP="008F5322">
            <w:pPr>
              <w:jc w:val="center"/>
              <w:rPr>
                <w:sz w:val="22"/>
                <w:szCs w:val="22"/>
              </w:rPr>
            </w:pPr>
          </w:p>
        </w:tc>
      </w:tr>
      <w:tr w:rsidR="001631C6" w:rsidRPr="00BE6BBE" w14:paraId="44CB147B" w14:textId="77777777" w:rsidTr="008F5322">
        <w:trPr>
          <w:trHeight w:val="230"/>
          <w:jc w:val="center"/>
        </w:trPr>
        <w:tc>
          <w:tcPr>
            <w:tcW w:w="2216" w:type="pct"/>
            <w:vMerge/>
            <w:tcBorders>
              <w:top w:val="nil"/>
              <w:left w:val="nil"/>
              <w:bottom w:val="nil"/>
              <w:right w:val="nil"/>
            </w:tcBorders>
            <w:vAlign w:val="center"/>
            <w:hideMark/>
          </w:tcPr>
          <w:p w14:paraId="6DB57641" w14:textId="77777777" w:rsidR="001631C6" w:rsidRPr="00BE6BBE" w:rsidRDefault="001631C6" w:rsidP="008F5322">
            <w:pPr>
              <w:rPr>
                <w:color w:val="000000"/>
                <w:sz w:val="22"/>
                <w:szCs w:val="22"/>
                <w:lang w:val="en-US" w:eastAsia="en-GB"/>
              </w:rPr>
            </w:pPr>
          </w:p>
        </w:tc>
        <w:tc>
          <w:tcPr>
            <w:tcW w:w="696" w:type="pct"/>
            <w:tcBorders>
              <w:top w:val="nil"/>
              <w:left w:val="nil"/>
              <w:bottom w:val="nil"/>
              <w:right w:val="nil"/>
            </w:tcBorders>
            <w:shd w:val="clear" w:color="auto" w:fill="auto"/>
          </w:tcPr>
          <w:p w14:paraId="6586A076" w14:textId="77777777" w:rsidR="001631C6" w:rsidRPr="00BE6BBE" w:rsidRDefault="001631C6" w:rsidP="008F5322">
            <w:pPr>
              <w:jc w:val="center"/>
              <w:rPr>
                <w:sz w:val="22"/>
                <w:szCs w:val="22"/>
              </w:rPr>
            </w:pPr>
            <w:r w:rsidRPr="00BE6BBE">
              <w:rPr>
                <w:sz w:val="22"/>
                <w:szCs w:val="22"/>
              </w:rPr>
              <w:t>(0.394)</w:t>
            </w:r>
          </w:p>
        </w:tc>
        <w:tc>
          <w:tcPr>
            <w:tcW w:w="696" w:type="pct"/>
            <w:tcBorders>
              <w:top w:val="nil"/>
              <w:left w:val="nil"/>
              <w:bottom w:val="nil"/>
              <w:right w:val="nil"/>
            </w:tcBorders>
            <w:shd w:val="clear" w:color="auto" w:fill="auto"/>
          </w:tcPr>
          <w:p w14:paraId="78C6AAA7"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788DB60F" w14:textId="77777777" w:rsidR="001631C6" w:rsidRPr="00BE6BBE" w:rsidRDefault="001631C6" w:rsidP="008F5322">
            <w:pPr>
              <w:jc w:val="center"/>
              <w:rPr>
                <w:sz w:val="22"/>
                <w:szCs w:val="22"/>
              </w:rPr>
            </w:pPr>
          </w:p>
        </w:tc>
        <w:tc>
          <w:tcPr>
            <w:tcW w:w="696" w:type="pct"/>
            <w:tcBorders>
              <w:top w:val="nil"/>
              <w:left w:val="nil"/>
              <w:bottom w:val="nil"/>
              <w:right w:val="nil"/>
            </w:tcBorders>
          </w:tcPr>
          <w:p w14:paraId="6F8E6524" w14:textId="77777777" w:rsidR="001631C6" w:rsidRPr="00BE6BBE" w:rsidRDefault="001631C6" w:rsidP="008F5322">
            <w:pPr>
              <w:jc w:val="center"/>
              <w:rPr>
                <w:sz w:val="22"/>
                <w:szCs w:val="22"/>
              </w:rPr>
            </w:pPr>
          </w:p>
        </w:tc>
      </w:tr>
      <w:tr w:rsidR="001631C6" w:rsidRPr="00BE6BBE" w14:paraId="4B621384" w14:textId="77777777" w:rsidTr="008F5322">
        <w:trPr>
          <w:trHeight w:val="230"/>
          <w:jc w:val="center"/>
        </w:trPr>
        <w:tc>
          <w:tcPr>
            <w:tcW w:w="2216" w:type="pct"/>
            <w:vMerge w:val="restart"/>
            <w:tcBorders>
              <w:top w:val="nil"/>
              <w:left w:val="nil"/>
              <w:bottom w:val="nil"/>
              <w:right w:val="nil"/>
            </w:tcBorders>
            <w:vAlign w:val="center"/>
            <w:hideMark/>
          </w:tcPr>
          <w:p w14:paraId="3DDD9D02" w14:textId="77777777" w:rsidR="001631C6" w:rsidRPr="00BE6BBE" w:rsidRDefault="001631C6" w:rsidP="008F5322">
            <w:pPr>
              <w:rPr>
                <w:bCs/>
                <w:color w:val="000000"/>
                <w:sz w:val="22"/>
                <w:szCs w:val="22"/>
                <w:lang w:val="en-US" w:eastAsia="en-GB"/>
              </w:rPr>
            </w:pPr>
            <w:r w:rsidRPr="00BE6BBE">
              <w:rPr>
                <w:bCs/>
                <w:color w:val="000000"/>
                <w:sz w:val="22"/>
                <w:szCs w:val="22"/>
                <w:lang w:val="en-US" w:eastAsia="en-GB"/>
              </w:rPr>
              <w:t>% of Non-domestic Active Top 10 BRs</w:t>
            </w:r>
          </w:p>
          <w:p w14:paraId="79DD25E6" w14:textId="77777777" w:rsidR="001631C6" w:rsidRPr="00BE6BBE" w:rsidRDefault="001631C6" w:rsidP="008F5322">
            <w:pPr>
              <w:rPr>
                <w:color w:val="000000"/>
                <w:sz w:val="22"/>
                <w:szCs w:val="22"/>
                <w:lang w:val="en-US" w:eastAsia="en-GB"/>
              </w:rPr>
            </w:pPr>
          </w:p>
        </w:tc>
        <w:tc>
          <w:tcPr>
            <w:tcW w:w="696" w:type="pct"/>
            <w:tcBorders>
              <w:top w:val="nil"/>
              <w:left w:val="nil"/>
              <w:bottom w:val="nil"/>
              <w:right w:val="nil"/>
            </w:tcBorders>
            <w:shd w:val="clear" w:color="auto" w:fill="auto"/>
          </w:tcPr>
          <w:p w14:paraId="3403D008"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115096E7" w14:textId="77777777" w:rsidR="001631C6" w:rsidRPr="00BE6BBE" w:rsidRDefault="001631C6" w:rsidP="008F5322">
            <w:pPr>
              <w:jc w:val="center"/>
              <w:rPr>
                <w:sz w:val="22"/>
                <w:szCs w:val="22"/>
              </w:rPr>
            </w:pPr>
            <w:r w:rsidRPr="00BE6BBE">
              <w:rPr>
                <w:sz w:val="22"/>
                <w:szCs w:val="22"/>
              </w:rPr>
              <w:t>1.597***</w:t>
            </w:r>
          </w:p>
        </w:tc>
        <w:tc>
          <w:tcPr>
            <w:tcW w:w="696" w:type="pct"/>
            <w:tcBorders>
              <w:top w:val="nil"/>
              <w:left w:val="nil"/>
              <w:bottom w:val="nil"/>
              <w:right w:val="nil"/>
            </w:tcBorders>
            <w:shd w:val="clear" w:color="auto" w:fill="auto"/>
          </w:tcPr>
          <w:p w14:paraId="5BB9E725" w14:textId="77777777" w:rsidR="001631C6" w:rsidRPr="00BE6BBE" w:rsidRDefault="001631C6" w:rsidP="008F5322">
            <w:pPr>
              <w:jc w:val="center"/>
              <w:rPr>
                <w:sz w:val="22"/>
                <w:szCs w:val="22"/>
              </w:rPr>
            </w:pPr>
          </w:p>
        </w:tc>
        <w:tc>
          <w:tcPr>
            <w:tcW w:w="696" w:type="pct"/>
            <w:tcBorders>
              <w:top w:val="nil"/>
              <w:left w:val="nil"/>
              <w:bottom w:val="nil"/>
              <w:right w:val="nil"/>
            </w:tcBorders>
          </w:tcPr>
          <w:p w14:paraId="05E55E5F" w14:textId="77777777" w:rsidR="001631C6" w:rsidRPr="00BE6BBE" w:rsidRDefault="001631C6" w:rsidP="008F5322">
            <w:pPr>
              <w:jc w:val="center"/>
              <w:rPr>
                <w:sz w:val="22"/>
                <w:szCs w:val="22"/>
              </w:rPr>
            </w:pPr>
          </w:p>
        </w:tc>
      </w:tr>
      <w:tr w:rsidR="001631C6" w:rsidRPr="00BE6BBE" w14:paraId="650EB898" w14:textId="77777777" w:rsidTr="008F5322">
        <w:trPr>
          <w:trHeight w:val="230"/>
          <w:jc w:val="center"/>
        </w:trPr>
        <w:tc>
          <w:tcPr>
            <w:tcW w:w="2216" w:type="pct"/>
            <w:vMerge/>
            <w:tcBorders>
              <w:top w:val="nil"/>
              <w:left w:val="nil"/>
              <w:bottom w:val="nil"/>
              <w:right w:val="nil"/>
            </w:tcBorders>
            <w:vAlign w:val="center"/>
            <w:hideMark/>
          </w:tcPr>
          <w:p w14:paraId="0C9380DA" w14:textId="77777777" w:rsidR="001631C6" w:rsidRPr="00BE6BBE" w:rsidRDefault="001631C6" w:rsidP="008F5322">
            <w:pPr>
              <w:rPr>
                <w:color w:val="000000"/>
                <w:sz w:val="22"/>
                <w:szCs w:val="22"/>
                <w:lang w:val="en-US" w:eastAsia="en-GB"/>
              </w:rPr>
            </w:pPr>
          </w:p>
        </w:tc>
        <w:tc>
          <w:tcPr>
            <w:tcW w:w="696" w:type="pct"/>
            <w:tcBorders>
              <w:top w:val="nil"/>
              <w:left w:val="nil"/>
              <w:bottom w:val="nil"/>
              <w:right w:val="nil"/>
            </w:tcBorders>
            <w:shd w:val="clear" w:color="auto" w:fill="auto"/>
          </w:tcPr>
          <w:p w14:paraId="11C2F321"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7EF5FAD9" w14:textId="77777777" w:rsidR="001631C6" w:rsidRPr="00BE6BBE" w:rsidRDefault="001631C6" w:rsidP="008F5322">
            <w:pPr>
              <w:jc w:val="center"/>
              <w:rPr>
                <w:sz w:val="22"/>
                <w:szCs w:val="22"/>
              </w:rPr>
            </w:pPr>
            <w:r w:rsidRPr="00BE6BBE">
              <w:rPr>
                <w:sz w:val="22"/>
                <w:szCs w:val="22"/>
              </w:rPr>
              <w:t>(0.540)</w:t>
            </w:r>
          </w:p>
        </w:tc>
        <w:tc>
          <w:tcPr>
            <w:tcW w:w="696" w:type="pct"/>
            <w:tcBorders>
              <w:top w:val="nil"/>
              <w:left w:val="nil"/>
              <w:bottom w:val="nil"/>
              <w:right w:val="nil"/>
            </w:tcBorders>
            <w:shd w:val="clear" w:color="auto" w:fill="auto"/>
          </w:tcPr>
          <w:p w14:paraId="3DA54A12" w14:textId="77777777" w:rsidR="001631C6" w:rsidRPr="00BE6BBE" w:rsidRDefault="001631C6" w:rsidP="008F5322">
            <w:pPr>
              <w:jc w:val="center"/>
              <w:rPr>
                <w:sz w:val="22"/>
                <w:szCs w:val="22"/>
              </w:rPr>
            </w:pPr>
          </w:p>
        </w:tc>
        <w:tc>
          <w:tcPr>
            <w:tcW w:w="696" w:type="pct"/>
            <w:tcBorders>
              <w:top w:val="nil"/>
              <w:left w:val="nil"/>
              <w:bottom w:val="nil"/>
              <w:right w:val="nil"/>
            </w:tcBorders>
          </w:tcPr>
          <w:p w14:paraId="09177C78" w14:textId="77777777" w:rsidR="001631C6" w:rsidRPr="00BE6BBE" w:rsidRDefault="001631C6" w:rsidP="008F5322">
            <w:pPr>
              <w:jc w:val="center"/>
              <w:rPr>
                <w:sz w:val="22"/>
                <w:szCs w:val="22"/>
              </w:rPr>
            </w:pPr>
          </w:p>
        </w:tc>
      </w:tr>
      <w:tr w:rsidR="001631C6" w:rsidRPr="00BE6BBE" w14:paraId="54BD2255" w14:textId="77777777" w:rsidTr="008F5322">
        <w:trPr>
          <w:trHeight w:val="70"/>
          <w:jc w:val="center"/>
        </w:trPr>
        <w:tc>
          <w:tcPr>
            <w:tcW w:w="2216" w:type="pct"/>
            <w:vMerge w:val="restart"/>
            <w:tcBorders>
              <w:top w:val="nil"/>
              <w:left w:val="nil"/>
              <w:bottom w:val="nil"/>
              <w:right w:val="nil"/>
            </w:tcBorders>
            <w:vAlign w:val="center"/>
            <w:hideMark/>
          </w:tcPr>
          <w:p w14:paraId="00CC977C" w14:textId="77777777" w:rsidR="001631C6" w:rsidRPr="00BE6BBE" w:rsidRDefault="001631C6" w:rsidP="008F5322">
            <w:pPr>
              <w:rPr>
                <w:bCs/>
                <w:color w:val="000000"/>
                <w:sz w:val="22"/>
                <w:szCs w:val="22"/>
                <w:lang w:val="en-US" w:eastAsia="en-GB"/>
              </w:rPr>
            </w:pPr>
            <w:r w:rsidRPr="00BE6BBE">
              <w:rPr>
                <w:bCs/>
                <w:color w:val="000000"/>
                <w:sz w:val="22"/>
                <w:szCs w:val="22"/>
                <w:lang w:val="en-US" w:eastAsia="en-GB"/>
              </w:rPr>
              <w:t>% of Active non-domestic Major economy BRs</w:t>
            </w:r>
          </w:p>
          <w:p w14:paraId="43DC119D" w14:textId="77777777" w:rsidR="001631C6" w:rsidRPr="00BE6BBE" w:rsidRDefault="001631C6" w:rsidP="008F5322">
            <w:pPr>
              <w:rPr>
                <w:color w:val="000000"/>
                <w:sz w:val="22"/>
                <w:szCs w:val="22"/>
                <w:lang w:val="en-US" w:eastAsia="en-GB"/>
              </w:rPr>
            </w:pPr>
          </w:p>
        </w:tc>
        <w:tc>
          <w:tcPr>
            <w:tcW w:w="696" w:type="pct"/>
            <w:tcBorders>
              <w:top w:val="nil"/>
              <w:left w:val="nil"/>
              <w:bottom w:val="nil"/>
              <w:right w:val="nil"/>
            </w:tcBorders>
            <w:shd w:val="clear" w:color="auto" w:fill="auto"/>
          </w:tcPr>
          <w:p w14:paraId="6C9C9C42"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4F238EAE"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2225890C" w14:textId="77777777" w:rsidR="001631C6" w:rsidRPr="00BE6BBE" w:rsidRDefault="001631C6" w:rsidP="008F5322">
            <w:pPr>
              <w:jc w:val="center"/>
              <w:rPr>
                <w:sz w:val="22"/>
                <w:szCs w:val="22"/>
              </w:rPr>
            </w:pPr>
            <w:r w:rsidRPr="00BE6BBE">
              <w:rPr>
                <w:sz w:val="22"/>
                <w:szCs w:val="22"/>
              </w:rPr>
              <w:t>1.447***</w:t>
            </w:r>
          </w:p>
        </w:tc>
        <w:tc>
          <w:tcPr>
            <w:tcW w:w="696" w:type="pct"/>
            <w:tcBorders>
              <w:top w:val="nil"/>
              <w:left w:val="nil"/>
              <w:bottom w:val="nil"/>
              <w:right w:val="nil"/>
            </w:tcBorders>
          </w:tcPr>
          <w:p w14:paraId="1507510D" w14:textId="77777777" w:rsidR="001631C6" w:rsidRPr="00BE6BBE" w:rsidRDefault="001631C6" w:rsidP="008F5322">
            <w:pPr>
              <w:jc w:val="center"/>
              <w:rPr>
                <w:sz w:val="22"/>
                <w:szCs w:val="22"/>
              </w:rPr>
            </w:pPr>
          </w:p>
        </w:tc>
      </w:tr>
      <w:tr w:rsidR="001631C6" w:rsidRPr="00BE6BBE" w14:paraId="510E47A1" w14:textId="77777777" w:rsidTr="008F5322">
        <w:trPr>
          <w:trHeight w:val="70"/>
          <w:jc w:val="center"/>
        </w:trPr>
        <w:tc>
          <w:tcPr>
            <w:tcW w:w="2216" w:type="pct"/>
            <w:vMerge/>
            <w:tcBorders>
              <w:top w:val="nil"/>
              <w:left w:val="nil"/>
              <w:bottom w:val="nil"/>
              <w:right w:val="nil"/>
            </w:tcBorders>
            <w:vAlign w:val="center"/>
            <w:hideMark/>
          </w:tcPr>
          <w:p w14:paraId="76DB0313" w14:textId="77777777" w:rsidR="001631C6" w:rsidRPr="00BE6BBE" w:rsidRDefault="001631C6" w:rsidP="008F5322">
            <w:pPr>
              <w:rPr>
                <w:bCs/>
                <w:color w:val="000000"/>
                <w:sz w:val="22"/>
                <w:szCs w:val="22"/>
                <w:lang w:val="en-US" w:eastAsia="en-GB"/>
              </w:rPr>
            </w:pPr>
          </w:p>
        </w:tc>
        <w:tc>
          <w:tcPr>
            <w:tcW w:w="696" w:type="pct"/>
            <w:tcBorders>
              <w:top w:val="nil"/>
              <w:left w:val="nil"/>
              <w:bottom w:val="nil"/>
              <w:right w:val="nil"/>
            </w:tcBorders>
            <w:shd w:val="clear" w:color="auto" w:fill="auto"/>
          </w:tcPr>
          <w:p w14:paraId="4B11D4D5"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061EBCA2"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643750BE" w14:textId="77777777" w:rsidR="001631C6" w:rsidRPr="00BE6BBE" w:rsidRDefault="001631C6" w:rsidP="008F5322">
            <w:pPr>
              <w:jc w:val="center"/>
              <w:rPr>
                <w:sz w:val="22"/>
                <w:szCs w:val="22"/>
              </w:rPr>
            </w:pPr>
            <w:r w:rsidRPr="00BE6BBE">
              <w:rPr>
                <w:sz w:val="22"/>
                <w:szCs w:val="22"/>
              </w:rPr>
              <w:t>(0.477)</w:t>
            </w:r>
          </w:p>
        </w:tc>
        <w:tc>
          <w:tcPr>
            <w:tcW w:w="696" w:type="pct"/>
            <w:tcBorders>
              <w:top w:val="nil"/>
              <w:left w:val="nil"/>
              <w:bottom w:val="nil"/>
              <w:right w:val="nil"/>
            </w:tcBorders>
          </w:tcPr>
          <w:p w14:paraId="39216436" w14:textId="77777777" w:rsidR="001631C6" w:rsidRPr="00BE6BBE" w:rsidRDefault="001631C6" w:rsidP="008F5322">
            <w:pPr>
              <w:jc w:val="center"/>
              <w:rPr>
                <w:sz w:val="22"/>
                <w:szCs w:val="22"/>
              </w:rPr>
            </w:pPr>
          </w:p>
        </w:tc>
      </w:tr>
      <w:tr w:rsidR="001631C6" w:rsidRPr="00BE6BBE" w14:paraId="71C9A526" w14:textId="77777777" w:rsidTr="008F5322">
        <w:trPr>
          <w:trHeight w:val="70"/>
          <w:jc w:val="center"/>
        </w:trPr>
        <w:tc>
          <w:tcPr>
            <w:tcW w:w="2216" w:type="pct"/>
            <w:vMerge w:val="restart"/>
            <w:tcBorders>
              <w:top w:val="nil"/>
              <w:left w:val="nil"/>
              <w:bottom w:val="nil"/>
              <w:right w:val="nil"/>
            </w:tcBorders>
            <w:vAlign w:val="center"/>
            <w:hideMark/>
          </w:tcPr>
          <w:p w14:paraId="2BDEC76D" w14:textId="77777777" w:rsidR="001631C6" w:rsidRPr="00BE6BBE" w:rsidRDefault="001631C6" w:rsidP="008F5322">
            <w:pPr>
              <w:rPr>
                <w:bCs/>
                <w:color w:val="000000"/>
                <w:sz w:val="22"/>
                <w:szCs w:val="22"/>
                <w:lang w:val="en-US" w:eastAsia="en-GB"/>
              </w:rPr>
            </w:pPr>
            <w:r w:rsidRPr="00BE6BBE">
              <w:rPr>
                <w:bCs/>
                <w:color w:val="000000"/>
                <w:sz w:val="22"/>
                <w:szCs w:val="22"/>
                <w:lang w:val="en-US" w:eastAsia="en-GB"/>
              </w:rPr>
              <w:t>% of Non-domestic Active Top 10 BRs if no domestic Top 10 Active BR</w:t>
            </w:r>
          </w:p>
        </w:tc>
        <w:tc>
          <w:tcPr>
            <w:tcW w:w="696" w:type="pct"/>
            <w:tcBorders>
              <w:top w:val="nil"/>
              <w:left w:val="nil"/>
              <w:bottom w:val="nil"/>
              <w:right w:val="nil"/>
            </w:tcBorders>
            <w:shd w:val="clear" w:color="auto" w:fill="auto"/>
          </w:tcPr>
          <w:p w14:paraId="1C957592"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2CCC14C4"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2C457BEB" w14:textId="77777777" w:rsidR="001631C6" w:rsidRPr="00BE6BBE" w:rsidRDefault="001631C6" w:rsidP="008F5322">
            <w:pPr>
              <w:jc w:val="center"/>
              <w:rPr>
                <w:sz w:val="22"/>
                <w:szCs w:val="22"/>
              </w:rPr>
            </w:pPr>
          </w:p>
        </w:tc>
        <w:tc>
          <w:tcPr>
            <w:tcW w:w="696" w:type="pct"/>
            <w:tcBorders>
              <w:top w:val="nil"/>
              <w:left w:val="nil"/>
              <w:bottom w:val="nil"/>
              <w:right w:val="nil"/>
            </w:tcBorders>
          </w:tcPr>
          <w:p w14:paraId="00AFC29D" w14:textId="77777777" w:rsidR="001631C6" w:rsidRPr="00BE6BBE" w:rsidRDefault="001631C6" w:rsidP="008F5322">
            <w:pPr>
              <w:jc w:val="center"/>
              <w:rPr>
                <w:sz w:val="22"/>
                <w:szCs w:val="22"/>
              </w:rPr>
            </w:pPr>
            <w:r w:rsidRPr="00BE6BBE">
              <w:rPr>
                <w:sz w:val="22"/>
                <w:szCs w:val="22"/>
              </w:rPr>
              <w:t>23.485</w:t>
            </w:r>
          </w:p>
        </w:tc>
      </w:tr>
      <w:tr w:rsidR="001631C6" w:rsidRPr="00BE6BBE" w14:paraId="4B067F71" w14:textId="77777777" w:rsidTr="008F5322">
        <w:trPr>
          <w:trHeight w:val="70"/>
          <w:jc w:val="center"/>
        </w:trPr>
        <w:tc>
          <w:tcPr>
            <w:tcW w:w="2216" w:type="pct"/>
            <w:vMerge/>
            <w:tcBorders>
              <w:top w:val="nil"/>
              <w:left w:val="nil"/>
              <w:bottom w:val="nil"/>
              <w:right w:val="nil"/>
            </w:tcBorders>
            <w:shd w:val="clear" w:color="auto" w:fill="auto"/>
            <w:noWrap/>
            <w:vAlign w:val="center"/>
          </w:tcPr>
          <w:p w14:paraId="5FD191C6" w14:textId="77777777" w:rsidR="001631C6" w:rsidRPr="00BE6BBE" w:rsidRDefault="001631C6" w:rsidP="008F5322">
            <w:pPr>
              <w:rPr>
                <w:color w:val="000000"/>
                <w:sz w:val="22"/>
                <w:szCs w:val="22"/>
                <w:lang w:val="en-US" w:eastAsia="en-GB"/>
              </w:rPr>
            </w:pPr>
          </w:p>
        </w:tc>
        <w:tc>
          <w:tcPr>
            <w:tcW w:w="696" w:type="pct"/>
            <w:tcBorders>
              <w:top w:val="nil"/>
              <w:left w:val="nil"/>
              <w:bottom w:val="nil"/>
              <w:right w:val="nil"/>
            </w:tcBorders>
            <w:shd w:val="clear" w:color="auto" w:fill="auto"/>
          </w:tcPr>
          <w:p w14:paraId="05D23EC3"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6DBE6C8B" w14:textId="77777777" w:rsidR="001631C6" w:rsidRPr="00BE6BBE" w:rsidRDefault="001631C6" w:rsidP="008F5322">
            <w:pPr>
              <w:jc w:val="center"/>
              <w:rPr>
                <w:sz w:val="22"/>
                <w:szCs w:val="22"/>
              </w:rPr>
            </w:pPr>
          </w:p>
        </w:tc>
        <w:tc>
          <w:tcPr>
            <w:tcW w:w="696" w:type="pct"/>
            <w:tcBorders>
              <w:top w:val="nil"/>
              <w:left w:val="nil"/>
              <w:bottom w:val="nil"/>
              <w:right w:val="nil"/>
            </w:tcBorders>
            <w:shd w:val="clear" w:color="auto" w:fill="auto"/>
          </w:tcPr>
          <w:p w14:paraId="3D57090E" w14:textId="77777777" w:rsidR="001631C6" w:rsidRPr="00BE6BBE" w:rsidRDefault="001631C6" w:rsidP="008F5322">
            <w:pPr>
              <w:jc w:val="center"/>
              <w:rPr>
                <w:sz w:val="22"/>
                <w:szCs w:val="22"/>
              </w:rPr>
            </w:pPr>
          </w:p>
        </w:tc>
        <w:tc>
          <w:tcPr>
            <w:tcW w:w="696" w:type="pct"/>
            <w:tcBorders>
              <w:top w:val="nil"/>
              <w:left w:val="nil"/>
              <w:bottom w:val="nil"/>
              <w:right w:val="nil"/>
            </w:tcBorders>
          </w:tcPr>
          <w:p w14:paraId="4F0341F7" w14:textId="77777777" w:rsidR="001631C6" w:rsidRPr="00BE6BBE" w:rsidRDefault="001631C6" w:rsidP="008F5322">
            <w:pPr>
              <w:jc w:val="center"/>
              <w:rPr>
                <w:sz w:val="22"/>
                <w:szCs w:val="22"/>
              </w:rPr>
            </w:pPr>
            <w:r w:rsidRPr="00BE6BBE">
              <w:rPr>
                <w:sz w:val="22"/>
                <w:szCs w:val="22"/>
              </w:rPr>
              <w:t>(54.566)</w:t>
            </w:r>
          </w:p>
        </w:tc>
      </w:tr>
      <w:tr w:rsidR="001631C6" w:rsidRPr="00BE6BBE" w14:paraId="092A6A9F" w14:textId="77777777" w:rsidTr="008F5322">
        <w:trPr>
          <w:trHeight w:val="80"/>
          <w:jc w:val="center"/>
        </w:trPr>
        <w:tc>
          <w:tcPr>
            <w:tcW w:w="2216" w:type="pct"/>
            <w:tcBorders>
              <w:top w:val="nil"/>
              <w:left w:val="nil"/>
              <w:bottom w:val="nil"/>
              <w:right w:val="nil"/>
            </w:tcBorders>
            <w:shd w:val="clear" w:color="auto" w:fill="auto"/>
            <w:noWrap/>
            <w:vAlign w:val="center"/>
          </w:tcPr>
          <w:p w14:paraId="5353DC4E" w14:textId="77777777" w:rsidR="001631C6" w:rsidRPr="00BE6BBE" w:rsidRDefault="001631C6" w:rsidP="008F5322">
            <w:pPr>
              <w:rPr>
                <w:color w:val="000000"/>
                <w:sz w:val="22"/>
                <w:szCs w:val="22"/>
                <w:lang w:val="en-US" w:eastAsia="en-GB"/>
              </w:rPr>
            </w:pPr>
          </w:p>
        </w:tc>
        <w:tc>
          <w:tcPr>
            <w:tcW w:w="696" w:type="pct"/>
            <w:tcBorders>
              <w:top w:val="nil"/>
              <w:left w:val="nil"/>
              <w:bottom w:val="nil"/>
              <w:right w:val="nil"/>
            </w:tcBorders>
            <w:shd w:val="clear" w:color="auto" w:fill="auto"/>
            <w:vAlign w:val="center"/>
          </w:tcPr>
          <w:p w14:paraId="53377666" w14:textId="77777777" w:rsidR="001631C6" w:rsidRPr="00BE6BBE" w:rsidRDefault="001631C6" w:rsidP="008F5322">
            <w:pPr>
              <w:jc w:val="center"/>
              <w:rPr>
                <w:color w:val="000000"/>
                <w:sz w:val="22"/>
                <w:szCs w:val="22"/>
                <w:lang w:val="en-US" w:eastAsia="en-GB"/>
              </w:rPr>
            </w:pPr>
          </w:p>
        </w:tc>
        <w:tc>
          <w:tcPr>
            <w:tcW w:w="696" w:type="pct"/>
            <w:tcBorders>
              <w:top w:val="nil"/>
              <w:left w:val="nil"/>
              <w:bottom w:val="nil"/>
              <w:right w:val="nil"/>
            </w:tcBorders>
            <w:shd w:val="clear" w:color="auto" w:fill="auto"/>
            <w:vAlign w:val="center"/>
          </w:tcPr>
          <w:p w14:paraId="11C60DA2" w14:textId="77777777" w:rsidR="001631C6" w:rsidRPr="00BE6BBE" w:rsidRDefault="001631C6" w:rsidP="008F5322">
            <w:pPr>
              <w:jc w:val="center"/>
              <w:rPr>
                <w:color w:val="000000"/>
                <w:sz w:val="22"/>
                <w:szCs w:val="22"/>
                <w:lang w:val="en-US" w:eastAsia="en-GB"/>
              </w:rPr>
            </w:pPr>
          </w:p>
        </w:tc>
        <w:tc>
          <w:tcPr>
            <w:tcW w:w="696" w:type="pct"/>
            <w:tcBorders>
              <w:top w:val="nil"/>
              <w:left w:val="nil"/>
              <w:bottom w:val="nil"/>
              <w:right w:val="nil"/>
            </w:tcBorders>
            <w:shd w:val="clear" w:color="auto" w:fill="auto"/>
            <w:vAlign w:val="center"/>
          </w:tcPr>
          <w:p w14:paraId="7605CCE0" w14:textId="77777777" w:rsidR="001631C6" w:rsidRPr="00BE6BBE" w:rsidRDefault="001631C6" w:rsidP="008F5322">
            <w:pPr>
              <w:jc w:val="center"/>
              <w:rPr>
                <w:color w:val="000000"/>
                <w:sz w:val="22"/>
                <w:szCs w:val="22"/>
                <w:lang w:val="en-US" w:eastAsia="en-GB"/>
              </w:rPr>
            </w:pPr>
          </w:p>
        </w:tc>
        <w:tc>
          <w:tcPr>
            <w:tcW w:w="696" w:type="pct"/>
            <w:tcBorders>
              <w:top w:val="nil"/>
              <w:left w:val="nil"/>
              <w:bottom w:val="nil"/>
              <w:right w:val="nil"/>
            </w:tcBorders>
            <w:vAlign w:val="center"/>
          </w:tcPr>
          <w:p w14:paraId="5791A316" w14:textId="77777777" w:rsidR="001631C6" w:rsidRPr="00BE6BBE" w:rsidRDefault="001631C6" w:rsidP="008F5322">
            <w:pPr>
              <w:jc w:val="center"/>
              <w:rPr>
                <w:color w:val="000000"/>
                <w:sz w:val="22"/>
                <w:szCs w:val="22"/>
                <w:lang w:val="en-US" w:eastAsia="en-GB"/>
              </w:rPr>
            </w:pPr>
          </w:p>
        </w:tc>
      </w:tr>
      <w:tr w:rsidR="001631C6" w:rsidRPr="00BE6BBE" w14:paraId="69F92556" w14:textId="77777777" w:rsidTr="008F5322">
        <w:trPr>
          <w:trHeight w:val="80"/>
          <w:jc w:val="center"/>
        </w:trPr>
        <w:tc>
          <w:tcPr>
            <w:tcW w:w="2216" w:type="pct"/>
            <w:vMerge w:val="restart"/>
            <w:tcBorders>
              <w:top w:val="nil"/>
            </w:tcBorders>
            <w:shd w:val="clear" w:color="auto" w:fill="auto"/>
            <w:noWrap/>
            <w:vAlign w:val="center"/>
          </w:tcPr>
          <w:p w14:paraId="3B491141" w14:textId="77777777" w:rsidR="001631C6" w:rsidRPr="00BE6BBE" w:rsidRDefault="001631C6" w:rsidP="008F5322">
            <w:pPr>
              <w:rPr>
                <w:bCs/>
                <w:color w:val="000000"/>
                <w:sz w:val="22"/>
                <w:szCs w:val="22"/>
                <w:lang w:val="en-US" w:eastAsia="en-GB"/>
              </w:rPr>
            </w:pPr>
            <w:r w:rsidRPr="00BE6BBE">
              <w:rPr>
                <w:bCs/>
                <w:color w:val="000000"/>
                <w:sz w:val="22"/>
                <w:szCs w:val="22"/>
                <w:lang w:val="en-US" w:eastAsia="en-GB"/>
              </w:rPr>
              <w:t>% of BRs prior lender</w:t>
            </w:r>
          </w:p>
        </w:tc>
        <w:tc>
          <w:tcPr>
            <w:tcW w:w="696" w:type="pct"/>
            <w:tcBorders>
              <w:top w:val="nil"/>
            </w:tcBorders>
            <w:shd w:val="clear" w:color="auto" w:fill="auto"/>
          </w:tcPr>
          <w:p w14:paraId="7D27CCFE" w14:textId="77777777" w:rsidR="001631C6" w:rsidRPr="00BE6BBE" w:rsidRDefault="001631C6" w:rsidP="008F5322">
            <w:pPr>
              <w:jc w:val="center"/>
              <w:rPr>
                <w:sz w:val="22"/>
                <w:szCs w:val="22"/>
              </w:rPr>
            </w:pPr>
            <w:r w:rsidRPr="00BE6BBE">
              <w:rPr>
                <w:sz w:val="22"/>
                <w:szCs w:val="22"/>
              </w:rPr>
              <w:t>-0.002</w:t>
            </w:r>
          </w:p>
        </w:tc>
        <w:tc>
          <w:tcPr>
            <w:tcW w:w="696" w:type="pct"/>
            <w:tcBorders>
              <w:top w:val="nil"/>
            </w:tcBorders>
            <w:shd w:val="clear" w:color="auto" w:fill="auto"/>
          </w:tcPr>
          <w:p w14:paraId="7AF01911" w14:textId="77777777" w:rsidR="001631C6" w:rsidRPr="00BE6BBE" w:rsidRDefault="001631C6" w:rsidP="008F5322">
            <w:pPr>
              <w:jc w:val="center"/>
              <w:rPr>
                <w:sz w:val="22"/>
                <w:szCs w:val="22"/>
              </w:rPr>
            </w:pPr>
            <w:r w:rsidRPr="00BE6BBE">
              <w:rPr>
                <w:sz w:val="22"/>
                <w:szCs w:val="22"/>
              </w:rPr>
              <w:t>-0.029</w:t>
            </w:r>
          </w:p>
        </w:tc>
        <w:tc>
          <w:tcPr>
            <w:tcW w:w="696" w:type="pct"/>
            <w:tcBorders>
              <w:top w:val="nil"/>
            </w:tcBorders>
            <w:shd w:val="clear" w:color="auto" w:fill="auto"/>
          </w:tcPr>
          <w:p w14:paraId="67FE977C" w14:textId="77777777" w:rsidR="001631C6" w:rsidRPr="00BE6BBE" w:rsidRDefault="001631C6" w:rsidP="008F5322">
            <w:pPr>
              <w:jc w:val="center"/>
              <w:rPr>
                <w:sz w:val="22"/>
                <w:szCs w:val="22"/>
              </w:rPr>
            </w:pPr>
            <w:r w:rsidRPr="00BE6BBE">
              <w:rPr>
                <w:sz w:val="22"/>
                <w:szCs w:val="22"/>
              </w:rPr>
              <w:t>-0.018</w:t>
            </w:r>
          </w:p>
        </w:tc>
        <w:tc>
          <w:tcPr>
            <w:tcW w:w="696" w:type="pct"/>
            <w:tcBorders>
              <w:top w:val="nil"/>
            </w:tcBorders>
          </w:tcPr>
          <w:p w14:paraId="2D06690F" w14:textId="77777777" w:rsidR="001631C6" w:rsidRPr="00BE6BBE" w:rsidRDefault="001631C6" w:rsidP="008F5322">
            <w:pPr>
              <w:jc w:val="center"/>
              <w:rPr>
                <w:sz w:val="22"/>
                <w:szCs w:val="22"/>
              </w:rPr>
            </w:pPr>
            <w:r w:rsidRPr="00BE6BBE">
              <w:rPr>
                <w:sz w:val="22"/>
                <w:szCs w:val="22"/>
              </w:rPr>
              <w:t>-1.267</w:t>
            </w:r>
          </w:p>
        </w:tc>
      </w:tr>
      <w:tr w:rsidR="001631C6" w:rsidRPr="00BE6BBE" w14:paraId="423A4A0A" w14:textId="77777777" w:rsidTr="008F5322">
        <w:trPr>
          <w:trHeight w:val="80"/>
          <w:jc w:val="center"/>
        </w:trPr>
        <w:tc>
          <w:tcPr>
            <w:tcW w:w="2216" w:type="pct"/>
            <w:vMerge/>
            <w:shd w:val="clear" w:color="auto" w:fill="auto"/>
            <w:noWrap/>
            <w:vAlign w:val="center"/>
          </w:tcPr>
          <w:p w14:paraId="161A39A0" w14:textId="77777777" w:rsidR="001631C6" w:rsidRPr="00BE6BBE" w:rsidRDefault="001631C6" w:rsidP="008F5322">
            <w:pPr>
              <w:rPr>
                <w:color w:val="000000"/>
                <w:sz w:val="22"/>
                <w:szCs w:val="22"/>
                <w:lang w:val="en-US" w:eastAsia="en-GB"/>
              </w:rPr>
            </w:pPr>
          </w:p>
        </w:tc>
        <w:tc>
          <w:tcPr>
            <w:tcW w:w="696" w:type="pct"/>
            <w:tcBorders>
              <w:top w:val="nil"/>
            </w:tcBorders>
            <w:shd w:val="clear" w:color="auto" w:fill="auto"/>
          </w:tcPr>
          <w:p w14:paraId="07215963" w14:textId="77777777" w:rsidR="001631C6" w:rsidRPr="00BE6BBE" w:rsidRDefault="001631C6" w:rsidP="008F5322">
            <w:pPr>
              <w:jc w:val="center"/>
              <w:rPr>
                <w:sz w:val="22"/>
                <w:szCs w:val="22"/>
              </w:rPr>
            </w:pPr>
            <w:r w:rsidRPr="00BE6BBE">
              <w:rPr>
                <w:sz w:val="22"/>
                <w:szCs w:val="22"/>
              </w:rPr>
              <w:t>(0.047)</w:t>
            </w:r>
          </w:p>
        </w:tc>
        <w:tc>
          <w:tcPr>
            <w:tcW w:w="696" w:type="pct"/>
            <w:tcBorders>
              <w:top w:val="nil"/>
            </w:tcBorders>
            <w:shd w:val="clear" w:color="auto" w:fill="auto"/>
          </w:tcPr>
          <w:p w14:paraId="256EEF87" w14:textId="77777777" w:rsidR="001631C6" w:rsidRPr="00BE6BBE" w:rsidRDefault="001631C6" w:rsidP="008F5322">
            <w:pPr>
              <w:jc w:val="center"/>
              <w:rPr>
                <w:sz w:val="22"/>
                <w:szCs w:val="22"/>
              </w:rPr>
            </w:pPr>
            <w:r w:rsidRPr="00BE6BBE">
              <w:rPr>
                <w:sz w:val="22"/>
                <w:szCs w:val="22"/>
              </w:rPr>
              <w:t>(0.050)</w:t>
            </w:r>
          </w:p>
        </w:tc>
        <w:tc>
          <w:tcPr>
            <w:tcW w:w="696" w:type="pct"/>
            <w:tcBorders>
              <w:top w:val="nil"/>
            </w:tcBorders>
            <w:shd w:val="clear" w:color="auto" w:fill="auto"/>
          </w:tcPr>
          <w:p w14:paraId="2BE7C93D" w14:textId="77777777" w:rsidR="001631C6" w:rsidRPr="00BE6BBE" w:rsidRDefault="001631C6" w:rsidP="008F5322">
            <w:pPr>
              <w:jc w:val="center"/>
              <w:rPr>
                <w:sz w:val="22"/>
                <w:szCs w:val="22"/>
              </w:rPr>
            </w:pPr>
            <w:r w:rsidRPr="00BE6BBE">
              <w:rPr>
                <w:sz w:val="22"/>
                <w:szCs w:val="22"/>
              </w:rPr>
              <w:t>(0.047)</w:t>
            </w:r>
          </w:p>
        </w:tc>
        <w:tc>
          <w:tcPr>
            <w:tcW w:w="696" w:type="pct"/>
            <w:tcBorders>
              <w:top w:val="nil"/>
            </w:tcBorders>
          </w:tcPr>
          <w:p w14:paraId="761FEFAA" w14:textId="77777777" w:rsidR="001631C6" w:rsidRPr="00BE6BBE" w:rsidRDefault="001631C6" w:rsidP="008F5322">
            <w:pPr>
              <w:jc w:val="center"/>
              <w:rPr>
                <w:sz w:val="22"/>
                <w:szCs w:val="22"/>
              </w:rPr>
            </w:pPr>
            <w:r w:rsidRPr="00BE6BBE">
              <w:rPr>
                <w:sz w:val="22"/>
                <w:szCs w:val="22"/>
              </w:rPr>
              <w:t>(2.931)</w:t>
            </w:r>
          </w:p>
        </w:tc>
      </w:tr>
      <w:tr w:rsidR="001631C6" w:rsidRPr="00BE6BBE" w14:paraId="45B1263F" w14:textId="77777777" w:rsidTr="008F5322">
        <w:trPr>
          <w:trHeight w:val="80"/>
          <w:jc w:val="center"/>
        </w:trPr>
        <w:tc>
          <w:tcPr>
            <w:tcW w:w="2216" w:type="pct"/>
            <w:vMerge w:val="restart"/>
            <w:tcBorders>
              <w:top w:val="nil"/>
            </w:tcBorders>
            <w:shd w:val="clear" w:color="auto" w:fill="auto"/>
            <w:noWrap/>
            <w:vAlign w:val="center"/>
            <w:hideMark/>
          </w:tcPr>
          <w:p w14:paraId="51373015"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Firm size</w:t>
            </w:r>
          </w:p>
        </w:tc>
        <w:tc>
          <w:tcPr>
            <w:tcW w:w="696" w:type="pct"/>
            <w:tcBorders>
              <w:top w:val="nil"/>
            </w:tcBorders>
            <w:shd w:val="clear" w:color="auto" w:fill="auto"/>
          </w:tcPr>
          <w:p w14:paraId="4D3C7649" w14:textId="77777777" w:rsidR="001631C6" w:rsidRPr="00BE6BBE" w:rsidRDefault="001631C6" w:rsidP="008F5322">
            <w:pPr>
              <w:jc w:val="center"/>
              <w:rPr>
                <w:sz w:val="22"/>
                <w:szCs w:val="22"/>
              </w:rPr>
            </w:pPr>
            <w:r w:rsidRPr="00BE6BBE">
              <w:rPr>
                <w:sz w:val="22"/>
                <w:szCs w:val="22"/>
              </w:rPr>
              <w:t>-0.104***</w:t>
            </w:r>
          </w:p>
        </w:tc>
        <w:tc>
          <w:tcPr>
            <w:tcW w:w="696" w:type="pct"/>
            <w:tcBorders>
              <w:top w:val="nil"/>
            </w:tcBorders>
            <w:shd w:val="clear" w:color="auto" w:fill="auto"/>
          </w:tcPr>
          <w:p w14:paraId="2392B480" w14:textId="77777777" w:rsidR="001631C6" w:rsidRPr="00BE6BBE" w:rsidRDefault="001631C6" w:rsidP="008F5322">
            <w:pPr>
              <w:jc w:val="center"/>
              <w:rPr>
                <w:sz w:val="22"/>
                <w:szCs w:val="22"/>
              </w:rPr>
            </w:pPr>
            <w:r w:rsidRPr="00BE6BBE">
              <w:rPr>
                <w:sz w:val="22"/>
                <w:szCs w:val="22"/>
              </w:rPr>
              <w:t>-0.078***</w:t>
            </w:r>
          </w:p>
        </w:tc>
        <w:tc>
          <w:tcPr>
            <w:tcW w:w="696" w:type="pct"/>
            <w:tcBorders>
              <w:top w:val="nil"/>
            </w:tcBorders>
            <w:shd w:val="clear" w:color="auto" w:fill="auto"/>
          </w:tcPr>
          <w:p w14:paraId="4E234E24" w14:textId="77777777" w:rsidR="001631C6" w:rsidRPr="00BE6BBE" w:rsidRDefault="001631C6" w:rsidP="008F5322">
            <w:pPr>
              <w:jc w:val="center"/>
              <w:rPr>
                <w:sz w:val="22"/>
                <w:szCs w:val="22"/>
              </w:rPr>
            </w:pPr>
            <w:r w:rsidRPr="00BE6BBE">
              <w:rPr>
                <w:sz w:val="22"/>
                <w:szCs w:val="22"/>
              </w:rPr>
              <w:t>-0.097***</w:t>
            </w:r>
          </w:p>
        </w:tc>
        <w:tc>
          <w:tcPr>
            <w:tcW w:w="696" w:type="pct"/>
            <w:tcBorders>
              <w:top w:val="nil"/>
            </w:tcBorders>
          </w:tcPr>
          <w:p w14:paraId="3B79AB65" w14:textId="77777777" w:rsidR="001631C6" w:rsidRPr="00BE6BBE" w:rsidRDefault="001631C6" w:rsidP="008F5322">
            <w:pPr>
              <w:jc w:val="center"/>
              <w:rPr>
                <w:sz w:val="22"/>
                <w:szCs w:val="22"/>
              </w:rPr>
            </w:pPr>
            <w:r w:rsidRPr="00BE6BBE">
              <w:rPr>
                <w:sz w:val="22"/>
                <w:szCs w:val="22"/>
              </w:rPr>
              <w:t>0.035</w:t>
            </w:r>
          </w:p>
        </w:tc>
      </w:tr>
      <w:tr w:rsidR="001631C6" w:rsidRPr="00BE6BBE" w14:paraId="4EC24E6E" w14:textId="77777777" w:rsidTr="008F5322">
        <w:trPr>
          <w:trHeight w:val="80"/>
          <w:jc w:val="center"/>
        </w:trPr>
        <w:tc>
          <w:tcPr>
            <w:tcW w:w="2216" w:type="pct"/>
            <w:vMerge/>
            <w:shd w:val="clear" w:color="auto" w:fill="auto"/>
            <w:vAlign w:val="center"/>
            <w:hideMark/>
          </w:tcPr>
          <w:p w14:paraId="38150F96" w14:textId="77777777" w:rsidR="001631C6" w:rsidRPr="00BE6BBE" w:rsidRDefault="001631C6" w:rsidP="008F5322">
            <w:pPr>
              <w:rPr>
                <w:color w:val="000000"/>
                <w:sz w:val="22"/>
                <w:szCs w:val="22"/>
                <w:lang w:val="en-US" w:eastAsia="en-GB"/>
              </w:rPr>
            </w:pPr>
          </w:p>
        </w:tc>
        <w:tc>
          <w:tcPr>
            <w:tcW w:w="696" w:type="pct"/>
            <w:shd w:val="clear" w:color="auto" w:fill="auto"/>
          </w:tcPr>
          <w:p w14:paraId="1B03B906" w14:textId="77777777" w:rsidR="001631C6" w:rsidRPr="00BE6BBE" w:rsidRDefault="001631C6" w:rsidP="008F5322">
            <w:pPr>
              <w:jc w:val="center"/>
              <w:rPr>
                <w:sz w:val="22"/>
                <w:szCs w:val="22"/>
              </w:rPr>
            </w:pPr>
            <w:r w:rsidRPr="00BE6BBE">
              <w:rPr>
                <w:sz w:val="22"/>
                <w:szCs w:val="22"/>
              </w:rPr>
              <w:t>(0.024)</w:t>
            </w:r>
          </w:p>
        </w:tc>
        <w:tc>
          <w:tcPr>
            <w:tcW w:w="696" w:type="pct"/>
            <w:shd w:val="clear" w:color="auto" w:fill="auto"/>
          </w:tcPr>
          <w:p w14:paraId="78DDD240" w14:textId="77777777" w:rsidR="001631C6" w:rsidRPr="00BE6BBE" w:rsidRDefault="001631C6" w:rsidP="008F5322">
            <w:pPr>
              <w:jc w:val="center"/>
              <w:rPr>
                <w:sz w:val="22"/>
                <w:szCs w:val="22"/>
              </w:rPr>
            </w:pPr>
            <w:r w:rsidRPr="00BE6BBE">
              <w:rPr>
                <w:sz w:val="22"/>
                <w:szCs w:val="22"/>
              </w:rPr>
              <w:t>(0.023)</w:t>
            </w:r>
          </w:p>
        </w:tc>
        <w:tc>
          <w:tcPr>
            <w:tcW w:w="696" w:type="pct"/>
            <w:shd w:val="clear" w:color="auto" w:fill="auto"/>
          </w:tcPr>
          <w:p w14:paraId="70D7CE7E" w14:textId="77777777" w:rsidR="001631C6" w:rsidRPr="00BE6BBE" w:rsidRDefault="001631C6" w:rsidP="008F5322">
            <w:pPr>
              <w:jc w:val="center"/>
              <w:rPr>
                <w:sz w:val="22"/>
                <w:szCs w:val="22"/>
              </w:rPr>
            </w:pPr>
            <w:r w:rsidRPr="00BE6BBE">
              <w:rPr>
                <w:sz w:val="22"/>
                <w:szCs w:val="22"/>
              </w:rPr>
              <w:t>(0.024)</w:t>
            </w:r>
          </w:p>
        </w:tc>
        <w:tc>
          <w:tcPr>
            <w:tcW w:w="696" w:type="pct"/>
          </w:tcPr>
          <w:p w14:paraId="2219B1AF" w14:textId="77777777" w:rsidR="001631C6" w:rsidRPr="00BE6BBE" w:rsidRDefault="001631C6" w:rsidP="008F5322">
            <w:pPr>
              <w:jc w:val="center"/>
              <w:rPr>
                <w:sz w:val="22"/>
                <w:szCs w:val="22"/>
              </w:rPr>
            </w:pPr>
            <w:r w:rsidRPr="00BE6BBE">
              <w:rPr>
                <w:sz w:val="22"/>
                <w:szCs w:val="22"/>
              </w:rPr>
              <w:t>(0.275)</w:t>
            </w:r>
          </w:p>
        </w:tc>
      </w:tr>
      <w:tr w:rsidR="001631C6" w:rsidRPr="00BE6BBE" w14:paraId="76C26D86" w14:textId="77777777" w:rsidTr="008F5322">
        <w:trPr>
          <w:trHeight w:val="225"/>
          <w:jc w:val="center"/>
        </w:trPr>
        <w:tc>
          <w:tcPr>
            <w:tcW w:w="2216" w:type="pct"/>
            <w:vMerge w:val="restart"/>
            <w:shd w:val="clear" w:color="auto" w:fill="auto"/>
            <w:noWrap/>
            <w:vAlign w:val="center"/>
            <w:hideMark/>
          </w:tcPr>
          <w:p w14:paraId="0F47B339"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Profitability</w:t>
            </w:r>
          </w:p>
        </w:tc>
        <w:tc>
          <w:tcPr>
            <w:tcW w:w="696" w:type="pct"/>
            <w:shd w:val="clear" w:color="auto" w:fill="auto"/>
          </w:tcPr>
          <w:p w14:paraId="4CB33C57" w14:textId="77777777" w:rsidR="001631C6" w:rsidRPr="00BE6BBE" w:rsidRDefault="001631C6" w:rsidP="008F5322">
            <w:pPr>
              <w:jc w:val="center"/>
              <w:rPr>
                <w:sz w:val="22"/>
                <w:szCs w:val="22"/>
              </w:rPr>
            </w:pPr>
            <w:r w:rsidRPr="00BE6BBE">
              <w:rPr>
                <w:sz w:val="22"/>
                <w:szCs w:val="22"/>
              </w:rPr>
              <w:t>-1.568***</w:t>
            </w:r>
          </w:p>
        </w:tc>
        <w:tc>
          <w:tcPr>
            <w:tcW w:w="696" w:type="pct"/>
            <w:shd w:val="clear" w:color="auto" w:fill="auto"/>
          </w:tcPr>
          <w:p w14:paraId="131EBD02" w14:textId="77777777" w:rsidR="001631C6" w:rsidRPr="00BE6BBE" w:rsidRDefault="001631C6" w:rsidP="008F5322">
            <w:pPr>
              <w:jc w:val="center"/>
              <w:rPr>
                <w:sz w:val="22"/>
                <w:szCs w:val="22"/>
              </w:rPr>
            </w:pPr>
            <w:r w:rsidRPr="00BE6BBE">
              <w:rPr>
                <w:sz w:val="22"/>
                <w:szCs w:val="22"/>
              </w:rPr>
              <w:t>-1.599***</w:t>
            </w:r>
          </w:p>
        </w:tc>
        <w:tc>
          <w:tcPr>
            <w:tcW w:w="696" w:type="pct"/>
            <w:shd w:val="clear" w:color="auto" w:fill="auto"/>
          </w:tcPr>
          <w:p w14:paraId="1D45C2AE" w14:textId="77777777" w:rsidR="001631C6" w:rsidRPr="00BE6BBE" w:rsidRDefault="001631C6" w:rsidP="008F5322">
            <w:pPr>
              <w:jc w:val="center"/>
              <w:rPr>
                <w:sz w:val="22"/>
                <w:szCs w:val="22"/>
              </w:rPr>
            </w:pPr>
            <w:r w:rsidRPr="00BE6BBE">
              <w:rPr>
                <w:sz w:val="22"/>
                <w:szCs w:val="22"/>
              </w:rPr>
              <w:t>-1.616***</w:t>
            </w:r>
          </w:p>
        </w:tc>
        <w:tc>
          <w:tcPr>
            <w:tcW w:w="696" w:type="pct"/>
          </w:tcPr>
          <w:p w14:paraId="184A5598" w14:textId="77777777" w:rsidR="001631C6" w:rsidRPr="00BE6BBE" w:rsidRDefault="001631C6" w:rsidP="008F5322">
            <w:pPr>
              <w:jc w:val="center"/>
              <w:rPr>
                <w:sz w:val="22"/>
                <w:szCs w:val="22"/>
              </w:rPr>
            </w:pPr>
            <w:r w:rsidRPr="00BE6BBE">
              <w:rPr>
                <w:sz w:val="22"/>
                <w:szCs w:val="22"/>
              </w:rPr>
              <w:t>0.186</w:t>
            </w:r>
          </w:p>
        </w:tc>
      </w:tr>
      <w:tr w:rsidR="001631C6" w:rsidRPr="00BE6BBE" w14:paraId="74A2F51D" w14:textId="77777777" w:rsidTr="008F5322">
        <w:trPr>
          <w:trHeight w:val="80"/>
          <w:jc w:val="center"/>
        </w:trPr>
        <w:tc>
          <w:tcPr>
            <w:tcW w:w="2216" w:type="pct"/>
            <w:vMerge/>
            <w:shd w:val="clear" w:color="auto" w:fill="auto"/>
            <w:vAlign w:val="center"/>
            <w:hideMark/>
          </w:tcPr>
          <w:p w14:paraId="1BF0AE8F" w14:textId="77777777" w:rsidR="001631C6" w:rsidRPr="00BE6BBE" w:rsidRDefault="001631C6" w:rsidP="008F5322">
            <w:pPr>
              <w:rPr>
                <w:color w:val="000000"/>
                <w:sz w:val="22"/>
                <w:szCs w:val="22"/>
                <w:lang w:val="en-US" w:eastAsia="en-GB"/>
              </w:rPr>
            </w:pPr>
          </w:p>
        </w:tc>
        <w:tc>
          <w:tcPr>
            <w:tcW w:w="696" w:type="pct"/>
            <w:shd w:val="clear" w:color="auto" w:fill="auto"/>
          </w:tcPr>
          <w:p w14:paraId="7B65679B" w14:textId="77777777" w:rsidR="001631C6" w:rsidRPr="00BE6BBE" w:rsidRDefault="001631C6" w:rsidP="008F5322">
            <w:pPr>
              <w:jc w:val="center"/>
              <w:rPr>
                <w:sz w:val="22"/>
                <w:szCs w:val="22"/>
              </w:rPr>
            </w:pPr>
            <w:r w:rsidRPr="00BE6BBE">
              <w:rPr>
                <w:sz w:val="22"/>
                <w:szCs w:val="22"/>
              </w:rPr>
              <w:t>(0.452)</w:t>
            </w:r>
          </w:p>
        </w:tc>
        <w:tc>
          <w:tcPr>
            <w:tcW w:w="696" w:type="pct"/>
            <w:shd w:val="clear" w:color="auto" w:fill="auto"/>
          </w:tcPr>
          <w:p w14:paraId="7C44A655" w14:textId="77777777" w:rsidR="001631C6" w:rsidRPr="00BE6BBE" w:rsidRDefault="001631C6" w:rsidP="008F5322">
            <w:pPr>
              <w:jc w:val="center"/>
              <w:rPr>
                <w:sz w:val="22"/>
                <w:szCs w:val="22"/>
              </w:rPr>
            </w:pPr>
            <w:r w:rsidRPr="00BE6BBE">
              <w:rPr>
                <w:sz w:val="22"/>
                <w:szCs w:val="22"/>
              </w:rPr>
              <w:t>(0.474)</w:t>
            </w:r>
          </w:p>
        </w:tc>
        <w:tc>
          <w:tcPr>
            <w:tcW w:w="696" w:type="pct"/>
            <w:shd w:val="clear" w:color="auto" w:fill="auto"/>
          </w:tcPr>
          <w:p w14:paraId="70AE02FC" w14:textId="77777777" w:rsidR="001631C6" w:rsidRPr="00BE6BBE" w:rsidRDefault="001631C6" w:rsidP="008F5322">
            <w:pPr>
              <w:jc w:val="center"/>
              <w:rPr>
                <w:sz w:val="22"/>
                <w:szCs w:val="22"/>
              </w:rPr>
            </w:pPr>
            <w:r w:rsidRPr="00BE6BBE">
              <w:rPr>
                <w:sz w:val="22"/>
                <w:szCs w:val="22"/>
              </w:rPr>
              <w:t>(0.465)</w:t>
            </w:r>
          </w:p>
        </w:tc>
        <w:tc>
          <w:tcPr>
            <w:tcW w:w="696" w:type="pct"/>
          </w:tcPr>
          <w:p w14:paraId="5EB58457" w14:textId="77777777" w:rsidR="001631C6" w:rsidRPr="00BE6BBE" w:rsidRDefault="001631C6" w:rsidP="008F5322">
            <w:pPr>
              <w:jc w:val="center"/>
              <w:rPr>
                <w:sz w:val="22"/>
                <w:szCs w:val="22"/>
              </w:rPr>
            </w:pPr>
            <w:r w:rsidRPr="00BE6BBE">
              <w:rPr>
                <w:sz w:val="22"/>
                <w:szCs w:val="22"/>
              </w:rPr>
              <w:t>(4.903)</w:t>
            </w:r>
          </w:p>
        </w:tc>
      </w:tr>
      <w:tr w:rsidR="001631C6" w:rsidRPr="00BE6BBE" w14:paraId="165B9E49" w14:textId="77777777" w:rsidTr="008F5322">
        <w:trPr>
          <w:trHeight w:val="195"/>
          <w:jc w:val="center"/>
        </w:trPr>
        <w:tc>
          <w:tcPr>
            <w:tcW w:w="2216" w:type="pct"/>
            <w:vMerge w:val="restart"/>
            <w:shd w:val="clear" w:color="auto" w:fill="auto"/>
            <w:noWrap/>
            <w:vAlign w:val="center"/>
            <w:hideMark/>
          </w:tcPr>
          <w:p w14:paraId="2AA24EE0"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Intangible assets</w:t>
            </w:r>
          </w:p>
        </w:tc>
        <w:tc>
          <w:tcPr>
            <w:tcW w:w="696" w:type="pct"/>
            <w:shd w:val="clear" w:color="auto" w:fill="auto"/>
          </w:tcPr>
          <w:p w14:paraId="2FB8AC3C" w14:textId="77777777" w:rsidR="001631C6" w:rsidRPr="00BE6BBE" w:rsidRDefault="001631C6" w:rsidP="008F5322">
            <w:pPr>
              <w:jc w:val="center"/>
              <w:rPr>
                <w:sz w:val="22"/>
                <w:szCs w:val="22"/>
              </w:rPr>
            </w:pPr>
            <w:r w:rsidRPr="00BE6BBE">
              <w:rPr>
                <w:sz w:val="22"/>
                <w:szCs w:val="22"/>
              </w:rPr>
              <w:t>-0.124</w:t>
            </w:r>
          </w:p>
        </w:tc>
        <w:tc>
          <w:tcPr>
            <w:tcW w:w="696" w:type="pct"/>
            <w:shd w:val="clear" w:color="auto" w:fill="auto"/>
          </w:tcPr>
          <w:p w14:paraId="5AB450DD" w14:textId="77777777" w:rsidR="001631C6" w:rsidRPr="00BE6BBE" w:rsidRDefault="001631C6" w:rsidP="008F5322">
            <w:pPr>
              <w:jc w:val="center"/>
              <w:rPr>
                <w:sz w:val="22"/>
                <w:szCs w:val="22"/>
              </w:rPr>
            </w:pPr>
            <w:r w:rsidRPr="00BE6BBE">
              <w:rPr>
                <w:sz w:val="22"/>
                <w:szCs w:val="22"/>
              </w:rPr>
              <w:t>-0.011</w:t>
            </w:r>
          </w:p>
        </w:tc>
        <w:tc>
          <w:tcPr>
            <w:tcW w:w="696" w:type="pct"/>
            <w:shd w:val="clear" w:color="auto" w:fill="auto"/>
          </w:tcPr>
          <w:p w14:paraId="528F0AAC" w14:textId="77777777" w:rsidR="001631C6" w:rsidRPr="00BE6BBE" w:rsidRDefault="001631C6" w:rsidP="008F5322">
            <w:pPr>
              <w:jc w:val="center"/>
              <w:rPr>
                <w:sz w:val="22"/>
                <w:szCs w:val="22"/>
              </w:rPr>
            </w:pPr>
            <w:r w:rsidRPr="00BE6BBE">
              <w:rPr>
                <w:sz w:val="22"/>
                <w:szCs w:val="22"/>
              </w:rPr>
              <w:t>-0.120</w:t>
            </w:r>
          </w:p>
        </w:tc>
        <w:tc>
          <w:tcPr>
            <w:tcW w:w="696" w:type="pct"/>
          </w:tcPr>
          <w:p w14:paraId="549940E6" w14:textId="77777777" w:rsidR="001631C6" w:rsidRPr="00BE6BBE" w:rsidRDefault="001631C6" w:rsidP="008F5322">
            <w:pPr>
              <w:jc w:val="center"/>
              <w:rPr>
                <w:sz w:val="22"/>
                <w:szCs w:val="22"/>
              </w:rPr>
            </w:pPr>
            <w:r w:rsidRPr="00BE6BBE">
              <w:rPr>
                <w:sz w:val="22"/>
                <w:szCs w:val="22"/>
              </w:rPr>
              <w:t>1.255</w:t>
            </w:r>
          </w:p>
        </w:tc>
      </w:tr>
      <w:tr w:rsidR="001631C6" w:rsidRPr="00BE6BBE" w14:paraId="785065AC" w14:textId="77777777" w:rsidTr="008F5322">
        <w:trPr>
          <w:trHeight w:val="80"/>
          <w:jc w:val="center"/>
        </w:trPr>
        <w:tc>
          <w:tcPr>
            <w:tcW w:w="2216" w:type="pct"/>
            <w:vMerge/>
            <w:shd w:val="clear" w:color="auto" w:fill="auto"/>
            <w:vAlign w:val="center"/>
            <w:hideMark/>
          </w:tcPr>
          <w:p w14:paraId="53D40B1E" w14:textId="77777777" w:rsidR="001631C6" w:rsidRPr="00BE6BBE" w:rsidRDefault="001631C6" w:rsidP="008F5322">
            <w:pPr>
              <w:rPr>
                <w:color w:val="000000"/>
                <w:sz w:val="22"/>
                <w:szCs w:val="22"/>
                <w:lang w:val="en-US" w:eastAsia="en-GB"/>
              </w:rPr>
            </w:pPr>
          </w:p>
        </w:tc>
        <w:tc>
          <w:tcPr>
            <w:tcW w:w="696" w:type="pct"/>
            <w:shd w:val="clear" w:color="auto" w:fill="auto"/>
          </w:tcPr>
          <w:p w14:paraId="08BB6B5F" w14:textId="77777777" w:rsidR="001631C6" w:rsidRPr="00BE6BBE" w:rsidRDefault="001631C6" w:rsidP="008F5322">
            <w:pPr>
              <w:jc w:val="center"/>
              <w:rPr>
                <w:sz w:val="22"/>
                <w:szCs w:val="22"/>
              </w:rPr>
            </w:pPr>
            <w:r w:rsidRPr="00BE6BBE">
              <w:rPr>
                <w:sz w:val="22"/>
                <w:szCs w:val="22"/>
              </w:rPr>
              <w:t>(0.089)</w:t>
            </w:r>
          </w:p>
        </w:tc>
        <w:tc>
          <w:tcPr>
            <w:tcW w:w="696" w:type="pct"/>
            <w:shd w:val="clear" w:color="auto" w:fill="auto"/>
          </w:tcPr>
          <w:p w14:paraId="1912DD74" w14:textId="77777777" w:rsidR="001631C6" w:rsidRPr="00BE6BBE" w:rsidRDefault="001631C6" w:rsidP="008F5322">
            <w:pPr>
              <w:jc w:val="center"/>
              <w:rPr>
                <w:sz w:val="22"/>
                <w:szCs w:val="22"/>
              </w:rPr>
            </w:pPr>
            <w:r w:rsidRPr="00BE6BBE">
              <w:rPr>
                <w:sz w:val="22"/>
                <w:szCs w:val="22"/>
              </w:rPr>
              <w:t>(0.100)</w:t>
            </w:r>
          </w:p>
        </w:tc>
        <w:tc>
          <w:tcPr>
            <w:tcW w:w="696" w:type="pct"/>
            <w:shd w:val="clear" w:color="auto" w:fill="auto"/>
          </w:tcPr>
          <w:p w14:paraId="03C658A0" w14:textId="77777777" w:rsidR="001631C6" w:rsidRPr="00BE6BBE" w:rsidRDefault="001631C6" w:rsidP="008F5322">
            <w:pPr>
              <w:jc w:val="center"/>
              <w:rPr>
                <w:sz w:val="22"/>
                <w:szCs w:val="22"/>
              </w:rPr>
            </w:pPr>
            <w:r w:rsidRPr="00BE6BBE">
              <w:rPr>
                <w:sz w:val="22"/>
                <w:szCs w:val="22"/>
              </w:rPr>
              <w:t>(0.087)</w:t>
            </w:r>
          </w:p>
        </w:tc>
        <w:tc>
          <w:tcPr>
            <w:tcW w:w="696" w:type="pct"/>
          </w:tcPr>
          <w:p w14:paraId="6B42AF6A" w14:textId="77777777" w:rsidR="001631C6" w:rsidRPr="00BE6BBE" w:rsidRDefault="001631C6" w:rsidP="008F5322">
            <w:pPr>
              <w:jc w:val="center"/>
              <w:rPr>
                <w:sz w:val="22"/>
                <w:szCs w:val="22"/>
              </w:rPr>
            </w:pPr>
            <w:r w:rsidRPr="00BE6BBE">
              <w:rPr>
                <w:sz w:val="22"/>
                <w:szCs w:val="22"/>
              </w:rPr>
              <w:t>(3.240)</w:t>
            </w:r>
          </w:p>
        </w:tc>
      </w:tr>
      <w:tr w:rsidR="001631C6" w:rsidRPr="00BE6BBE" w14:paraId="668EE03D" w14:textId="77777777" w:rsidTr="008F5322">
        <w:trPr>
          <w:trHeight w:val="80"/>
          <w:jc w:val="center"/>
        </w:trPr>
        <w:tc>
          <w:tcPr>
            <w:tcW w:w="2216" w:type="pct"/>
            <w:vMerge w:val="restart"/>
            <w:shd w:val="clear" w:color="auto" w:fill="auto"/>
            <w:noWrap/>
            <w:vAlign w:val="center"/>
            <w:hideMark/>
          </w:tcPr>
          <w:p w14:paraId="3F59748A"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Leverage</w:t>
            </w:r>
          </w:p>
        </w:tc>
        <w:tc>
          <w:tcPr>
            <w:tcW w:w="696" w:type="pct"/>
            <w:shd w:val="clear" w:color="auto" w:fill="auto"/>
          </w:tcPr>
          <w:p w14:paraId="65D8B21D" w14:textId="77777777" w:rsidR="001631C6" w:rsidRPr="00BE6BBE" w:rsidRDefault="001631C6" w:rsidP="008F5322">
            <w:pPr>
              <w:jc w:val="center"/>
              <w:rPr>
                <w:sz w:val="22"/>
                <w:szCs w:val="22"/>
              </w:rPr>
            </w:pPr>
            <w:r w:rsidRPr="00BE6BBE">
              <w:rPr>
                <w:sz w:val="22"/>
                <w:szCs w:val="22"/>
              </w:rPr>
              <w:t>0.291*</w:t>
            </w:r>
          </w:p>
        </w:tc>
        <w:tc>
          <w:tcPr>
            <w:tcW w:w="696" w:type="pct"/>
            <w:shd w:val="clear" w:color="auto" w:fill="auto"/>
          </w:tcPr>
          <w:p w14:paraId="4535F686" w14:textId="77777777" w:rsidR="001631C6" w:rsidRPr="00BE6BBE" w:rsidRDefault="001631C6" w:rsidP="008F5322">
            <w:pPr>
              <w:jc w:val="center"/>
              <w:rPr>
                <w:sz w:val="22"/>
                <w:szCs w:val="22"/>
              </w:rPr>
            </w:pPr>
            <w:r w:rsidRPr="00BE6BBE">
              <w:rPr>
                <w:sz w:val="22"/>
                <w:szCs w:val="22"/>
              </w:rPr>
              <w:t>0.374**</w:t>
            </w:r>
          </w:p>
        </w:tc>
        <w:tc>
          <w:tcPr>
            <w:tcW w:w="696" w:type="pct"/>
            <w:shd w:val="clear" w:color="auto" w:fill="auto"/>
          </w:tcPr>
          <w:p w14:paraId="423F536A" w14:textId="77777777" w:rsidR="001631C6" w:rsidRPr="00BE6BBE" w:rsidRDefault="001631C6" w:rsidP="008F5322">
            <w:pPr>
              <w:jc w:val="center"/>
              <w:rPr>
                <w:sz w:val="22"/>
                <w:szCs w:val="22"/>
              </w:rPr>
            </w:pPr>
            <w:r w:rsidRPr="00BE6BBE">
              <w:rPr>
                <w:sz w:val="22"/>
                <w:szCs w:val="22"/>
              </w:rPr>
              <w:t>0.294*</w:t>
            </w:r>
          </w:p>
        </w:tc>
        <w:tc>
          <w:tcPr>
            <w:tcW w:w="696" w:type="pct"/>
          </w:tcPr>
          <w:p w14:paraId="126FD018" w14:textId="77777777" w:rsidR="001631C6" w:rsidRPr="00BE6BBE" w:rsidRDefault="001631C6" w:rsidP="008F5322">
            <w:pPr>
              <w:jc w:val="center"/>
              <w:rPr>
                <w:sz w:val="22"/>
                <w:szCs w:val="22"/>
              </w:rPr>
            </w:pPr>
            <w:r w:rsidRPr="00BE6BBE">
              <w:rPr>
                <w:sz w:val="22"/>
                <w:szCs w:val="22"/>
              </w:rPr>
              <w:t>-0.001</w:t>
            </w:r>
          </w:p>
        </w:tc>
      </w:tr>
      <w:tr w:rsidR="001631C6" w:rsidRPr="00BE6BBE" w14:paraId="770C9156" w14:textId="77777777" w:rsidTr="008F5322">
        <w:trPr>
          <w:trHeight w:val="80"/>
          <w:jc w:val="center"/>
        </w:trPr>
        <w:tc>
          <w:tcPr>
            <w:tcW w:w="2216" w:type="pct"/>
            <w:vMerge/>
            <w:shd w:val="clear" w:color="auto" w:fill="auto"/>
            <w:vAlign w:val="center"/>
            <w:hideMark/>
          </w:tcPr>
          <w:p w14:paraId="123D74DB" w14:textId="77777777" w:rsidR="001631C6" w:rsidRPr="00BE6BBE" w:rsidRDefault="001631C6" w:rsidP="008F5322">
            <w:pPr>
              <w:rPr>
                <w:color w:val="000000"/>
                <w:sz w:val="22"/>
                <w:szCs w:val="22"/>
                <w:lang w:val="en-US" w:eastAsia="en-GB"/>
              </w:rPr>
            </w:pPr>
          </w:p>
        </w:tc>
        <w:tc>
          <w:tcPr>
            <w:tcW w:w="696" w:type="pct"/>
            <w:shd w:val="clear" w:color="auto" w:fill="auto"/>
          </w:tcPr>
          <w:p w14:paraId="5AB8B03A" w14:textId="77777777" w:rsidR="001631C6" w:rsidRPr="00BE6BBE" w:rsidRDefault="001631C6" w:rsidP="008F5322">
            <w:pPr>
              <w:jc w:val="center"/>
              <w:rPr>
                <w:sz w:val="22"/>
                <w:szCs w:val="22"/>
              </w:rPr>
            </w:pPr>
            <w:r w:rsidRPr="00BE6BBE">
              <w:rPr>
                <w:sz w:val="22"/>
                <w:szCs w:val="22"/>
              </w:rPr>
              <w:t>(0.161)</w:t>
            </w:r>
          </w:p>
        </w:tc>
        <w:tc>
          <w:tcPr>
            <w:tcW w:w="696" w:type="pct"/>
            <w:shd w:val="clear" w:color="auto" w:fill="auto"/>
          </w:tcPr>
          <w:p w14:paraId="7A4D8386" w14:textId="77777777" w:rsidR="001631C6" w:rsidRPr="00BE6BBE" w:rsidRDefault="001631C6" w:rsidP="008F5322">
            <w:pPr>
              <w:jc w:val="center"/>
              <w:rPr>
                <w:sz w:val="22"/>
                <w:szCs w:val="22"/>
              </w:rPr>
            </w:pPr>
            <w:r w:rsidRPr="00BE6BBE">
              <w:rPr>
                <w:sz w:val="22"/>
                <w:szCs w:val="22"/>
              </w:rPr>
              <w:t>(0.168)</w:t>
            </w:r>
          </w:p>
        </w:tc>
        <w:tc>
          <w:tcPr>
            <w:tcW w:w="696" w:type="pct"/>
            <w:shd w:val="clear" w:color="auto" w:fill="auto"/>
          </w:tcPr>
          <w:p w14:paraId="0ABB9F73" w14:textId="77777777" w:rsidR="001631C6" w:rsidRPr="00BE6BBE" w:rsidRDefault="001631C6" w:rsidP="008F5322">
            <w:pPr>
              <w:jc w:val="center"/>
              <w:rPr>
                <w:sz w:val="22"/>
                <w:szCs w:val="22"/>
              </w:rPr>
            </w:pPr>
            <w:r w:rsidRPr="00BE6BBE">
              <w:rPr>
                <w:sz w:val="22"/>
                <w:szCs w:val="22"/>
              </w:rPr>
              <w:t>(0.161)</w:t>
            </w:r>
          </w:p>
        </w:tc>
        <w:tc>
          <w:tcPr>
            <w:tcW w:w="696" w:type="pct"/>
          </w:tcPr>
          <w:p w14:paraId="5AE0A451" w14:textId="77777777" w:rsidR="001631C6" w:rsidRPr="00BE6BBE" w:rsidRDefault="001631C6" w:rsidP="008F5322">
            <w:pPr>
              <w:jc w:val="center"/>
              <w:rPr>
                <w:sz w:val="22"/>
                <w:szCs w:val="22"/>
              </w:rPr>
            </w:pPr>
            <w:r w:rsidRPr="00BE6BBE">
              <w:rPr>
                <w:sz w:val="22"/>
                <w:szCs w:val="22"/>
              </w:rPr>
              <w:t>(1.362)</w:t>
            </w:r>
          </w:p>
        </w:tc>
      </w:tr>
      <w:tr w:rsidR="001631C6" w:rsidRPr="00BE6BBE" w14:paraId="2C1E0F69" w14:textId="77777777" w:rsidTr="008F5322">
        <w:trPr>
          <w:trHeight w:val="195"/>
          <w:jc w:val="center"/>
        </w:trPr>
        <w:tc>
          <w:tcPr>
            <w:tcW w:w="2216" w:type="pct"/>
            <w:vMerge w:val="restart"/>
            <w:shd w:val="clear" w:color="auto" w:fill="auto"/>
            <w:noWrap/>
            <w:vAlign w:val="center"/>
            <w:hideMark/>
          </w:tcPr>
          <w:p w14:paraId="38308F3F"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Growth opportunities</w:t>
            </w:r>
          </w:p>
        </w:tc>
        <w:tc>
          <w:tcPr>
            <w:tcW w:w="696" w:type="pct"/>
            <w:shd w:val="clear" w:color="auto" w:fill="auto"/>
          </w:tcPr>
          <w:p w14:paraId="39F4393B" w14:textId="77777777" w:rsidR="001631C6" w:rsidRPr="00BE6BBE" w:rsidRDefault="001631C6" w:rsidP="008F5322">
            <w:pPr>
              <w:jc w:val="center"/>
              <w:rPr>
                <w:sz w:val="22"/>
                <w:szCs w:val="22"/>
              </w:rPr>
            </w:pPr>
            <w:r w:rsidRPr="00BE6BBE">
              <w:rPr>
                <w:sz w:val="22"/>
                <w:szCs w:val="22"/>
              </w:rPr>
              <w:t>-0.099**</w:t>
            </w:r>
          </w:p>
        </w:tc>
        <w:tc>
          <w:tcPr>
            <w:tcW w:w="696" w:type="pct"/>
            <w:shd w:val="clear" w:color="auto" w:fill="auto"/>
          </w:tcPr>
          <w:p w14:paraId="69446200" w14:textId="77777777" w:rsidR="001631C6" w:rsidRPr="00BE6BBE" w:rsidRDefault="001631C6" w:rsidP="008F5322">
            <w:pPr>
              <w:jc w:val="center"/>
              <w:rPr>
                <w:sz w:val="22"/>
                <w:szCs w:val="22"/>
              </w:rPr>
            </w:pPr>
            <w:r w:rsidRPr="00BE6BBE">
              <w:rPr>
                <w:sz w:val="22"/>
                <w:szCs w:val="22"/>
              </w:rPr>
              <w:t>-0.046</w:t>
            </w:r>
          </w:p>
        </w:tc>
        <w:tc>
          <w:tcPr>
            <w:tcW w:w="696" w:type="pct"/>
            <w:shd w:val="clear" w:color="auto" w:fill="auto"/>
          </w:tcPr>
          <w:p w14:paraId="7F708478" w14:textId="77777777" w:rsidR="001631C6" w:rsidRPr="00BE6BBE" w:rsidRDefault="001631C6" w:rsidP="008F5322">
            <w:pPr>
              <w:jc w:val="center"/>
              <w:rPr>
                <w:sz w:val="22"/>
                <w:szCs w:val="22"/>
              </w:rPr>
            </w:pPr>
            <w:r w:rsidRPr="00BE6BBE">
              <w:rPr>
                <w:sz w:val="22"/>
                <w:szCs w:val="22"/>
              </w:rPr>
              <w:t>-0.068*</w:t>
            </w:r>
          </w:p>
        </w:tc>
        <w:tc>
          <w:tcPr>
            <w:tcW w:w="696" w:type="pct"/>
          </w:tcPr>
          <w:p w14:paraId="1A96F412" w14:textId="77777777" w:rsidR="001631C6" w:rsidRPr="00BE6BBE" w:rsidRDefault="001631C6" w:rsidP="008F5322">
            <w:pPr>
              <w:jc w:val="center"/>
              <w:rPr>
                <w:sz w:val="22"/>
                <w:szCs w:val="22"/>
              </w:rPr>
            </w:pPr>
            <w:r w:rsidRPr="00BE6BBE">
              <w:rPr>
                <w:sz w:val="22"/>
                <w:szCs w:val="22"/>
              </w:rPr>
              <w:t>0.291</w:t>
            </w:r>
          </w:p>
        </w:tc>
      </w:tr>
      <w:tr w:rsidR="001631C6" w:rsidRPr="00BE6BBE" w14:paraId="64CF4DC1" w14:textId="77777777" w:rsidTr="008F5322">
        <w:trPr>
          <w:trHeight w:val="80"/>
          <w:jc w:val="center"/>
        </w:trPr>
        <w:tc>
          <w:tcPr>
            <w:tcW w:w="2216" w:type="pct"/>
            <w:vMerge/>
            <w:vAlign w:val="center"/>
            <w:hideMark/>
          </w:tcPr>
          <w:p w14:paraId="184203D1" w14:textId="77777777" w:rsidR="001631C6" w:rsidRPr="00BE6BBE" w:rsidRDefault="001631C6" w:rsidP="008F5322">
            <w:pPr>
              <w:rPr>
                <w:color w:val="000000"/>
                <w:sz w:val="22"/>
                <w:szCs w:val="22"/>
                <w:lang w:val="en-US" w:eastAsia="en-GB"/>
              </w:rPr>
            </w:pPr>
          </w:p>
        </w:tc>
        <w:tc>
          <w:tcPr>
            <w:tcW w:w="696" w:type="pct"/>
            <w:shd w:val="clear" w:color="auto" w:fill="auto"/>
          </w:tcPr>
          <w:p w14:paraId="37992625" w14:textId="77777777" w:rsidR="001631C6" w:rsidRPr="00BE6BBE" w:rsidRDefault="001631C6" w:rsidP="008F5322">
            <w:pPr>
              <w:jc w:val="center"/>
              <w:rPr>
                <w:sz w:val="22"/>
                <w:szCs w:val="22"/>
              </w:rPr>
            </w:pPr>
            <w:r w:rsidRPr="00BE6BBE">
              <w:rPr>
                <w:sz w:val="22"/>
                <w:szCs w:val="22"/>
              </w:rPr>
              <w:t>(0.039)</w:t>
            </w:r>
          </w:p>
        </w:tc>
        <w:tc>
          <w:tcPr>
            <w:tcW w:w="696" w:type="pct"/>
            <w:shd w:val="clear" w:color="auto" w:fill="auto"/>
          </w:tcPr>
          <w:p w14:paraId="09591C48" w14:textId="77777777" w:rsidR="001631C6" w:rsidRPr="00BE6BBE" w:rsidRDefault="001631C6" w:rsidP="008F5322">
            <w:pPr>
              <w:jc w:val="center"/>
              <w:rPr>
                <w:sz w:val="22"/>
                <w:szCs w:val="22"/>
              </w:rPr>
            </w:pPr>
            <w:r w:rsidRPr="00BE6BBE">
              <w:rPr>
                <w:sz w:val="22"/>
                <w:szCs w:val="22"/>
              </w:rPr>
              <w:t>(0.043)</w:t>
            </w:r>
          </w:p>
        </w:tc>
        <w:tc>
          <w:tcPr>
            <w:tcW w:w="696" w:type="pct"/>
            <w:shd w:val="clear" w:color="auto" w:fill="auto"/>
          </w:tcPr>
          <w:p w14:paraId="3A9EAA88" w14:textId="77777777" w:rsidR="001631C6" w:rsidRPr="00BE6BBE" w:rsidRDefault="001631C6" w:rsidP="008F5322">
            <w:pPr>
              <w:jc w:val="center"/>
              <w:rPr>
                <w:sz w:val="22"/>
                <w:szCs w:val="22"/>
              </w:rPr>
            </w:pPr>
            <w:r w:rsidRPr="00BE6BBE">
              <w:rPr>
                <w:sz w:val="22"/>
                <w:szCs w:val="22"/>
              </w:rPr>
              <w:t>(0.039)</w:t>
            </w:r>
          </w:p>
        </w:tc>
        <w:tc>
          <w:tcPr>
            <w:tcW w:w="696" w:type="pct"/>
          </w:tcPr>
          <w:p w14:paraId="7400FBF8" w14:textId="77777777" w:rsidR="001631C6" w:rsidRPr="00BE6BBE" w:rsidRDefault="001631C6" w:rsidP="008F5322">
            <w:pPr>
              <w:jc w:val="center"/>
              <w:rPr>
                <w:sz w:val="22"/>
                <w:szCs w:val="22"/>
              </w:rPr>
            </w:pPr>
            <w:r w:rsidRPr="00BE6BBE">
              <w:rPr>
                <w:sz w:val="22"/>
                <w:szCs w:val="22"/>
              </w:rPr>
              <w:t>(0.949)</w:t>
            </w:r>
          </w:p>
        </w:tc>
      </w:tr>
      <w:tr w:rsidR="001631C6" w:rsidRPr="00BE6BBE" w14:paraId="2F072BCA" w14:textId="77777777" w:rsidTr="008F5322">
        <w:trPr>
          <w:trHeight w:val="195"/>
          <w:jc w:val="center"/>
        </w:trPr>
        <w:tc>
          <w:tcPr>
            <w:tcW w:w="2216" w:type="pct"/>
            <w:vMerge w:val="restart"/>
            <w:shd w:val="clear" w:color="auto" w:fill="auto"/>
            <w:noWrap/>
            <w:vAlign w:val="center"/>
            <w:hideMark/>
          </w:tcPr>
          <w:p w14:paraId="7FE6DE45"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Government owned</w:t>
            </w:r>
          </w:p>
        </w:tc>
        <w:tc>
          <w:tcPr>
            <w:tcW w:w="696" w:type="pct"/>
            <w:shd w:val="clear" w:color="auto" w:fill="auto"/>
          </w:tcPr>
          <w:p w14:paraId="56E9F241" w14:textId="77777777" w:rsidR="001631C6" w:rsidRPr="00BE6BBE" w:rsidRDefault="001631C6" w:rsidP="008F5322">
            <w:pPr>
              <w:jc w:val="center"/>
              <w:rPr>
                <w:sz w:val="22"/>
                <w:szCs w:val="22"/>
              </w:rPr>
            </w:pPr>
            <w:r w:rsidRPr="00BE6BBE">
              <w:rPr>
                <w:sz w:val="22"/>
                <w:szCs w:val="22"/>
              </w:rPr>
              <w:t>0.278**</w:t>
            </w:r>
          </w:p>
        </w:tc>
        <w:tc>
          <w:tcPr>
            <w:tcW w:w="696" w:type="pct"/>
            <w:shd w:val="clear" w:color="auto" w:fill="auto"/>
          </w:tcPr>
          <w:p w14:paraId="67FF84BF" w14:textId="77777777" w:rsidR="001631C6" w:rsidRPr="00BE6BBE" w:rsidRDefault="001631C6" w:rsidP="008F5322">
            <w:pPr>
              <w:jc w:val="center"/>
              <w:rPr>
                <w:sz w:val="22"/>
                <w:szCs w:val="22"/>
              </w:rPr>
            </w:pPr>
            <w:r w:rsidRPr="00BE6BBE">
              <w:rPr>
                <w:sz w:val="22"/>
                <w:szCs w:val="22"/>
              </w:rPr>
              <w:t>0.092</w:t>
            </w:r>
          </w:p>
        </w:tc>
        <w:tc>
          <w:tcPr>
            <w:tcW w:w="696" w:type="pct"/>
            <w:shd w:val="clear" w:color="auto" w:fill="auto"/>
          </w:tcPr>
          <w:p w14:paraId="50948B1F" w14:textId="77777777" w:rsidR="001631C6" w:rsidRPr="00BE6BBE" w:rsidRDefault="001631C6" w:rsidP="008F5322">
            <w:pPr>
              <w:jc w:val="center"/>
              <w:rPr>
                <w:sz w:val="22"/>
                <w:szCs w:val="22"/>
              </w:rPr>
            </w:pPr>
            <w:r w:rsidRPr="00BE6BBE">
              <w:rPr>
                <w:sz w:val="22"/>
                <w:szCs w:val="22"/>
              </w:rPr>
              <w:t>0.083</w:t>
            </w:r>
          </w:p>
        </w:tc>
        <w:tc>
          <w:tcPr>
            <w:tcW w:w="696" w:type="pct"/>
          </w:tcPr>
          <w:p w14:paraId="6DAA0823" w14:textId="77777777" w:rsidR="001631C6" w:rsidRPr="00BE6BBE" w:rsidRDefault="001631C6" w:rsidP="008F5322">
            <w:pPr>
              <w:jc w:val="center"/>
              <w:rPr>
                <w:sz w:val="22"/>
                <w:szCs w:val="22"/>
              </w:rPr>
            </w:pPr>
            <w:r w:rsidRPr="00BE6BBE">
              <w:rPr>
                <w:sz w:val="22"/>
                <w:szCs w:val="22"/>
              </w:rPr>
              <w:t>-1.479</w:t>
            </w:r>
          </w:p>
        </w:tc>
      </w:tr>
      <w:tr w:rsidR="001631C6" w:rsidRPr="00BE6BBE" w14:paraId="4F808F4F" w14:textId="77777777" w:rsidTr="008F5322">
        <w:trPr>
          <w:trHeight w:val="80"/>
          <w:jc w:val="center"/>
        </w:trPr>
        <w:tc>
          <w:tcPr>
            <w:tcW w:w="2216" w:type="pct"/>
            <w:vMerge/>
            <w:shd w:val="clear" w:color="auto" w:fill="auto"/>
            <w:vAlign w:val="center"/>
            <w:hideMark/>
          </w:tcPr>
          <w:p w14:paraId="4127AEA3" w14:textId="77777777" w:rsidR="001631C6" w:rsidRPr="00BE6BBE" w:rsidRDefault="001631C6" w:rsidP="008F5322">
            <w:pPr>
              <w:rPr>
                <w:color w:val="000000"/>
                <w:sz w:val="22"/>
                <w:szCs w:val="22"/>
                <w:lang w:val="en-US" w:eastAsia="en-GB"/>
              </w:rPr>
            </w:pPr>
          </w:p>
        </w:tc>
        <w:tc>
          <w:tcPr>
            <w:tcW w:w="696" w:type="pct"/>
            <w:shd w:val="clear" w:color="auto" w:fill="auto"/>
          </w:tcPr>
          <w:p w14:paraId="2A637D48" w14:textId="77777777" w:rsidR="001631C6" w:rsidRPr="00BE6BBE" w:rsidRDefault="001631C6" w:rsidP="008F5322">
            <w:pPr>
              <w:jc w:val="center"/>
              <w:rPr>
                <w:sz w:val="22"/>
                <w:szCs w:val="22"/>
              </w:rPr>
            </w:pPr>
            <w:r w:rsidRPr="00BE6BBE">
              <w:rPr>
                <w:sz w:val="22"/>
                <w:szCs w:val="22"/>
              </w:rPr>
              <w:t>(0.128)</w:t>
            </w:r>
          </w:p>
        </w:tc>
        <w:tc>
          <w:tcPr>
            <w:tcW w:w="696" w:type="pct"/>
            <w:shd w:val="clear" w:color="auto" w:fill="auto"/>
          </w:tcPr>
          <w:p w14:paraId="45C9F35F" w14:textId="77777777" w:rsidR="001631C6" w:rsidRPr="00BE6BBE" w:rsidRDefault="001631C6" w:rsidP="008F5322">
            <w:pPr>
              <w:jc w:val="center"/>
              <w:rPr>
                <w:sz w:val="22"/>
                <w:szCs w:val="22"/>
              </w:rPr>
            </w:pPr>
            <w:r w:rsidRPr="00BE6BBE">
              <w:rPr>
                <w:sz w:val="22"/>
                <w:szCs w:val="22"/>
              </w:rPr>
              <w:t>(0.116)</w:t>
            </w:r>
          </w:p>
        </w:tc>
        <w:tc>
          <w:tcPr>
            <w:tcW w:w="696" w:type="pct"/>
            <w:shd w:val="clear" w:color="auto" w:fill="auto"/>
          </w:tcPr>
          <w:p w14:paraId="6F8A5089" w14:textId="77777777" w:rsidR="001631C6" w:rsidRPr="00BE6BBE" w:rsidRDefault="001631C6" w:rsidP="008F5322">
            <w:pPr>
              <w:jc w:val="center"/>
              <w:rPr>
                <w:sz w:val="22"/>
                <w:szCs w:val="22"/>
              </w:rPr>
            </w:pPr>
            <w:r w:rsidRPr="00BE6BBE">
              <w:rPr>
                <w:sz w:val="22"/>
                <w:szCs w:val="22"/>
              </w:rPr>
              <w:t>(0.112)</w:t>
            </w:r>
          </w:p>
        </w:tc>
        <w:tc>
          <w:tcPr>
            <w:tcW w:w="696" w:type="pct"/>
          </w:tcPr>
          <w:p w14:paraId="28408D7C" w14:textId="77777777" w:rsidR="001631C6" w:rsidRPr="00BE6BBE" w:rsidRDefault="001631C6" w:rsidP="008F5322">
            <w:pPr>
              <w:jc w:val="center"/>
              <w:rPr>
                <w:sz w:val="22"/>
                <w:szCs w:val="22"/>
              </w:rPr>
            </w:pPr>
            <w:r w:rsidRPr="00BE6BBE">
              <w:rPr>
                <w:sz w:val="22"/>
                <w:szCs w:val="22"/>
              </w:rPr>
              <w:t>(4.154)</w:t>
            </w:r>
          </w:p>
        </w:tc>
      </w:tr>
      <w:tr w:rsidR="001631C6" w:rsidRPr="00BE6BBE" w14:paraId="6224AAC0" w14:textId="77777777" w:rsidTr="008F5322">
        <w:trPr>
          <w:trHeight w:val="195"/>
          <w:jc w:val="center"/>
        </w:trPr>
        <w:tc>
          <w:tcPr>
            <w:tcW w:w="2216" w:type="pct"/>
            <w:vMerge w:val="restart"/>
            <w:shd w:val="clear" w:color="auto" w:fill="auto"/>
            <w:noWrap/>
            <w:vAlign w:val="center"/>
            <w:hideMark/>
          </w:tcPr>
          <w:p w14:paraId="1206AB8F"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Maturity</w:t>
            </w:r>
          </w:p>
        </w:tc>
        <w:tc>
          <w:tcPr>
            <w:tcW w:w="696" w:type="pct"/>
            <w:shd w:val="clear" w:color="auto" w:fill="auto"/>
          </w:tcPr>
          <w:p w14:paraId="24F048F8" w14:textId="77777777" w:rsidR="001631C6" w:rsidRPr="00BE6BBE" w:rsidRDefault="001631C6" w:rsidP="008F5322">
            <w:pPr>
              <w:jc w:val="center"/>
              <w:rPr>
                <w:sz w:val="22"/>
                <w:szCs w:val="22"/>
              </w:rPr>
            </w:pPr>
            <w:r w:rsidRPr="00BE6BBE">
              <w:rPr>
                <w:sz w:val="22"/>
                <w:szCs w:val="22"/>
              </w:rPr>
              <w:t>0.143***</w:t>
            </w:r>
          </w:p>
        </w:tc>
        <w:tc>
          <w:tcPr>
            <w:tcW w:w="696" w:type="pct"/>
            <w:shd w:val="clear" w:color="auto" w:fill="auto"/>
          </w:tcPr>
          <w:p w14:paraId="312C1887" w14:textId="77777777" w:rsidR="001631C6" w:rsidRPr="00BE6BBE" w:rsidRDefault="001631C6" w:rsidP="008F5322">
            <w:pPr>
              <w:jc w:val="center"/>
              <w:rPr>
                <w:sz w:val="22"/>
                <w:szCs w:val="22"/>
              </w:rPr>
            </w:pPr>
            <w:r w:rsidRPr="00BE6BBE">
              <w:rPr>
                <w:sz w:val="22"/>
                <w:szCs w:val="22"/>
              </w:rPr>
              <w:t>0.121***</w:t>
            </w:r>
          </w:p>
        </w:tc>
        <w:tc>
          <w:tcPr>
            <w:tcW w:w="696" w:type="pct"/>
            <w:shd w:val="clear" w:color="auto" w:fill="auto"/>
          </w:tcPr>
          <w:p w14:paraId="03B5C2FF" w14:textId="77777777" w:rsidR="001631C6" w:rsidRPr="00BE6BBE" w:rsidRDefault="001631C6" w:rsidP="008F5322">
            <w:pPr>
              <w:jc w:val="center"/>
              <w:rPr>
                <w:sz w:val="22"/>
                <w:szCs w:val="22"/>
              </w:rPr>
            </w:pPr>
            <w:r w:rsidRPr="00BE6BBE">
              <w:rPr>
                <w:sz w:val="22"/>
                <w:szCs w:val="22"/>
              </w:rPr>
              <w:t>0.130***</w:t>
            </w:r>
          </w:p>
        </w:tc>
        <w:tc>
          <w:tcPr>
            <w:tcW w:w="696" w:type="pct"/>
          </w:tcPr>
          <w:p w14:paraId="6F065CD8" w14:textId="77777777" w:rsidR="001631C6" w:rsidRPr="00BE6BBE" w:rsidRDefault="001631C6" w:rsidP="008F5322">
            <w:pPr>
              <w:jc w:val="center"/>
              <w:rPr>
                <w:sz w:val="22"/>
                <w:szCs w:val="22"/>
              </w:rPr>
            </w:pPr>
            <w:r w:rsidRPr="00BE6BBE">
              <w:rPr>
                <w:sz w:val="22"/>
                <w:szCs w:val="22"/>
              </w:rPr>
              <w:t>0.099</w:t>
            </w:r>
          </w:p>
        </w:tc>
      </w:tr>
      <w:tr w:rsidR="001631C6" w:rsidRPr="00BE6BBE" w14:paraId="79511426" w14:textId="77777777" w:rsidTr="008F5322">
        <w:trPr>
          <w:trHeight w:val="80"/>
          <w:jc w:val="center"/>
        </w:trPr>
        <w:tc>
          <w:tcPr>
            <w:tcW w:w="2216" w:type="pct"/>
            <w:vMerge/>
            <w:shd w:val="clear" w:color="auto" w:fill="auto"/>
            <w:vAlign w:val="center"/>
            <w:hideMark/>
          </w:tcPr>
          <w:p w14:paraId="33B77153" w14:textId="77777777" w:rsidR="001631C6" w:rsidRPr="00BE6BBE" w:rsidRDefault="001631C6" w:rsidP="008F5322">
            <w:pPr>
              <w:rPr>
                <w:color w:val="000000"/>
                <w:sz w:val="22"/>
                <w:szCs w:val="22"/>
                <w:lang w:val="en-US" w:eastAsia="en-GB"/>
              </w:rPr>
            </w:pPr>
          </w:p>
        </w:tc>
        <w:tc>
          <w:tcPr>
            <w:tcW w:w="696" w:type="pct"/>
            <w:shd w:val="clear" w:color="auto" w:fill="auto"/>
          </w:tcPr>
          <w:p w14:paraId="1F83545F" w14:textId="77777777" w:rsidR="001631C6" w:rsidRPr="00BE6BBE" w:rsidRDefault="001631C6" w:rsidP="008F5322">
            <w:pPr>
              <w:jc w:val="center"/>
              <w:rPr>
                <w:sz w:val="22"/>
                <w:szCs w:val="22"/>
              </w:rPr>
            </w:pPr>
            <w:r w:rsidRPr="00BE6BBE">
              <w:rPr>
                <w:sz w:val="22"/>
                <w:szCs w:val="22"/>
              </w:rPr>
              <w:t>(0.035)</w:t>
            </w:r>
          </w:p>
        </w:tc>
        <w:tc>
          <w:tcPr>
            <w:tcW w:w="696" w:type="pct"/>
            <w:shd w:val="clear" w:color="auto" w:fill="auto"/>
          </w:tcPr>
          <w:p w14:paraId="0C48847A" w14:textId="77777777" w:rsidR="001631C6" w:rsidRPr="00BE6BBE" w:rsidRDefault="001631C6" w:rsidP="008F5322">
            <w:pPr>
              <w:jc w:val="center"/>
              <w:rPr>
                <w:sz w:val="22"/>
                <w:szCs w:val="22"/>
              </w:rPr>
            </w:pPr>
            <w:r w:rsidRPr="00BE6BBE">
              <w:rPr>
                <w:sz w:val="22"/>
                <w:szCs w:val="22"/>
              </w:rPr>
              <w:t>(0.038)</w:t>
            </w:r>
          </w:p>
        </w:tc>
        <w:tc>
          <w:tcPr>
            <w:tcW w:w="696" w:type="pct"/>
            <w:shd w:val="clear" w:color="auto" w:fill="auto"/>
          </w:tcPr>
          <w:p w14:paraId="550EE621" w14:textId="77777777" w:rsidR="001631C6" w:rsidRPr="00BE6BBE" w:rsidRDefault="001631C6" w:rsidP="008F5322">
            <w:pPr>
              <w:jc w:val="center"/>
              <w:rPr>
                <w:sz w:val="22"/>
                <w:szCs w:val="22"/>
              </w:rPr>
            </w:pPr>
            <w:r w:rsidRPr="00BE6BBE">
              <w:rPr>
                <w:sz w:val="22"/>
                <w:szCs w:val="22"/>
              </w:rPr>
              <w:t>(0.037)</w:t>
            </w:r>
          </w:p>
        </w:tc>
        <w:tc>
          <w:tcPr>
            <w:tcW w:w="696" w:type="pct"/>
          </w:tcPr>
          <w:p w14:paraId="379F6777" w14:textId="77777777" w:rsidR="001631C6" w:rsidRPr="00BE6BBE" w:rsidRDefault="001631C6" w:rsidP="008F5322">
            <w:pPr>
              <w:jc w:val="center"/>
              <w:rPr>
                <w:sz w:val="22"/>
                <w:szCs w:val="22"/>
              </w:rPr>
            </w:pPr>
            <w:r w:rsidRPr="00BE6BBE">
              <w:rPr>
                <w:sz w:val="22"/>
                <w:szCs w:val="22"/>
              </w:rPr>
              <w:t>(0.305)</w:t>
            </w:r>
          </w:p>
        </w:tc>
      </w:tr>
      <w:tr w:rsidR="001631C6" w:rsidRPr="00BE6BBE" w14:paraId="5880BF2B" w14:textId="77777777" w:rsidTr="008F5322">
        <w:trPr>
          <w:trHeight w:val="195"/>
          <w:jc w:val="center"/>
        </w:trPr>
        <w:tc>
          <w:tcPr>
            <w:tcW w:w="2216" w:type="pct"/>
            <w:vMerge w:val="restart"/>
            <w:shd w:val="clear" w:color="auto" w:fill="auto"/>
            <w:noWrap/>
            <w:vAlign w:val="center"/>
            <w:hideMark/>
          </w:tcPr>
          <w:p w14:paraId="367EE06E"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Tranche size</w:t>
            </w:r>
          </w:p>
        </w:tc>
        <w:tc>
          <w:tcPr>
            <w:tcW w:w="696" w:type="pct"/>
            <w:shd w:val="clear" w:color="auto" w:fill="auto"/>
          </w:tcPr>
          <w:p w14:paraId="3C74A1B8" w14:textId="77777777" w:rsidR="001631C6" w:rsidRPr="00BE6BBE" w:rsidRDefault="001631C6" w:rsidP="008F5322">
            <w:pPr>
              <w:jc w:val="center"/>
              <w:rPr>
                <w:sz w:val="22"/>
                <w:szCs w:val="22"/>
              </w:rPr>
            </w:pPr>
            <w:r w:rsidRPr="00BE6BBE">
              <w:rPr>
                <w:sz w:val="22"/>
                <w:szCs w:val="22"/>
              </w:rPr>
              <w:t>0.115**</w:t>
            </w:r>
          </w:p>
        </w:tc>
        <w:tc>
          <w:tcPr>
            <w:tcW w:w="696" w:type="pct"/>
            <w:shd w:val="clear" w:color="auto" w:fill="auto"/>
          </w:tcPr>
          <w:p w14:paraId="616CEDCD" w14:textId="77777777" w:rsidR="001631C6" w:rsidRPr="00BE6BBE" w:rsidRDefault="001631C6" w:rsidP="008F5322">
            <w:pPr>
              <w:jc w:val="center"/>
              <w:rPr>
                <w:sz w:val="22"/>
                <w:szCs w:val="22"/>
              </w:rPr>
            </w:pPr>
            <w:r w:rsidRPr="00BE6BBE">
              <w:rPr>
                <w:sz w:val="22"/>
                <w:szCs w:val="22"/>
              </w:rPr>
              <w:t>0.088*</w:t>
            </w:r>
          </w:p>
        </w:tc>
        <w:tc>
          <w:tcPr>
            <w:tcW w:w="696" w:type="pct"/>
            <w:shd w:val="clear" w:color="auto" w:fill="auto"/>
          </w:tcPr>
          <w:p w14:paraId="2AEBC922" w14:textId="77777777" w:rsidR="001631C6" w:rsidRPr="00BE6BBE" w:rsidRDefault="001631C6" w:rsidP="008F5322">
            <w:pPr>
              <w:jc w:val="center"/>
              <w:rPr>
                <w:sz w:val="22"/>
                <w:szCs w:val="22"/>
              </w:rPr>
            </w:pPr>
            <w:r w:rsidRPr="00BE6BBE">
              <w:rPr>
                <w:sz w:val="22"/>
                <w:szCs w:val="22"/>
              </w:rPr>
              <w:t>0.106**</w:t>
            </w:r>
          </w:p>
        </w:tc>
        <w:tc>
          <w:tcPr>
            <w:tcW w:w="696" w:type="pct"/>
          </w:tcPr>
          <w:p w14:paraId="328FFA44" w14:textId="77777777" w:rsidR="001631C6" w:rsidRPr="00BE6BBE" w:rsidRDefault="001631C6" w:rsidP="008F5322">
            <w:pPr>
              <w:jc w:val="center"/>
              <w:rPr>
                <w:sz w:val="22"/>
                <w:szCs w:val="22"/>
              </w:rPr>
            </w:pPr>
            <w:r w:rsidRPr="00BE6BBE">
              <w:rPr>
                <w:sz w:val="22"/>
                <w:szCs w:val="22"/>
              </w:rPr>
              <w:t>-1.055</w:t>
            </w:r>
          </w:p>
        </w:tc>
      </w:tr>
      <w:tr w:rsidR="001631C6" w:rsidRPr="00BE6BBE" w14:paraId="640D2537" w14:textId="77777777" w:rsidTr="008F5322">
        <w:trPr>
          <w:trHeight w:val="80"/>
          <w:jc w:val="center"/>
        </w:trPr>
        <w:tc>
          <w:tcPr>
            <w:tcW w:w="2216" w:type="pct"/>
            <w:vMerge/>
            <w:shd w:val="clear" w:color="auto" w:fill="auto"/>
            <w:vAlign w:val="center"/>
            <w:hideMark/>
          </w:tcPr>
          <w:p w14:paraId="5E32C4DD" w14:textId="77777777" w:rsidR="001631C6" w:rsidRPr="00BE6BBE" w:rsidRDefault="001631C6" w:rsidP="008F5322">
            <w:pPr>
              <w:rPr>
                <w:color w:val="000000"/>
                <w:sz w:val="22"/>
                <w:szCs w:val="22"/>
                <w:lang w:val="en-US" w:eastAsia="en-GB"/>
              </w:rPr>
            </w:pPr>
          </w:p>
        </w:tc>
        <w:tc>
          <w:tcPr>
            <w:tcW w:w="696" w:type="pct"/>
            <w:shd w:val="clear" w:color="auto" w:fill="auto"/>
          </w:tcPr>
          <w:p w14:paraId="5CB72FDF" w14:textId="77777777" w:rsidR="001631C6" w:rsidRPr="00BE6BBE" w:rsidRDefault="001631C6" w:rsidP="008F5322">
            <w:pPr>
              <w:jc w:val="center"/>
              <w:rPr>
                <w:sz w:val="22"/>
                <w:szCs w:val="22"/>
              </w:rPr>
            </w:pPr>
            <w:r w:rsidRPr="00BE6BBE">
              <w:rPr>
                <w:sz w:val="22"/>
                <w:szCs w:val="22"/>
              </w:rPr>
              <w:t>(0.045)</w:t>
            </w:r>
          </w:p>
        </w:tc>
        <w:tc>
          <w:tcPr>
            <w:tcW w:w="696" w:type="pct"/>
            <w:shd w:val="clear" w:color="auto" w:fill="auto"/>
          </w:tcPr>
          <w:p w14:paraId="7AB452D4" w14:textId="77777777" w:rsidR="001631C6" w:rsidRPr="00BE6BBE" w:rsidRDefault="001631C6" w:rsidP="008F5322">
            <w:pPr>
              <w:jc w:val="center"/>
              <w:rPr>
                <w:sz w:val="22"/>
                <w:szCs w:val="22"/>
              </w:rPr>
            </w:pPr>
            <w:r w:rsidRPr="00BE6BBE">
              <w:rPr>
                <w:sz w:val="22"/>
                <w:szCs w:val="22"/>
              </w:rPr>
              <w:t>(0.050)</w:t>
            </w:r>
          </w:p>
        </w:tc>
        <w:tc>
          <w:tcPr>
            <w:tcW w:w="696" w:type="pct"/>
            <w:shd w:val="clear" w:color="auto" w:fill="auto"/>
          </w:tcPr>
          <w:p w14:paraId="72DA8087" w14:textId="77777777" w:rsidR="001631C6" w:rsidRPr="00BE6BBE" w:rsidRDefault="001631C6" w:rsidP="008F5322">
            <w:pPr>
              <w:jc w:val="center"/>
              <w:rPr>
                <w:sz w:val="22"/>
                <w:szCs w:val="22"/>
              </w:rPr>
            </w:pPr>
            <w:r w:rsidRPr="00BE6BBE">
              <w:rPr>
                <w:sz w:val="22"/>
                <w:szCs w:val="22"/>
              </w:rPr>
              <w:t>(0.046)</w:t>
            </w:r>
          </w:p>
        </w:tc>
        <w:tc>
          <w:tcPr>
            <w:tcW w:w="696" w:type="pct"/>
          </w:tcPr>
          <w:p w14:paraId="4381C270" w14:textId="77777777" w:rsidR="001631C6" w:rsidRPr="00BE6BBE" w:rsidRDefault="001631C6" w:rsidP="008F5322">
            <w:pPr>
              <w:jc w:val="center"/>
              <w:rPr>
                <w:sz w:val="22"/>
                <w:szCs w:val="22"/>
              </w:rPr>
            </w:pPr>
            <w:r w:rsidRPr="00BE6BBE">
              <w:rPr>
                <w:sz w:val="22"/>
                <w:szCs w:val="22"/>
              </w:rPr>
              <w:t>(2.653)</w:t>
            </w:r>
          </w:p>
        </w:tc>
      </w:tr>
      <w:tr w:rsidR="001631C6" w:rsidRPr="00BE6BBE" w14:paraId="43D29359" w14:textId="77777777" w:rsidTr="008F5322">
        <w:trPr>
          <w:trHeight w:val="195"/>
          <w:jc w:val="center"/>
        </w:trPr>
        <w:tc>
          <w:tcPr>
            <w:tcW w:w="2216" w:type="pct"/>
            <w:vMerge w:val="restart"/>
            <w:shd w:val="clear" w:color="auto" w:fill="auto"/>
            <w:noWrap/>
            <w:vAlign w:val="center"/>
            <w:hideMark/>
          </w:tcPr>
          <w:p w14:paraId="6759A9B6"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Multi-tranche</w:t>
            </w:r>
          </w:p>
        </w:tc>
        <w:tc>
          <w:tcPr>
            <w:tcW w:w="696" w:type="pct"/>
            <w:shd w:val="clear" w:color="auto" w:fill="auto"/>
          </w:tcPr>
          <w:p w14:paraId="75D0992F" w14:textId="77777777" w:rsidR="001631C6" w:rsidRPr="00BE6BBE" w:rsidRDefault="001631C6" w:rsidP="008F5322">
            <w:pPr>
              <w:jc w:val="center"/>
              <w:rPr>
                <w:sz w:val="22"/>
                <w:szCs w:val="22"/>
              </w:rPr>
            </w:pPr>
            <w:r w:rsidRPr="00BE6BBE">
              <w:rPr>
                <w:sz w:val="22"/>
                <w:szCs w:val="22"/>
              </w:rPr>
              <w:t>-0.003</w:t>
            </w:r>
          </w:p>
        </w:tc>
        <w:tc>
          <w:tcPr>
            <w:tcW w:w="696" w:type="pct"/>
            <w:shd w:val="clear" w:color="auto" w:fill="auto"/>
          </w:tcPr>
          <w:p w14:paraId="5E9199C2" w14:textId="77777777" w:rsidR="001631C6" w:rsidRPr="00BE6BBE" w:rsidRDefault="001631C6" w:rsidP="008F5322">
            <w:pPr>
              <w:jc w:val="center"/>
              <w:rPr>
                <w:sz w:val="22"/>
                <w:szCs w:val="22"/>
              </w:rPr>
            </w:pPr>
            <w:r w:rsidRPr="00BE6BBE">
              <w:rPr>
                <w:sz w:val="22"/>
                <w:szCs w:val="22"/>
              </w:rPr>
              <w:t>0.050</w:t>
            </w:r>
          </w:p>
        </w:tc>
        <w:tc>
          <w:tcPr>
            <w:tcW w:w="696" w:type="pct"/>
            <w:shd w:val="clear" w:color="auto" w:fill="auto"/>
          </w:tcPr>
          <w:p w14:paraId="12C480B8" w14:textId="77777777" w:rsidR="001631C6" w:rsidRPr="00BE6BBE" w:rsidRDefault="001631C6" w:rsidP="008F5322">
            <w:pPr>
              <w:jc w:val="center"/>
              <w:rPr>
                <w:sz w:val="22"/>
                <w:szCs w:val="22"/>
              </w:rPr>
            </w:pPr>
            <w:r w:rsidRPr="00BE6BBE">
              <w:rPr>
                <w:sz w:val="22"/>
                <w:szCs w:val="22"/>
              </w:rPr>
              <w:t>0.053</w:t>
            </w:r>
          </w:p>
        </w:tc>
        <w:tc>
          <w:tcPr>
            <w:tcW w:w="696" w:type="pct"/>
          </w:tcPr>
          <w:p w14:paraId="178AD323" w14:textId="77777777" w:rsidR="001631C6" w:rsidRPr="00BE6BBE" w:rsidRDefault="001631C6" w:rsidP="008F5322">
            <w:pPr>
              <w:jc w:val="center"/>
              <w:rPr>
                <w:sz w:val="22"/>
                <w:szCs w:val="22"/>
              </w:rPr>
            </w:pPr>
            <w:r w:rsidRPr="00BE6BBE">
              <w:rPr>
                <w:sz w:val="22"/>
                <w:szCs w:val="22"/>
              </w:rPr>
              <w:t>0.505</w:t>
            </w:r>
          </w:p>
        </w:tc>
      </w:tr>
      <w:tr w:rsidR="001631C6" w:rsidRPr="00BE6BBE" w14:paraId="72138B40" w14:textId="77777777" w:rsidTr="008F5322">
        <w:trPr>
          <w:trHeight w:val="80"/>
          <w:jc w:val="center"/>
        </w:trPr>
        <w:tc>
          <w:tcPr>
            <w:tcW w:w="2216" w:type="pct"/>
            <w:vMerge/>
            <w:shd w:val="clear" w:color="auto" w:fill="auto"/>
            <w:vAlign w:val="center"/>
            <w:hideMark/>
          </w:tcPr>
          <w:p w14:paraId="006B8890" w14:textId="77777777" w:rsidR="001631C6" w:rsidRPr="00BE6BBE" w:rsidRDefault="001631C6" w:rsidP="008F5322">
            <w:pPr>
              <w:rPr>
                <w:color w:val="000000"/>
                <w:sz w:val="22"/>
                <w:szCs w:val="22"/>
                <w:lang w:val="en-US" w:eastAsia="en-GB"/>
              </w:rPr>
            </w:pPr>
          </w:p>
        </w:tc>
        <w:tc>
          <w:tcPr>
            <w:tcW w:w="696" w:type="pct"/>
            <w:shd w:val="clear" w:color="auto" w:fill="auto"/>
          </w:tcPr>
          <w:p w14:paraId="3862BDE0" w14:textId="77777777" w:rsidR="001631C6" w:rsidRPr="00BE6BBE" w:rsidRDefault="001631C6" w:rsidP="008F5322">
            <w:pPr>
              <w:jc w:val="center"/>
              <w:rPr>
                <w:sz w:val="22"/>
                <w:szCs w:val="22"/>
              </w:rPr>
            </w:pPr>
            <w:r w:rsidRPr="00BE6BBE">
              <w:rPr>
                <w:sz w:val="22"/>
                <w:szCs w:val="22"/>
              </w:rPr>
              <w:t>(0.042)</w:t>
            </w:r>
          </w:p>
        </w:tc>
        <w:tc>
          <w:tcPr>
            <w:tcW w:w="696" w:type="pct"/>
            <w:shd w:val="clear" w:color="auto" w:fill="auto"/>
          </w:tcPr>
          <w:p w14:paraId="3F1B11BE" w14:textId="77777777" w:rsidR="001631C6" w:rsidRPr="00BE6BBE" w:rsidRDefault="001631C6" w:rsidP="008F5322">
            <w:pPr>
              <w:jc w:val="center"/>
              <w:rPr>
                <w:sz w:val="22"/>
                <w:szCs w:val="22"/>
              </w:rPr>
            </w:pPr>
            <w:r w:rsidRPr="00BE6BBE">
              <w:rPr>
                <w:sz w:val="22"/>
                <w:szCs w:val="22"/>
              </w:rPr>
              <w:t>(0.043)</w:t>
            </w:r>
          </w:p>
        </w:tc>
        <w:tc>
          <w:tcPr>
            <w:tcW w:w="696" w:type="pct"/>
            <w:shd w:val="clear" w:color="auto" w:fill="auto"/>
          </w:tcPr>
          <w:p w14:paraId="0C848363" w14:textId="77777777" w:rsidR="001631C6" w:rsidRPr="00BE6BBE" w:rsidRDefault="001631C6" w:rsidP="008F5322">
            <w:pPr>
              <w:jc w:val="center"/>
              <w:rPr>
                <w:sz w:val="22"/>
                <w:szCs w:val="22"/>
              </w:rPr>
            </w:pPr>
            <w:r w:rsidRPr="00BE6BBE">
              <w:rPr>
                <w:sz w:val="22"/>
                <w:szCs w:val="22"/>
              </w:rPr>
              <w:t>(0.043)</w:t>
            </w:r>
          </w:p>
        </w:tc>
        <w:tc>
          <w:tcPr>
            <w:tcW w:w="696" w:type="pct"/>
          </w:tcPr>
          <w:p w14:paraId="52B12CE1" w14:textId="77777777" w:rsidR="001631C6" w:rsidRPr="00BE6BBE" w:rsidRDefault="001631C6" w:rsidP="008F5322">
            <w:pPr>
              <w:jc w:val="center"/>
              <w:rPr>
                <w:sz w:val="22"/>
                <w:szCs w:val="22"/>
              </w:rPr>
            </w:pPr>
            <w:r w:rsidRPr="00BE6BBE">
              <w:rPr>
                <w:sz w:val="22"/>
                <w:szCs w:val="22"/>
              </w:rPr>
              <w:t>(1.001)</w:t>
            </w:r>
          </w:p>
        </w:tc>
      </w:tr>
      <w:tr w:rsidR="001631C6" w:rsidRPr="00BE6BBE" w14:paraId="54CB3AA1" w14:textId="77777777" w:rsidTr="008F5322">
        <w:trPr>
          <w:trHeight w:val="80"/>
          <w:jc w:val="center"/>
        </w:trPr>
        <w:tc>
          <w:tcPr>
            <w:tcW w:w="2216" w:type="pct"/>
            <w:vMerge w:val="restart"/>
            <w:shd w:val="clear" w:color="auto" w:fill="auto"/>
            <w:vAlign w:val="center"/>
          </w:tcPr>
          <w:p w14:paraId="72D21C72"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AA-BBB spread</w:t>
            </w:r>
          </w:p>
        </w:tc>
        <w:tc>
          <w:tcPr>
            <w:tcW w:w="696" w:type="pct"/>
            <w:shd w:val="clear" w:color="auto" w:fill="auto"/>
          </w:tcPr>
          <w:p w14:paraId="019A278C" w14:textId="77777777" w:rsidR="001631C6" w:rsidRPr="00BE6BBE" w:rsidRDefault="001631C6" w:rsidP="008F5322">
            <w:pPr>
              <w:jc w:val="center"/>
              <w:rPr>
                <w:sz w:val="22"/>
                <w:szCs w:val="22"/>
              </w:rPr>
            </w:pPr>
            <w:r w:rsidRPr="00BE6BBE">
              <w:rPr>
                <w:sz w:val="22"/>
                <w:szCs w:val="22"/>
              </w:rPr>
              <w:t>0.287***</w:t>
            </w:r>
          </w:p>
        </w:tc>
        <w:tc>
          <w:tcPr>
            <w:tcW w:w="696" w:type="pct"/>
            <w:shd w:val="clear" w:color="auto" w:fill="auto"/>
          </w:tcPr>
          <w:p w14:paraId="11EBC927" w14:textId="77777777" w:rsidR="001631C6" w:rsidRPr="00BE6BBE" w:rsidRDefault="001631C6" w:rsidP="008F5322">
            <w:pPr>
              <w:jc w:val="center"/>
              <w:rPr>
                <w:sz w:val="22"/>
                <w:szCs w:val="22"/>
              </w:rPr>
            </w:pPr>
            <w:r w:rsidRPr="00BE6BBE">
              <w:rPr>
                <w:sz w:val="22"/>
                <w:szCs w:val="22"/>
              </w:rPr>
              <w:t>0.270***</w:t>
            </w:r>
          </w:p>
        </w:tc>
        <w:tc>
          <w:tcPr>
            <w:tcW w:w="696" w:type="pct"/>
            <w:shd w:val="clear" w:color="auto" w:fill="auto"/>
          </w:tcPr>
          <w:p w14:paraId="1D90A5DA" w14:textId="77777777" w:rsidR="001631C6" w:rsidRPr="00BE6BBE" w:rsidRDefault="001631C6" w:rsidP="008F5322">
            <w:pPr>
              <w:jc w:val="center"/>
              <w:rPr>
                <w:sz w:val="22"/>
                <w:szCs w:val="22"/>
              </w:rPr>
            </w:pPr>
            <w:r w:rsidRPr="00BE6BBE">
              <w:rPr>
                <w:sz w:val="22"/>
                <w:szCs w:val="22"/>
              </w:rPr>
              <w:t>0.297***</w:t>
            </w:r>
          </w:p>
        </w:tc>
        <w:tc>
          <w:tcPr>
            <w:tcW w:w="696" w:type="pct"/>
          </w:tcPr>
          <w:p w14:paraId="51376284" w14:textId="77777777" w:rsidR="001631C6" w:rsidRPr="00BE6BBE" w:rsidRDefault="001631C6" w:rsidP="008F5322">
            <w:pPr>
              <w:jc w:val="center"/>
              <w:rPr>
                <w:sz w:val="22"/>
                <w:szCs w:val="22"/>
              </w:rPr>
            </w:pPr>
            <w:r w:rsidRPr="00BE6BBE">
              <w:rPr>
                <w:sz w:val="22"/>
                <w:szCs w:val="22"/>
              </w:rPr>
              <w:t>-0.675</w:t>
            </w:r>
          </w:p>
        </w:tc>
      </w:tr>
      <w:tr w:rsidR="001631C6" w:rsidRPr="00BE6BBE" w14:paraId="50C30B39" w14:textId="77777777" w:rsidTr="008F5322">
        <w:trPr>
          <w:trHeight w:val="80"/>
          <w:jc w:val="center"/>
        </w:trPr>
        <w:tc>
          <w:tcPr>
            <w:tcW w:w="2216" w:type="pct"/>
            <w:vMerge/>
            <w:shd w:val="clear" w:color="auto" w:fill="auto"/>
            <w:vAlign w:val="center"/>
          </w:tcPr>
          <w:p w14:paraId="13951E63" w14:textId="77777777" w:rsidR="001631C6" w:rsidRPr="00BE6BBE" w:rsidRDefault="001631C6" w:rsidP="008F5322">
            <w:pPr>
              <w:rPr>
                <w:color w:val="000000"/>
                <w:sz w:val="22"/>
                <w:szCs w:val="22"/>
                <w:lang w:val="en-US" w:eastAsia="en-GB"/>
              </w:rPr>
            </w:pPr>
          </w:p>
        </w:tc>
        <w:tc>
          <w:tcPr>
            <w:tcW w:w="696" w:type="pct"/>
            <w:shd w:val="clear" w:color="auto" w:fill="auto"/>
          </w:tcPr>
          <w:p w14:paraId="5ABB8505" w14:textId="77777777" w:rsidR="001631C6" w:rsidRPr="00BE6BBE" w:rsidRDefault="001631C6" w:rsidP="008F5322">
            <w:pPr>
              <w:jc w:val="center"/>
              <w:rPr>
                <w:sz w:val="22"/>
                <w:szCs w:val="22"/>
              </w:rPr>
            </w:pPr>
            <w:r w:rsidRPr="00BE6BBE">
              <w:rPr>
                <w:sz w:val="22"/>
                <w:szCs w:val="22"/>
              </w:rPr>
              <w:t>(0.046)</w:t>
            </w:r>
          </w:p>
        </w:tc>
        <w:tc>
          <w:tcPr>
            <w:tcW w:w="696" w:type="pct"/>
            <w:shd w:val="clear" w:color="auto" w:fill="auto"/>
          </w:tcPr>
          <w:p w14:paraId="66EAEE7A" w14:textId="77777777" w:rsidR="001631C6" w:rsidRPr="00BE6BBE" w:rsidRDefault="001631C6" w:rsidP="008F5322">
            <w:pPr>
              <w:jc w:val="center"/>
              <w:rPr>
                <w:sz w:val="22"/>
                <w:szCs w:val="22"/>
              </w:rPr>
            </w:pPr>
            <w:r w:rsidRPr="00BE6BBE">
              <w:rPr>
                <w:sz w:val="22"/>
                <w:szCs w:val="22"/>
              </w:rPr>
              <w:t>(0.049)</w:t>
            </w:r>
          </w:p>
        </w:tc>
        <w:tc>
          <w:tcPr>
            <w:tcW w:w="696" w:type="pct"/>
            <w:shd w:val="clear" w:color="auto" w:fill="auto"/>
          </w:tcPr>
          <w:p w14:paraId="5DCB9A1B" w14:textId="77777777" w:rsidR="001631C6" w:rsidRPr="00BE6BBE" w:rsidRDefault="001631C6" w:rsidP="008F5322">
            <w:pPr>
              <w:jc w:val="center"/>
              <w:rPr>
                <w:sz w:val="22"/>
                <w:szCs w:val="22"/>
              </w:rPr>
            </w:pPr>
            <w:r w:rsidRPr="00BE6BBE">
              <w:rPr>
                <w:sz w:val="22"/>
                <w:szCs w:val="22"/>
              </w:rPr>
              <w:t>(0.048)</w:t>
            </w:r>
          </w:p>
        </w:tc>
        <w:tc>
          <w:tcPr>
            <w:tcW w:w="696" w:type="pct"/>
          </w:tcPr>
          <w:p w14:paraId="66E3EB34" w14:textId="77777777" w:rsidR="001631C6" w:rsidRPr="00BE6BBE" w:rsidRDefault="001631C6" w:rsidP="008F5322">
            <w:pPr>
              <w:jc w:val="center"/>
              <w:rPr>
                <w:sz w:val="22"/>
                <w:szCs w:val="22"/>
              </w:rPr>
            </w:pPr>
            <w:r w:rsidRPr="00BE6BBE">
              <w:rPr>
                <w:sz w:val="22"/>
                <w:szCs w:val="22"/>
              </w:rPr>
              <w:t>(2.343)</w:t>
            </w:r>
          </w:p>
        </w:tc>
      </w:tr>
      <w:tr w:rsidR="001631C6" w:rsidRPr="00BE6BBE" w14:paraId="0A28651B" w14:textId="77777777" w:rsidTr="008F5322">
        <w:trPr>
          <w:trHeight w:val="80"/>
          <w:jc w:val="center"/>
        </w:trPr>
        <w:tc>
          <w:tcPr>
            <w:tcW w:w="2216" w:type="pct"/>
            <w:vMerge w:val="restart"/>
            <w:shd w:val="clear" w:color="auto" w:fill="auto"/>
            <w:vAlign w:val="center"/>
          </w:tcPr>
          <w:p w14:paraId="659261AC"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Constant</w:t>
            </w:r>
          </w:p>
        </w:tc>
        <w:tc>
          <w:tcPr>
            <w:tcW w:w="696" w:type="pct"/>
            <w:shd w:val="clear" w:color="auto" w:fill="auto"/>
          </w:tcPr>
          <w:p w14:paraId="3BB9E6C4" w14:textId="77777777" w:rsidR="001631C6" w:rsidRPr="00BE6BBE" w:rsidRDefault="001631C6" w:rsidP="008F5322">
            <w:pPr>
              <w:jc w:val="center"/>
              <w:rPr>
                <w:sz w:val="22"/>
                <w:szCs w:val="22"/>
              </w:rPr>
            </w:pPr>
            <w:r w:rsidRPr="00BE6BBE">
              <w:rPr>
                <w:sz w:val="22"/>
                <w:szCs w:val="22"/>
              </w:rPr>
              <w:t>-0.143</w:t>
            </w:r>
          </w:p>
        </w:tc>
        <w:tc>
          <w:tcPr>
            <w:tcW w:w="696" w:type="pct"/>
            <w:shd w:val="clear" w:color="auto" w:fill="auto"/>
          </w:tcPr>
          <w:p w14:paraId="65D6BA87" w14:textId="77777777" w:rsidR="001631C6" w:rsidRPr="00BE6BBE" w:rsidRDefault="001631C6" w:rsidP="008F5322">
            <w:pPr>
              <w:jc w:val="center"/>
              <w:rPr>
                <w:sz w:val="22"/>
                <w:szCs w:val="22"/>
              </w:rPr>
            </w:pPr>
            <w:r w:rsidRPr="00BE6BBE">
              <w:rPr>
                <w:sz w:val="22"/>
                <w:szCs w:val="22"/>
              </w:rPr>
              <w:t>0.141</w:t>
            </w:r>
          </w:p>
        </w:tc>
        <w:tc>
          <w:tcPr>
            <w:tcW w:w="696" w:type="pct"/>
            <w:shd w:val="clear" w:color="auto" w:fill="auto"/>
          </w:tcPr>
          <w:p w14:paraId="79BEB843" w14:textId="77777777" w:rsidR="001631C6" w:rsidRPr="00BE6BBE" w:rsidRDefault="001631C6" w:rsidP="008F5322">
            <w:pPr>
              <w:jc w:val="center"/>
              <w:rPr>
                <w:sz w:val="22"/>
                <w:szCs w:val="22"/>
              </w:rPr>
            </w:pPr>
            <w:r w:rsidRPr="00BE6BBE">
              <w:rPr>
                <w:sz w:val="22"/>
                <w:szCs w:val="22"/>
              </w:rPr>
              <w:t>0.173</w:t>
            </w:r>
          </w:p>
        </w:tc>
        <w:tc>
          <w:tcPr>
            <w:tcW w:w="696" w:type="pct"/>
          </w:tcPr>
          <w:p w14:paraId="24AFDFC6" w14:textId="77777777" w:rsidR="001631C6" w:rsidRPr="00BE6BBE" w:rsidRDefault="001631C6" w:rsidP="008F5322">
            <w:pPr>
              <w:jc w:val="center"/>
              <w:rPr>
                <w:sz w:val="22"/>
                <w:szCs w:val="22"/>
              </w:rPr>
            </w:pPr>
            <w:r w:rsidRPr="00BE6BBE">
              <w:rPr>
                <w:sz w:val="22"/>
                <w:szCs w:val="22"/>
              </w:rPr>
              <w:t>6.389</w:t>
            </w:r>
          </w:p>
        </w:tc>
      </w:tr>
      <w:tr w:rsidR="001631C6" w:rsidRPr="00BE6BBE" w14:paraId="48AC29F6" w14:textId="77777777" w:rsidTr="008F5322">
        <w:trPr>
          <w:trHeight w:val="80"/>
          <w:jc w:val="center"/>
        </w:trPr>
        <w:tc>
          <w:tcPr>
            <w:tcW w:w="2216" w:type="pct"/>
            <w:vMerge/>
            <w:tcBorders>
              <w:bottom w:val="single" w:sz="4" w:space="0" w:color="auto"/>
            </w:tcBorders>
            <w:shd w:val="clear" w:color="auto" w:fill="auto"/>
            <w:vAlign w:val="center"/>
          </w:tcPr>
          <w:p w14:paraId="4ABB7CCC" w14:textId="77777777" w:rsidR="001631C6" w:rsidRPr="00BE6BBE" w:rsidRDefault="001631C6" w:rsidP="008F5322">
            <w:pPr>
              <w:rPr>
                <w:color w:val="000000"/>
                <w:sz w:val="22"/>
                <w:szCs w:val="22"/>
                <w:lang w:val="en-US" w:eastAsia="en-GB"/>
              </w:rPr>
            </w:pPr>
          </w:p>
        </w:tc>
        <w:tc>
          <w:tcPr>
            <w:tcW w:w="696" w:type="pct"/>
            <w:tcBorders>
              <w:bottom w:val="single" w:sz="4" w:space="0" w:color="auto"/>
            </w:tcBorders>
            <w:shd w:val="clear" w:color="auto" w:fill="auto"/>
          </w:tcPr>
          <w:p w14:paraId="15AF7C99" w14:textId="77777777" w:rsidR="001631C6" w:rsidRPr="00BE6BBE" w:rsidRDefault="001631C6" w:rsidP="008F5322">
            <w:pPr>
              <w:jc w:val="center"/>
              <w:rPr>
                <w:sz w:val="22"/>
                <w:szCs w:val="22"/>
              </w:rPr>
            </w:pPr>
            <w:r w:rsidRPr="00BE6BBE">
              <w:rPr>
                <w:sz w:val="22"/>
                <w:szCs w:val="22"/>
              </w:rPr>
              <w:t>(0.898)</w:t>
            </w:r>
          </w:p>
        </w:tc>
        <w:tc>
          <w:tcPr>
            <w:tcW w:w="696" w:type="pct"/>
            <w:tcBorders>
              <w:bottom w:val="single" w:sz="4" w:space="0" w:color="auto"/>
            </w:tcBorders>
            <w:shd w:val="clear" w:color="auto" w:fill="auto"/>
          </w:tcPr>
          <w:p w14:paraId="084BAEEF" w14:textId="77777777" w:rsidR="001631C6" w:rsidRPr="00BE6BBE" w:rsidRDefault="001631C6" w:rsidP="008F5322">
            <w:pPr>
              <w:jc w:val="center"/>
              <w:rPr>
                <w:sz w:val="22"/>
                <w:szCs w:val="22"/>
              </w:rPr>
            </w:pPr>
            <w:r w:rsidRPr="00BE6BBE">
              <w:rPr>
                <w:sz w:val="22"/>
                <w:szCs w:val="22"/>
              </w:rPr>
              <w:t>(0.974)</w:t>
            </w:r>
          </w:p>
        </w:tc>
        <w:tc>
          <w:tcPr>
            <w:tcW w:w="696" w:type="pct"/>
            <w:tcBorders>
              <w:bottom w:val="single" w:sz="4" w:space="0" w:color="auto"/>
            </w:tcBorders>
            <w:shd w:val="clear" w:color="auto" w:fill="auto"/>
          </w:tcPr>
          <w:p w14:paraId="5A82C6E3" w14:textId="77777777" w:rsidR="001631C6" w:rsidRPr="00BE6BBE" w:rsidRDefault="001631C6" w:rsidP="008F5322">
            <w:pPr>
              <w:jc w:val="center"/>
              <w:rPr>
                <w:sz w:val="22"/>
                <w:szCs w:val="22"/>
              </w:rPr>
            </w:pPr>
            <w:r w:rsidRPr="00BE6BBE">
              <w:rPr>
                <w:sz w:val="22"/>
                <w:szCs w:val="22"/>
              </w:rPr>
              <w:t>(0.934)</w:t>
            </w:r>
          </w:p>
        </w:tc>
        <w:tc>
          <w:tcPr>
            <w:tcW w:w="696" w:type="pct"/>
            <w:tcBorders>
              <w:bottom w:val="single" w:sz="4" w:space="0" w:color="auto"/>
            </w:tcBorders>
          </w:tcPr>
          <w:p w14:paraId="6614D7EA" w14:textId="77777777" w:rsidR="001631C6" w:rsidRPr="00BE6BBE" w:rsidRDefault="001631C6" w:rsidP="008F5322">
            <w:pPr>
              <w:jc w:val="center"/>
              <w:rPr>
                <w:sz w:val="22"/>
                <w:szCs w:val="22"/>
              </w:rPr>
            </w:pPr>
            <w:r w:rsidRPr="00BE6BBE">
              <w:rPr>
                <w:sz w:val="22"/>
                <w:szCs w:val="22"/>
              </w:rPr>
              <w:t>(14.964)</w:t>
            </w:r>
          </w:p>
        </w:tc>
      </w:tr>
      <w:tr w:rsidR="001631C6" w:rsidRPr="00BE6BBE" w14:paraId="3C2EB4E3" w14:textId="77777777" w:rsidTr="008F5322">
        <w:trPr>
          <w:trHeight w:val="80"/>
          <w:jc w:val="center"/>
        </w:trPr>
        <w:tc>
          <w:tcPr>
            <w:tcW w:w="2216" w:type="pct"/>
            <w:tcBorders>
              <w:top w:val="single" w:sz="4" w:space="0" w:color="auto"/>
              <w:bottom w:val="nil"/>
            </w:tcBorders>
            <w:shd w:val="clear" w:color="auto" w:fill="auto"/>
            <w:vAlign w:val="center"/>
            <w:hideMark/>
          </w:tcPr>
          <w:p w14:paraId="0FD2A92C"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Credit rating, Year, Sector and Country dummies</w:t>
            </w:r>
          </w:p>
        </w:tc>
        <w:tc>
          <w:tcPr>
            <w:tcW w:w="696" w:type="pct"/>
            <w:tcBorders>
              <w:top w:val="single" w:sz="4" w:space="0" w:color="auto"/>
              <w:bottom w:val="nil"/>
            </w:tcBorders>
            <w:shd w:val="clear" w:color="auto" w:fill="auto"/>
            <w:vAlign w:val="center"/>
          </w:tcPr>
          <w:p w14:paraId="1FB0B88E" w14:textId="77777777" w:rsidR="001631C6" w:rsidRPr="00BE6BBE" w:rsidRDefault="001631C6" w:rsidP="008F5322">
            <w:pPr>
              <w:jc w:val="center"/>
              <w:rPr>
                <w:color w:val="000000"/>
                <w:sz w:val="22"/>
                <w:szCs w:val="22"/>
                <w:lang w:val="en-US" w:eastAsia="en-GB"/>
              </w:rPr>
            </w:pPr>
            <w:r w:rsidRPr="00BE6BBE">
              <w:rPr>
                <w:color w:val="000000"/>
                <w:sz w:val="22"/>
                <w:szCs w:val="22"/>
                <w:lang w:val="en-US" w:eastAsia="en-GB"/>
              </w:rPr>
              <w:t>yes</w:t>
            </w:r>
          </w:p>
        </w:tc>
        <w:tc>
          <w:tcPr>
            <w:tcW w:w="696" w:type="pct"/>
            <w:tcBorders>
              <w:top w:val="single" w:sz="4" w:space="0" w:color="auto"/>
              <w:bottom w:val="nil"/>
            </w:tcBorders>
            <w:shd w:val="clear" w:color="auto" w:fill="auto"/>
            <w:vAlign w:val="center"/>
          </w:tcPr>
          <w:p w14:paraId="59A4E292" w14:textId="77777777" w:rsidR="001631C6" w:rsidRPr="00BE6BBE" w:rsidRDefault="001631C6" w:rsidP="008F5322">
            <w:pPr>
              <w:jc w:val="center"/>
              <w:rPr>
                <w:color w:val="000000"/>
                <w:sz w:val="22"/>
                <w:szCs w:val="22"/>
                <w:lang w:val="en-US" w:eastAsia="en-GB"/>
              </w:rPr>
            </w:pPr>
            <w:r w:rsidRPr="00BE6BBE">
              <w:rPr>
                <w:color w:val="000000"/>
                <w:sz w:val="22"/>
                <w:szCs w:val="22"/>
                <w:lang w:val="en-US" w:eastAsia="en-GB"/>
              </w:rPr>
              <w:t>yes</w:t>
            </w:r>
          </w:p>
        </w:tc>
        <w:tc>
          <w:tcPr>
            <w:tcW w:w="696" w:type="pct"/>
            <w:tcBorders>
              <w:top w:val="single" w:sz="4" w:space="0" w:color="auto"/>
              <w:bottom w:val="nil"/>
            </w:tcBorders>
            <w:shd w:val="clear" w:color="auto" w:fill="auto"/>
            <w:vAlign w:val="center"/>
          </w:tcPr>
          <w:p w14:paraId="2594E3B7" w14:textId="77777777" w:rsidR="001631C6" w:rsidRPr="00BE6BBE" w:rsidRDefault="001631C6" w:rsidP="008F5322">
            <w:pPr>
              <w:jc w:val="center"/>
              <w:rPr>
                <w:color w:val="000000"/>
                <w:sz w:val="22"/>
                <w:szCs w:val="22"/>
                <w:lang w:val="en-US" w:eastAsia="en-GB"/>
              </w:rPr>
            </w:pPr>
            <w:r w:rsidRPr="00BE6BBE">
              <w:rPr>
                <w:color w:val="000000"/>
                <w:sz w:val="22"/>
                <w:szCs w:val="22"/>
                <w:lang w:val="en-US" w:eastAsia="en-GB"/>
              </w:rPr>
              <w:t>yes</w:t>
            </w:r>
          </w:p>
        </w:tc>
        <w:tc>
          <w:tcPr>
            <w:tcW w:w="696" w:type="pct"/>
            <w:tcBorders>
              <w:top w:val="single" w:sz="4" w:space="0" w:color="auto"/>
              <w:bottom w:val="nil"/>
            </w:tcBorders>
            <w:vAlign w:val="center"/>
          </w:tcPr>
          <w:p w14:paraId="5BF0B3CD" w14:textId="77777777" w:rsidR="001631C6" w:rsidRPr="00BE6BBE" w:rsidRDefault="001631C6" w:rsidP="008F5322">
            <w:pPr>
              <w:jc w:val="center"/>
              <w:rPr>
                <w:color w:val="000000"/>
                <w:sz w:val="22"/>
                <w:szCs w:val="22"/>
                <w:lang w:val="en-US" w:eastAsia="en-GB"/>
              </w:rPr>
            </w:pPr>
            <w:r w:rsidRPr="00BE6BBE">
              <w:rPr>
                <w:color w:val="000000"/>
                <w:sz w:val="22"/>
                <w:szCs w:val="22"/>
                <w:lang w:val="en-US" w:eastAsia="en-GB"/>
              </w:rPr>
              <w:t>Yes</w:t>
            </w:r>
          </w:p>
        </w:tc>
      </w:tr>
      <w:tr w:rsidR="001631C6" w:rsidRPr="00BE6BBE" w14:paraId="3D5539E6" w14:textId="77777777" w:rsidTr="008F5322">
        <w:trPr>
          <w:trHeight w:val="80"/>
          <w:jc w:val="center"/>
        </w:trPr>
        <w:tc>
          <w:tcPr>
            <w:tcW w:w="2216" w:type="pct"/>
            <w:tcBorders>
              <w:top w:val="nil"/>
            </w:tcBorders>
            <w:shd w:val="clear" w:color="auto" w:fill="auto"/>
            <w:noWrap/>
            <w:vAlign w:val="center"/>
            <w:hideMark/>
          </w:tcPr>
          <w:p w14:paraId="66DE3424"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Number of Observations</w:t>
            </w:r>
          </w:p>
        </w:tc>
        <w:tc>
          <w:tcPr>
            <w:tcW w:w="696" w:type="pct"/>
            <w:tcBorders>
              <w:top w:val="nil"/>
            </w:tcBorders>
            <w:shd w:val="clear" w:color="auto" w:fill="auto"/>
          </w:tcPr>
          <w:p w14:paraId="75833473" w14:textId="77777777" w:rsidR="001631C6" w:rsidRPr="00BE6BBE" w:rsidRDefault="001631C6" w:rsidP="008F5322">
            <w:pPr>
              <w:jc w:val="center"/>
              <w:rPr>
                <w:sz w:val="22"/>
                <w:szCs w:val="22"/>
              </w:rPr>
            </w:pPr>
            <w:r w:rsidRPr="00BE6BBE">
              <w:rPr>
                <w:sz w:val="22"/>
                <w:szCs w:val="22"/>
              </w:rPr>
              <w:t>2,409</w:t>
            </w:r>
          </w:p>
        </w:tc>
        <w:tc>
          <w:tcPr>
            <w:tcW w:w="696" w:type="pct"/>
            <w:tcBorders>
              <w:top w:val="nil"/>
            </w:tcBorders>
            <w:shd w:val="clear" w:color="auto" w:fill="auto"/>
          </w:tcPr>
          <w:p w14:paraId="458004C8" w14:textId="77777777" w:rsidR="001631C6" w:rsidRPr="00BE6BBE" w:rsidRDefault="001631C6" w:rsidP="008F5322">
            <w:pPr>
              <w:jc w:val="center"/>
              <w:rPr>
                <w:sz w:val="22"/>
                <w:szCs w:val="22"/>
              </w:rPr>
            </w:pPr>
            <w:r w:rsidRPr="00BE6BBE">
              <w:rPr>
                <w:sz w:val="22"/>
                <w:szCs w:val="22"/>
              </w:rPr>
              <w:t>2,409</w:t>
            </w:r>
          </w:p>
        </w:tc>
        <w:tc>
          <w:tcPr>
            <w:tcW w:w="696" w:type="pct"/>
            <w:tcBorders>
              <w:top w:val="nil"/>
            </w:tcBorders>
            <w:shd w:val="clear" w:color="auto" w:fill="auto"/>
          </w:tcPr>
          <w:p w14:paraId="5B4440CD" w14:textId="77777777" w:rsidR="001631C6" w:rsidRPr="00BE6BBE" w:rsidRDefault="001631C6" w:rsidP="008F5322">
            <w:pPr>
              <w:jc w:val="center"/>
              <w:rPr>
                <w:sz w:val="22"/>
                <w:szCs w:val="22"/>
              </w:rPr>
            </w:pPr>
            <w:r w:rsidRPr="00BE6BBE">
              <w:rPr>
                <w:sz w:val="22"/>
                <w:szCs w:val="22"/>
              </w:rPr>
              <w:t>2,409</w:t>
            </w:r>
          </w:p>
        </w:tc>
        <w:tc>
          <w:tcPr>
            <w:tcW w:w="696" w:type="pct"/>
            <w:tcBorders>
              <w:top w:val="nil"/>
            </w:tcBorders>
          </w:tcPr>
          <w:p w14:paraId="6476D1A3" w14:textId="77777777" w:rsidR="001631C6" w:rsidRPr="00BE6BBE" w:rsidRDefault="001631C6" w:rsidP="008F5322">
            <w:pPr>
              <w:jc w:val="center"/>
              <w:rPr>
                <w:sz w:val="22"/>
                <w:szCs w:val="22"/>
              </w:rPr>
            </w:pPr>
            <w:r w:rsidRPr="00BE6BBE">
              <w:rPr>
                <w:sz w:val="22"/>
                <w:szCs w:val="22"/>
              </w:rPr>
              <w:t>1,902</w:t>
            </w:r>
          </w:p>
        </w:tc>
      </w:tr>
      <w:tr w:rsidR="001631C6" w:rsidRPr="00BE6BBE" w14:paraId="170909AA" w14:textId="77777777" w:rsidTr="008F5322">
        <w:trPr>
          <w:trHeight w:val="80"/>
          <w:jc w:val="center"/>
        </w:trPr>
        <w:tc>
          <w:tcPr>
            <w:tcW w:w="2216" w:type="pct"/>
            <w:shd w:val="clear" w:color="auto" w:fill="auto"/>
            <w:noWrap/>
            <w:vAlign w:val="center"/>
            <w:hideMark/>
          </w:tcPr>
          <w:p w14:paraId="099B04AD"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R</w:t>
            </w:r>
            <w:r w:rsidRPr="00BE6BBE">
              <w:rPr>
                <w:color w:val="000000"/>
                <w:sz w:val="22"/>
                <w:szCs w:val="22"/>
                <w:vertAlign w:val="superscript"/>
                <w:lang w:val="en-US" w:eastAsia="en-GB"/>
              </w:rPr>
              <w:t>2</w:t>
            </w:r>
          </w:p>
        </w:tc>
        <w:tc>
          <w:tcPr>
            <w:tcW w:w="696" w:type="pct"/>
            <w:shd w:val="clear" w:color="auto" w:fill="auto"/>
          </w:tcPr>
          <w:p w14:paraId="1B0F0557" w14:textId="77777777" w:rsidR="001631C6" w:rsidRPr="00BE6BBE" w:rsidRDefault="001631C6" w:rsidP="008F5322">
            <w:pPr>
              <w:jc w:val="center"/>
              <w:rPr>
                <w:sz w:val="22"/>
                <w:szCs w:val="22"/>
              </w:rPr>
            </w:pPr>
            <w:r w:rsidRPr="00BE6BBE">
              <w:rPr>
                <w:sz w:val="22"/>
                <w:szCs w:val="22"/>
              </w:rPr>
              <w:t>0.455</w:t>
            </w:r>
          </w:p>
        </w:tc>
        <w:tc>
          <w:tcPr>
            <w:tcW w:w="696" w:type="pct"/>
            <w:shd w:val="clear" w:color="auto" w:fill="auto"/>
          </w:tcPr>
          <w:p w14:paraId="2A4C9FB1" w14:textId="77777777" w:rsidR="001631C6" w:rsidRPr="00BE6BBE" w:rsidRDefault="001631C6" w:rsidP="008F5322">
            <w:pPr>
              <w:jc w:val="center"/>
              <w:rPr>
                <w:sz w:val="22"/>
                <w:szCs w:val="22"/>
              </w:rPr>
            </w:pPr>
            <w:r w:rsidRPr="00BE6BBE">
              <w:rPr>
                <w:sz w:val="22"/>
                <w:szCs w:val="22"/>
              </w:rPr>
              <w:t>0.399</w:t>
            </w:r>
          </w:p>
        </w:tc>
        <w:tc>
          <w:tcPr>
            <w:tcW w:w="696" w:type="pct"/>
            <w:shd w:val="clear" w:color="auto" w:fill="auto"/>
          </w:tcPr>
          <w:p w14:paraId="58970EE8" w14:textId="77777777" w:rsidR="001631C6" w:rsidRPr="00BE6BBE" w:rsidRDefault="001631C6" w:rsidP="008F5322">
            <w:pPr>
              <w:jc w:val="center"/>
              <w:rPr>
                <w:sz w:val="22"/>
                <w:szCs w:val="22"/>
              </w:rPr>
            </w:pPr>
            <w:r w:rsidRPr="00BE6BBE">
              <w:rPr>
                <w:sz w:val="22"/>
                <w:szCs w:val="22"/>
              </w:rPr>
              <w:t>0.430</w:t>
            </w:r>
          </w:p>
        </w:tc>
        <w:tc>
          <w:tcPr>
            <w:tcW w:w="696" w:type="pct"/>
          </w:tcPr>
          <w:p w14:paraId="3623D0AB" w14:textId="77777777" w:rsidR="001631C6" w:rsidRPr="00BE6BBE" w:rsidRDefault="001631C6" w:rsidP="008F5322">
            <w:pPr>
              <w:jc w:val="center"/>
              <w:rPr>
                <w:sz w:val="22"/>
                <w:szCs w:val="22"/>
                <w:lang w:val="en-US"/>
              </w:rPr>
            </w:pPr>
            <w:r w:rsidRPr="00BE6BBE">
              <w:rPr>
                <w:sz w:val="22"/>
                <w:szCs w:val="22"/>
                <w:lang w:val="en-US"/>
              </w:rPr>
              <w:t>n m f</w:t>
            </w:r>
          </w:p>
        </w:tc>
      </w:tr>
      <w:tr w:rsidR="001631C6" w:rsidRPr="00BE6BBE" w14:paraId="0C47E0A8" w14:textId="77777777" w:rsidTr="008F5322">
        <w:trPr>
          <w:trHeight w:val="80"/>
          <w:jc w:val="center"/>
        </w:trPr>
        <w:tc>
          <w:tcPr>
            <w:tcW w:w="2216" w:type="pct"/>
            <w:shd w:val="clear" w:color="auto" w:fill="auto"/>
            <w:noWrap/>
            <w:vAlign w:val="center"/>
          </w:tcPr>
          <w:p w14:paraId="50C4748E" w14:textId="77777777" w:rsidR="001631C6" w:rsidRPr="00BE6BBE" w:rsidRDefault="001631C6" w:rsidP="008F5322">
            <w:pPr>
              <w:rPr>
                <w:color w:val="000000"/>
                <w:sz w:val="22"/>
                <w:szCs w:val="22"/>
                <w:lang w:val="en-US" w:eastAsia="en-GB"/>
              </w:rPr>
            </w:pPr>
            <w:r w:rsidRPr="00BE6BBE">
              <w:rPr>
                <w:color w:val="000000"/>
                <w:sz w:val="22"/>
                <w:szCs w:val="22"/>
                <w:lang w:val="en-US" w:eastAsia="en-GB"/>
              </w:rPr>
              <w:t>Wald χ</w:t>
            </w:r>
            <w:r w:rsidRPr="00BE6BBE">
              <w:rPr>
                <w:color w:val="000000"/>
                <w:sz w:val="22"/>
                <w:szCs w:val="22"/>
                <w:vertAlign w:val="superscript"/>
                <w:lang w:val="en-US" w:eastAsia="en-GB"/>
              </w:rPr>
              <w:t>2</w:t>
            </w:r>
          </w:p>
        </w:tc>
        <w:tc>
          <w:tcPr>
            <w:tcW w:w="696" w:type="pct"/>
            <w:shd w:val="clear" w:color="auto" w:fill="auto"/>
          </w:tcPr>
          <w:p w14:paraId="1BB85576" w14:textId="77777777" w:rsidR="001631C6" w:rsidRPr="00BE6BBE" w:rsidRDefault="001631C6" w:rsidP="008F5322">
            <w:pPr>
              <w:jc w:val="center"/>
              <w:rPr>
                <w:sz w:val="22"/>
                <w:szCs w:val="22"/>
                <w:lang w:val="en-US"/>
              </w:rPr>
            </w:pPr>
            <w:r w:rsidRPr="00BE6BBE">
              <w:rPr>
                <w:sz w:val="22"/>
                <w:szCs w:val="22"/>
              </w:rPr>
              <w:t>1</w:t>
            </w:r>
            <w:r>
              <w:rPr>
                <w:sz w:val="22"/>
                <w:szCs w:val="22"/>
              </w:rPr>
              <w:t>,</w:t>
            </w:r>
            <w:r w:rsidRPr="00BE6BBE">
              <w:rPr>
                <w:sz w:val="22"/>
                <w:szCs w:val="22"/>
              </w:rPr>
              <w:t>452</w:t>
            </w:r>
            <w:r>
              <w:rPr>
                <w:sz w:val="22"/>
                <w:szCs w:val="22"/>
              </w:rPr>
              <w:t>***</w:t>
            </w:r>
          </w:p>
        </w:tc>
        <w:tc>
          <w:tcPr>
            <w:tcW w:w="696" w:type="pct"/>
            <w:shd w:val="clear" w:color="auto" w:fill="auto"/>
          </w:tcPr>
          <w:p w14:paraId="09B35C99" w14:textId="77777777" w:rsidR="001631C6" w:rsidRPr="00BE6BBE" w:rsidRDefault="001631C6" w:rsidP="008F5322">
            <w:pPr>
              <w:jc w:val="center"/>
              <w:rPr>
                <w:sz w:val="22"/>
                <w:szCs w:val="22"/>
                <w:lang w:val="en-US"/>
              </w:rPr>
            </w:pPr>
            <w:r w:rsidRPr="00BE6BBE">
              <w:rPr>
                <w:sz w:val="22"/>
                <w:szCs w:val="22"/>
              </w:rPr>
              <w:t>1</w:t>
            </w:r>
            <w:r>
              <w:rPr>
                <w:sz w:val="22"/>
                <w:szCs w:val="22"/>
              </w:rPr>
              <w:t>,</w:t>
            </w:r>
            <w:r w:rsidRPr="00BE6BBE">
              <w:rPr>
                <w:sz w:val="22"/>
                <w:szCs w:val="22"/>
              </w:rPr>
              <w:t>612</w:t>
            </w:r>
            <w:r>
              <w:rPr>
                <w:sz w:val="22"/>
                <w:szCs w:val="22"/>
              </w:rPr>
              <w:t>***</w:t>
            </w:r>
          </w:p>
        </w:tc>
        <w:tc>
          <w:tcPr>
            <w:tcW w:w="696" w:type="pct"/>
            <w:shd w:val="clear" w:color="auto" w:fill="auto"/>
          </w:tcPr>
          <w:p w14:paraId="40F40D0F" w14:textId="77777777" w:rsidR="001631C6" w:rsidRPr="00BE6BBE" w:rsidRDefault="001631C6" w:rsidP="008F5322">
            <w:pPr>
              <w:jc w:val="center"/>
              <w:rPr>
                <w:sz w:val="22"/>
                <w:szCs w:val="22"/>
                <w:lang w:val="en-US"/>
              </w:rPr>
            </w:pPr>
            <w:r w:rsidRPr="00BE6BBE">
              <w:rPr>
                <w:sz w:val="22"/>
                <w:szCs w:val="22"/>
              </w:rPr>
              <w:t>1</w:t>
            </w:r>
            <w:r>
              <w:rPr>
                <w:sz w:val="22"/>
                <w:szCs w:val="22"/>
              </w:rPr>
              <w:t>,</w:t>
            </w:r>
            <w:r w:rsidRPr="00BE6BBE">
              <w:rPr>
                <w:sz w:val="22"/>
                <w:szCs w:val="22"/>
              </w:rPr>
              <w:t>555</w:t>
            </w:r>
            <w:r>
              <w:rPr>
                <w:sz w:val="22"/>
                <w:szCs w:val="22"/>
              </w:rPr>
              <w:t>***</w:t>
            </w:r>
          </w:p>
        </w:tc>
        <w:tc>
          <w:tcPr>
            <w:tcW w:w="696" w:type="pct"/>
          </w:tcPr>
          <w:p w14:paraId="6DA5CA1E" w14:textId="77777777" w:rsidR="001631C6" w:rsidRPr="00BE6BBE" w:rsidRDefault="001631C6" w:rsidP="008F5322">
            <w:pPr>
              <w:jc w:val="center"/>
              <w:rPr>
                <w:sz w:val="22"/>
                <w:szCs w:val="22"/>
                <w:lang w:val="en-US"/>
              </w:rPr>
            </w:pPr>
            <w:r w:rsidRPr="00BE6BBE">
              <w:rPr>
                <w:sz w:val="22"/>
                <w:szCs w:val="22"/>
              </w:rPr>
              <w:t>22.78</w:t>
            </w:r>
          </w:p>
        </w:tc>
      </w:tr>
    </w:tbl>
    <w:p w14:paraId="3C8234F8" w14:textId="77777777" w:rsidR="001631C6" w:rsidRDefault="001631C6" w:rsidP="001631C6">
      <w:pPr>
        <w:spacing w:after="160" w:line="259" w:lineRule="auto"/>
        <w:rPr>
          <w:color w:val="000000"/>
          <w:sz w:val="20"/>
          <w:szCs w:val="20"/>
          <w:lang w:val="en-US"/>
        </w:rPr>
      </w:pPr>
      <w:r>
        <w:rPr>
          <w:color w:val="000000"/>
          <w:sz w:val="20"/>
          <w:szCs w:val="20"/>
          <w:lang w:val="en-US"/>
        </w:rPr>
        <w:br w:type="page"/>
      </w:r>
    </w:p>
    <w:p w14:paraId="6A36E0D0" w14:textId="77777777" w:rsidR="001631C6" w:rsidRPr="00207BB5" w:rsidRDefault="001631C6" w:rsidP="001631C6">
      <w:pPr>
        <w:rPr>
          <w:b/>
          <w:lang w:val="en-US"/>
        </w:rPr>
      </w:pPr>
      <w:r w:rsidRPr="00207BB5">
        <w:rPr>
          <w:b/>
          <w:lang w:val="en-US"/>
        </w:rPr>
        <w:lastRenderedPageBreak/>
        <w:t>Table 6</w:t>
      </w:r>
    </w:p>
    <w:p w14:paraId="565B79C8" w14:textId="77777777" w:rsidR="001631C6" w:rsidRPr="00207BB5" w:rsidRDefault="001631C6" w:rsidP="001631C6">
      <w:pPr>
        <w:pStyle w:val="Heading2"/>
        <w:spacing w:before="0"/>
        <w:jc w:val="both"/>
        <w:rPr>
          <w:rFonts w:cs="Times New Roman"/>
          <w:b/>
          <w:szCs w:val="24"/>
          <w:highlight w:val="yellow"/>
          <w:lang w:val="en-US"/>
        </w:rPr>
      </w:pPr>
      <w:r w:rsidRPr="00207BB5">
        <w:rPr>
          <w:rFonts w:cs="Times New Roman"/>
          <w:szCs w:val="24"/>
          <w:lang w:val="en-US"/>
        </w:rPr>
        <w:t>Impact of bookrunner geography on domestic allocations and oversubscription</w:t>
      </w:r>
    </w:p>
    <w:p w14:paraId="0E5BCEEB" w14:textId="77777777" w:rsidR="001631C6" w:rsidRPr="00DC68DD" w:rsidRDefault="001631C6" w:rsidP="001631C6">
      <w:pPr>
        <w:jc w:val="both"/>
        <w:rPr>
          <w:sz w:val="20"/>
          <w:szCs w:val="20"/>
          <w:lang w:val="en-US"/>
        </w:rPr>
      </w:pPr>
      <w:r w:rsidRPr="00DC68DD">
        <w:rPr>
          <w:sz w:val="20"/>
          <w:szCs w:val="20"/>
          <w:lang w:val="en-US"/>
        </w:rPr>
        <w:t xml:space="preserve">The table reports </w:t>
      </w:r>
      <w:r>
        <w:rPr>
          <w:sz w:val="20"/>
          <w:szCs w:val="20"/>
          <w:lang w:val="en-US"/>
        </w:rPr>
        <w:t>OLS regressions of the impact of domestic bookrunners on bond investor demand for E</w:t>
      </w:r>
      <w:r w:rsidRPr="003B108D">
        <w:rPr>
          <w:sz w:val="20"/>
          <w:szCs w:val="20"/>
          <w:lang w:val="en-US"/>
        </w:rPr>
        <w:t>uro-denominated public bond tranches issued by Western European firms during 2001-20</w:t>
      </w:r>
      <w:r>
        <w:rPr>
          <w:sz w:val="20"/>
          <w:szCs w:val="20"/>
          <w:lang w:val="en-US"/>
        </w:rPr>
        <w:t xml:space="preserve">20. Model 1 has a sample size of 645 and studies the impact on domestic investor allocations. Model 2 has a sample size of 1577 and studies the impact on oversubscription. </w:t>
      </w:r>
      <w:r w:rsidRPr="00DC68DD">
        <w:rPr>
          <w:sz w:val="20"/>
          <w:szCs w:val="20"/>
          <w:lang w:val="en-US"/>
        </w:rPr>
        <w:t xml:space="preserve">All variables are defined in Table 1. </w:t>
      </w:r>
      <w:r w:rsidRPr="004764C1">
        <w:rPr>
          <w:sz w:val="20"/>
          <w:szCs w:val="20"/>
          <w:lang w:val="en-US"/>
        </w:rPr>
        <w:t>Standard errors clustered at the firm</w:t>
      </w:r>
      <w:r>
        <w:rPr>
          <w:sz w:val="20"/>
          <w:szCs w:val="20"/>
          <w:lang w:val="en-US"/>
        </w:rPr>
        <w:t xml:space="preserve"> and year</w:t>
      </w:r>
      <w:r w:rsidRPr="004764C1">
        <w:rPr>
          <w:sz w:val="20"/>
          <w:szCs w:val="20"/>
          <w:lang w:val="en-US"/>
        </w:rPr>
        <w:t xml:space="preserve"> level are reported in parenthesis. </w:t>
      </w:r>
      <w:r w:rsidRPr="00DC68DD">
        <w:rPr>
          <w:sz w:val="20"/>
          <w:szCs w:val="20"/>
          <w:lang w:val="en-US"/>
        </w:rPr>
        <w:t xml:space="preserve"> </w:t>
      </w:r>
      <w:r w:rsidRPr="00DC68DD">
        <w:rPr>
          <w:color w:val="000000"/>
          <w:sz w:val="20"/>
          <w:szCs w:val="20"/>
          <w:lang w:val="en-US" w:eastAsia="en-GB"/>
        </w:rPr>
        <w:t>***</w:t>
      </w:r>
      <w:r w:rsidRPr="00DC68DD">
        <w:rPr>
          <w:color w:val="000000"/>
          <w:sz w:val="20"/>
          <w:szCs w:val="20"/>
          <w:lang w:val="en-US"/>
        </w:rPr>
        <w:t>, **, and * denote significance at the 1%, 5%, and 10% levels respectively.</w:t>
      </w:r>
    </w:p>
    <w:tbl>
      <w:tblPr>
        <w:tblW w:w="5000" w:type="pct"/>
        <w:jc w:val="center"/>
        <w:tblBorders>
          <w:top w:val="single" w:sz="4" w:space="0" w:color="auto"/>
          <w:bottom w:val="single" w:sz="4" w:space="0" w:color="auto"/>
        </w:tblBorders>
        <w:tblLook w:val="04A0" w:firstRow="1" w:lastRow="0" w:firstColumn="1" w:lastColumn="0" w:noHBand="0" w:noVBand="1"/>
      </w:tblPr>
      <w:tblGrid>
        <w:gridCol w:w="5461"/>
        <w:gridCol w:w="1489"/>
        <w:gridCol w:w="2076"/>
      </w:tblGrid>
      <w:tr w:rsidR="001631C6" w:rsidRPr="00B1049B" w14:paraId="6E198FE9" w14:textId="77777777" w:rsidTr="008F5322">
        <w:trPr>
          <w:trHeight w:val="135"/>
          <w:jc w:val="center"/>
        </w:trPr>
        <w:tc>
          <w:tcPr>
            <w:tcW w:w="3024" w:type="pct"/>
            <w:tcBorders>
              <w:top w:val="single" w:sz="4" w:space="0" w:color="auto"/>
              <w:bottom w:val="nil"/>
            </w:tcBorders>
            <w:vAlign w:val="bottom"/>
            <w:hideMark/>
          </w:tcPr>
          <w:p w14:paraId="731DB801" w14:textId="77777777" w:rsidR="001631C6" w:rsidRPr="00B1049B" w:rsidRDefault="001631C6" w:rsidP="008F5322">
            <w:pPr>
              <w:rPr>
                <w:sz w:val="22"/>
                <w:szCs w:val="22"/>
                <w:lang w:val="en-US" w:eastAsia="en-GB"/>
              </w:rPr>
            </w:pPr>
            <w:r w:rsidRPr="00B1049B">
              <w:rPr>
                <w:sz w:val="22"/>
                <w:szCs w:val="22"/>
                <w:lang w:val="en-US" w:eastAsia="en-GB"/>
              </w:rPr>
              <w:t> </w:t>
            </w:r>
          </w:p>
        </w:tc>
        <w:tc>
          <w:tcPr>
            <w:tcW w:w="825" w:type="pct"/>
            <w:tcBorders>
              <w:top w:val="single" w:sz="4" w:space="0" w:color="auto"/>
              <w:bottom w:val="single" w:sz="4" w:space="0" w:color="auto"/>
            </w:tcBorders>
            <w:vAlign w:val="center"/>
            <w:hideMark/>
          </w:tcPr>
          <w:p w14:paraId="5628E5C3" w14:textId="77777777" w:rsidR="001631C6" w:rsidRPr="00B1049B" w:rsidRDefault="001631C6" w:rsidP="008F5322">
            <w:pPr>
              <w:jc w:val="center"/>
              <w:rPr>
                <w:bCs/>
                <w:sz w:val="22"/>
                <w:szCs w:val="22"/>
                <w:lang w:val="en-US" w:eastAsia="en-GB"/>
              </w:rPr>
            </w:pPr>
            <w:r w:rsidRPr="00B1049B">
              <w:rPr>
                <w:bCs/>
                <w:sz w:val="22"/>
                <w:szCs w:val="22"/>
                <w:lang w:val="en-US" w:eastAsia="en-GB"/>
              </w:rPr>
              <w:t>Model 1</w:t>
            </w:r>
          </w:p>
        </w:tc>
        <w:tc>
          <w:tcPr>
            <w:tcW w:w="1150" w:type="pct"/>
            <w:tcBorders>
              <w:top w:val="single" w:sz="4" w:space="0" w:color="auto"/>
              <w:bottom w:val="single" w:sz="4" w:space="0" w:color="auto"/>
            </w:tcBorders>
          </w:tcPr>
          <w:p w14:paraId="7A035D27" w14:textId="77777777" w:rsidR="001631C6" w:rsidRPr="00B1049B" w:rsidRDefault="001631C6" w:rsidP="008F5322">
            <w:pPr>
              <w:jc w:val="center"/>
              <w:rPr>
                <w:bCs/>
                <w:sz w:val="22"/>
                <w:szCs w:val="22"/>
                <w:lang w:val="en-US" w:eastAsia="en-GB"/>
              </w:rPr>
            </w:pPr>
            <w:r w:rsidRPr="00B1049B">
              <w:rPr>
                <w:bCs/>
                <w:sz w:val="22"/>
                <w:szCs w:val="22"/>
                <w:lang w:val="en-US" w:eastAsia="en-GB"/>
              </w:rPr>
              <w:t>Model 2</w:t>
            </w:r>
          </w:p>
        </w:tc>
      </w:tr>
      <w:tr w:rsidR="001631C6" w:rsidRPr="00B1049B" w14:paraId="03094B95" w14:textId="77777777" w:rsidTr="008F5322">
        <w:trPr>
          <w:trHeight w:val="135"/>
          <w:jc w:val="center"/>
        </w:trPr>
        <w:tc>
          <w:tcPr>
            <w:tcW w:w="3024" w:type="pct"/>
            <w:tcBorders>
              <w:top w:val="nil"/>
              <w:bottom w:val="single" w:sz="4" w:space="0" w:color="auto"/>
            </w:tcBorders>
            <w:vAlign w:val="bottom"/>
          </w:tcPr>
          <w:p w14:paraId="65B2C977" w14:textId="77777777" w:rsidR="001631C6" w:rsidRPr="00B1049B" w:rsidRDefault="001631C6" w:rsidP="008F5322">
            <w:pPr>
              <w:rPr>
                <w:sz w:val="22"/>
                <w:szCs w:val="22"/>
                <w:lang w:val="en-US" w:eastAsia="en-GB"/>
              </w:rPr>
            </w:pPr>
          </w:p>
        </w:tc>
        <w:tc>
          <w:tcPr>
            <w:tcW w:w="825" w:type="pct"/>
            <w:tcBorders>
              <w:top w:val="single" w:sz="4" w:space="0" w:color="auto"/>
              <w:bottom w:val="single" w:sz="4" w:space="0" w:color="auto"/>
            </w:tcBorders>
            <w:vAlign w:val="center"/>
          </w:tcPr>
          <w:p w14:paraId="16E7C2C2" w14:textId="77777777" w:rsidR="001631C6" w:rsidRPr="00B1049B" w:rsidRDefault="001631C6" w:rsidP="008F5322">
            <w:pPr>
              <w:jc w:val="center"/>
              <w:rPr>
                <w:bCs/>
                <w:sz w:val="22"/>
                <w:szCs w:val="22"/>
                <w:lang w:val="en-US" w:eastAsia="en-GB"/>
              </w:rPr>
            </w:pPr>
            <w:r w:rsidRPr="00B1049B">
              <w:rPr>
                <w:bCs/>
                <w:color w:val="000000"/>
                <w:sz w:val="22"/>
                <w:szCs w:val="22"/>
                <w:lang w:val="en-US" w:eastAsia="en-GB"/>
              </w:rPr>
              <w:t>%Domestic</w:t>
            </w:r>
          </w:p>
        </w:tc>
        <w:tc>
          <w:tcPr>
            <w:tcW w:w="1150" w:type="pct"/>
            <w:tcBorders>
              <w:top w:val="single" w:sz="4" w:space="0" w:color="auto"/>
              <w:bottom w:val="single" w:sz="4" w:space="0" w:color="auto"/>
            </w:tcBorders>
            <w:vAlign w:val="center"/>
          </w:tcPr>
          <w:p w14:paraId="54274EDD" w14:textId="77777777" w:rsidR="001631C6" w:rsidRPr="00B1049B" w:rsidRDefault="001631C6" w:rsidP="008F5322">
            <w:pPr>
              <w:jc w:val="center"/>
              <w:rPr>
                <w:bCs/>
                <w:sz w:val="22"/>
                <w:szCs w:val="22"/>
                <w:lang w:val="en-US" w:eastAsia="en-GB"/>
              </w:rPr>
            </w:pPr>
            <w:r w:rsidRPr="00B1049B">
              <w:rPr>
                <w:bCs/>
                <w:sz w:val="22"/>
                <w:szCs w:val="22"/>
                <w:lang w:val="en-US" w:eastAsia="en-GB"/>
              </w:rPr>
              <w:t>Oversubscription</w:t>
            </w:r>
          </w:p>
        </w:tc>
      </w:tr>
      <w:tr w:rsidR="001631C6" w:rsidRPr="00B1049B" w14:paraId="4F71D493" w14:textId="77777777" w:rsidTr="008F5322">
        <w:trPr>
          <w:trHeight w:val="225"/>
          <w:jc w:val="center"/>
        </w:trPr>
        <w:tc>
          <w:tcPr>
            <w:tcW w:w="3024" w:type="pct"/>
            <w:vMerge w:val="restart"/>
            <w:tcBorders>
              <w:top w:val="single" w:sz="4" w:space="0" w:color="auto"/>
              <w:left w:val="nil"/>
              <w:bottom w:val="nil"/>
              <w:right w:val="nil"/>
            </w:tcBorders>
            <w:noWrap/>
            <w:vAlign w:val="center"/>
          </w:tcPr>
          <w:p w14:paraId="16A537B2" w14:textId="77777777" w:rsidR="001631C6" w:rsidRPr="00B1049B" w:rsidRDefault="001631C6" w:rsidP="008F5322">
            <w:pPr>
              <w:rPr>
                <w:color w:val="000000"/>
                <w:sz w:val="22"/>
                <w:szCs w:val="22"/>
                <w:lang w:val="en-US" w:eastAsia="en-GB"/>
              </w:rPr>
            </w:pPr>
            <w:r w:rsidRPr="00B1049B">
              <w:rPr>
                <w:bCs/>
                <w:color w:val="000000"/>
                <w:sz w:val="22"/>
                <w:szCs w:val="22"/>
                <w:lang w:val="en-US" w:eastAsia="en-GB"/>
              </w:rPr>
              <w:t>% of Non-domestic BRs</w:t>
            </w:r>
          </w:p>
        </w:tc>
        <w:tc>
          <w:tcPr>
            <w:tcW w:w="825" w:type="pct"/>
            <w:tcBorders>
              <w:top w:val="nil"/>
              <w:left w:val="nil"/>
              <w:bottom w:val="nil"/>
              <w:right w:val="nil"/>
            </w:tcBorders>
          </w:tcPr>
          <w:p w14:paraId="5B5673B8" w14:textId="77777777" w:rsidR="001631C6" w:rsidRPr="00B1049B" w:rsidRDefault="001631C6" w:rsidP="008F5322">
            <w:pPr>
              <w:jc w:val="center"/>
              <w:rPr>
                <w:sz w:val="22"/>
                <w:szCs w:val="22"/>
              </w:rPr>
            </w:pPr>
            <w:r w:rsidRPr="00B1049B">
              <w:rPr>
                <w:sz w:val="22"/>
                <w:szCs w:val="22"/>
              </w:rPr>
              <w:t>-12.619***</w:t>
            </w:r>
          </w:p>
        </w:tc>
        <w:tc>
          <w:tcPr>
            <w:tcW w:w="1150" w:type="pct"/>
            <w:tcBorders>
              <w:top w:val="nil"/>
              <w:left w:val="nil"/>
              <w:bottom w:val="nil"/>
              <w:right w:val="nil"/>
            </w:tcBorders>
          </w:tcPr>
          <w:p w14:paraId="1EA23256" w14:textId="77777777" w:rsidR="001631C6" w:rsidRPr="00B1049B" w:rsidRDefault="001631C6" w:rsidP="008F5322">
            <w:pPr>
              <w:jc w:val="center"/>
              <w:rPr>
                <w:sz w:val="22"/>
                <w:szCs w:val="22"/>
              </w:rPr>
            </w:pPr>
            <w:r w:rsidRPr="00B1049B">
              <w:rPr>
                <w:sz w:val="22"/>
                <w:szCs w:val="22"/>
              </w:rPr>
              <w:t>0.315</w:t>
            </w:r>
          </w:p>
        </w:tc>
      </w:tr>
      <w:tr w:rsidR="001631C6" w:rsidRPr="00B1049B" w14:paraId="503B9DB3" w14:textId="77777777" w:rsidTr="008F5322">
        <w:trPr>
          <w:trHeight w:val="225"/>
          <w:jc w:val="center"/>
        </w:trPr>
        <w:tc>
          <w:tcPr>
            <w:tcW w:w="3024" w:type="pct"/>
            <w:vMerge/>
            <w:tcBorders>
              <w:top w:val="nil"/>
              <w:left w:val="nil"/>
              <w:bottom w:val="nil"/>
              <w:right w:val="nil"/>
            </w:tcBorders>
            <w:noWrap/>
            <w:vAlign w:val="center"/>
          </w:tcPr>
          <w:p w14:paraId="5CF4E23E" w14:textId="77777777" w:rsidR="001631C6" w:rsidRPr="00B1049B" w:rsidRDefault="001631C6" w:rsidP="008F5322">
            <w:pPr>
              <w:rPr>
                <w:sz w:val="22"/>
                <w:szCs w:val="22"/>
                <w:lang w:val="en-US" w:eastAsia="en-GB"/>
              </w:rPr>
            </w:pPr>
          </w:p>
        </w:tc>
        <w:tc>
          <w:tcPr>
            <w:tcW w:w="825" w:type="pct"/>
            <w:tcBorders>
              <w:top w:val="nil"/>
              <w:left w:val="nil"/>
              <w:bottom w:val="nil"/>
              <w:right w:val="nil"/>
            </w:tcBorders>
          </w:tcPr>
          <w:p w14:paraId="3998525E" w14:textId="77777777" w:rsidR="001631C6" w:rsidRPr="00B1049B" w:rsidRDefault="001631C6" w:rsidP="008F5322">
            <w:pPr>
              <w:jc w:val="center"/>
              <w:rPr>
                <w:sz w:val="22"/>
                <w:szCs w:val="22"/>
              </w:rPr>
            </w:pPr>
            <w:r w:rsidRPr="00B1049B">
              <w:rPr>
                <w:sz w:val="22"/>
                <w:szCs w:val="22"/>
              </w:rPr>
              <w:t>(3.259)</w:t>
            </w:r>
          </w:p>
        </w:tc>
        <w:tc>
          <w:tcPr>
            <w:tcW w:w="1150" w:type="pct"/>
            <w:tcBorders>
              <w:top w:val="nil"/>
              <w:left w:val="nil"/>
              <w:bottom w:val="nil"/>
              <w:right w:val="nil"/>
            </w:tcBorders>
          </w:tcPr>
          <w:p w14:paraId="239CC4EE" w14:textId="77777777" w:rsidR="001631C6" w:rsidRPr="00B1049B" w:rsidRDefault="001631C6" w:rsidP="008F5322">
            <w:pPr>
              <w:jc w:val="center"/>
              <w:rPr>
                <w:sz w:val="22"/>
                <w:szCs w:val="22"/>
              </w:rPr>
            </w:pPr>
            <w:r w:rsidRPr="00B1049B">
              <w:rPr>
                <w:sz w:val="22"/>
                <w:szCs w:val="22"/>
              </w:rPr>
              <w:t>(0.263)</w:t>
            </w:r>
          </w:p>
        </w:tc>
      </w:tr>
      <w:tr w:rsidR="001631C6" w:rsidRPr="00B1049B" w14:paraId="5F521892" w14:textId="77777777" w:rsidTr="008F5322">
        <w:trPr>
          <w:trHeight w:val="225"/>
          <w:jc w:val="center"/>
        </w:trPr>
        <w:tc>
          <w:tcPr>
            <w:tcW w:w="3024" w:type="pct"/>
            <w:vMerge w:val="restart"/>
            <w:tcBorders>
              <w:top w:val="nil"/>
              <w:left w:val="nil"/>
              <w:right w:val="nil"/>
            </w:tcBorders>
            <w:noWrap/>
            <w:vAlign w:val="center"/>
          </w:tcPr>
          <w:p w14:paraId="1A1DC18F" w14:textId="77777777" w:rsidR="001631C6" w:rsidRPr="00B1049B" w:rsidRDefault="001631C6" w:rsidP="008F5322">
            <w:pPr>
              <w:rPr>
                <w:bCs/>
                <w:color w:val="000000"/>
                <w:sz w:val="22"/>
                <w:szCs w:val="22"/>
                <w:lang w:val="en-US" w:eastAsia="en-GB"/>
              </w:rPr>
            </w:pPr>
            <w:r w:rsidRPr="00B1049B">
              <w:rPr>
                <w:bCs/>
                <w:color w:val="000000"/>
                <w:sz w:val="22"/>
                <w:szCs w:val="22"/>
                <w:lang w:val="en-US" w:eastAsia="en-GB"/>
              </w:rPr>
              <w:t>% of BRs prior lender</w:t>
            </w:r>
          </w:p>
        </w:tc>
        <w:tc>
          <w:tcPr>
            <w:tcW w:w="825" w:type="pct"/>
            <w:tcBorders>
              <w:top w:val="nil"/>
              <w:left w:val="nil"/>
              <w:bottom w:val="nil"/>
              <w:right w:val="nil"/>
            </w:tcBorders>
          </w:tcPr>
          <w:p w14:paraId="02974326" w14:textId="77777777" w:rsidR="001631C6" w:rsidRPr="00B1049B" w:rsidRDefault="001631C6" w:rsidP="008F5322">
            <w:pPr>
              <w:jc w:val="center"/>
              <w:rPr>
                <w:sz w:val="22"/>
                <w:szCs w:val="22"/>
              </w:rPr>
            </w:pPr>
            <w:r w:rsidRPr="00B1049B">
              <w:rPr>
                <w:sz w:val="22"/>
                <w:szCs w:val="22"/>
              </w:rPr>
              <w:t>1.935</w:t>
            </w:r>
          </w:p>
        </w:tc>
        <w:tc>
          <w:tcPr>
            <w:tcW w:w="1150" w:type="pct"/>
            <w:tcBorders>
              <w:top w:val="nil"/>
              <w:left w:val="nil"/>
              <w:bottom w:val="nil"/>
              <w:right w:val="nil"/>
            </w:tcBorders>
          </w:tcPr>
          <w:p w14:paraId="7FF7C51E" w14:textId="77777777" w:rsidR="001631C6" w:rsidRPr="00B1049B" w:rsidRDefault="001631C6" w:rsidP="008F5322">
            <w:pPr>
              <w:jc w:val="center"/>
              <w:rPr>
                <w:sz w:val="22"/>
                <w:szCs w:val="22"/>
              </w:rPr>
            </w:pPr>
            <w:r w:rsidRPr="00B1049B">
              <w:rPr>
                <w:sz w:val="22"/>
                <w:szCs w:val="22"/>
              </w:rPr>
              <w:t>0.436***</w:t>
            </w:r>
          </w:p>
        </w:tc>
      </w:tr>
      <w:tr w:rsidR="001631C6" w:rsidRPr="00B1049B" w14:paraId="5BE338E3" w14:textId="77777777" w:rsidTr="008F5322">
        <w:trPr>
          <w:trHeight w:val="225"/>
          <w:jc w:val="center"/>
        </w:trPr>
        <w:tc>
          <w:tcPr>
            <w:tcW w:w="3024" w:type="pct"/>
            <w:vMerge/>
            <w:tcBorders>
              <w:left w:val="nil"/>
              <w:bottom w:val="nil"/>
              <w:right w:val="nil"/>
            </w:tcBorders>
            <w:noWrap/>
            <w:vAlign w:val="center"/>
          </w:tcPr>
          <w:p w14:paraId="6B856F94" w14:textId="77777777" w:rsidR="001631C6" w:rsidRPr="00B1049B" w:rsidRDefault="001631C6" w:rsidP="008F5322">
            <w:pPr>
              <w:rPr>
                <w:color w:val="000000"/>
                <w:sz w:val="22"/>
                <w:szCs w:val="22"/>
                <w:lang w:val="en-US" w:eastAsia="en-GB"/>
              </w:rPr>
            </w:pPr>
          </w:p>
        </w:tc>
        <w:tc>
          <w:tcPr>
            <w:tcW w:w="825" w:type="pct"/>
            <w:tcBorders>
              <w:top w:val="nil"/>
              <w:left w:val="nil"/>
              <w:bottom w:val="nil"/>
              <w:right w:val="nil"/>
            </w:tcBorders>
          </w:tcPr>
          <w:p w14:paraId="79167919" w14:textId="77777777" w:rsidR="001631C6" w:rsidRPr="00B1049B" w:rsidRDefault="001631C6" w:rsidP="008F5322">
            <w:pPr>
              <w:jc w:val="center"/>
              <w:rPr>
                <w:sz w:val="22"/>
                <w:szCs w:val="22"/>
              </w:rPr>
            </w:pPr>
            <w:r w:rsidRPr="00B1049B">
              <w:rPr>
                <w:sz w:val="22"/>
                <w:szCs w:val="22"/>
              </w:rPr>
              <w:t>(1.593)</w:t>
            </w:r>
          </w:p>
        </w:tc>
        <w:tc>
          <w:tcPr>
            <w:tcW w:w="1150" w:type="pct"/>
            <w:tcBorders>
              <w:top w:val="nil"/>
              <w:left w:val="nil"/>
              <w:bottom w:val="nil"/>
              <w:right w:val="nil"/>
            </w:tcBorders>
          </w:tcPr>
          <w:p w14:paraId="6E30A97E" w14:textId="77777777" w:rsidR="001631C6" w:rsidRPr="00B1049B" w:rsidRDefault="001631C6" w:rsidP="008F5322">
            <w:pPr>
              <w:jc w:val="center"/>
              <w:rPr>
                <w:sz w:val="22"/>
                <w:szCs w:val="22"/>
              </w:rPr>
            </w:pPr>
            <w:r w:rsidRPr="00B1049B">
              <w:rPr>
                <w:sz w:val="22"/>
                <w:szCs w:val="22"/>
              </w:rPr>
              <w:t>(0.157)</w:t>
            </w:r>
          </w:p>
        </w:tc>
      </w:tr>
      <w:tr w:rsidR="001631C6" w:rsidRPr="00B1049B" w14:paraId="07DDFDA2" w14:textId="77777777" w:rsidTr="008F5322">
        <w:trPr>
          <w:trHeight w:val="225"/>
          <w:jc w:val="center"/>
        </w:trPr>
        <w:tc>
          <w:tcPr>
            <w:tcW w:w="3024" w:type="pct"/>
            <w:vMerge w:val="restart"/>
            <w:tcBorders>
              <w:top w:val="nil"/>
              <w:left w:val="nil"/>
              <w:bottom w:val="nil"/>
              <w:right w:val="nil"/>
            </w:tcBorders>
            <w:noWrap/>
            <w:vAlign w:val="center"/>
            <w:hideMark/>
          </w:tcPr>
          <w:p w14:paraId="370A4EE2" w14:textId="77777777" w:rsidR="001631C6" w:rsidRPr="00B1049B" w:rsidRDefault="001631C6" w:rsidP="008F5322">
            <w:pPr>
              <w:rPr>
                <w:iCs/>
                <w:sz w:val="22"/>
                <w:szCs w:val="22"/>
                <w:lang w:val="en-US" w:eastAsia="en-GB"/>
              </w:rPr>
            </w:pPr>
            <w:r w:rsidRPr="00B1049B">
              <w:rPr>
                <w:color w:val="000000"/>
                <w:sz w:val="22"/>
                <w:szCs w:val="22"/>
                <w:lang w:val="en-US" w:eastAsia="en-GB"/>
              </w:rPr>
              <w:t>Firm size</w:t>
            </w:r>
          </w:p>
        </w:tc>
        <w:tc>
          <w:tcPr>
            <w:tcW w:w="825" w:type="pct"/>
            <w:tcBorders>
              <w:top w:val="nil"/>
              <w:left w:val="nil"/>
              <w:bottom w:val="nil"/>
              <w:right w:val="nil"/>
            </w:tcBorders>
          </w:tcPr>
          <w:p w14:paraId="2180F597" w14:textId="77777777" w:rsidR="001631C6" w:rsidRPr="00B1049B" w:rsidRDefault="001631C6" w:rsidP="008F5322">
            <w:pPr>
              <w:jc w:val="center"/>
              <w:rPr>
                <w:sz w:val="22"/>
                <w:szCs w:val="22"/>
              </w:rPr>
            </w:pPr>
            <w:r w:rsidRPr="00B1049B">
              <w:rPr>
                <w:sz w:val="22"/>
                <w:szCs w:val="22"/>
              </w:rPr>
              <w:t>-1.039</w:t>
            </w:r>
          </w:p>
        </w:tc>
        <w:tc>
          <w:tcPr>
            <w:tcW w:w="1150" w:type="pct"/>
            <w:tcBorders>
              <w:top w:val="nil"/>
              <w:left w:val="nil"/>
              <w:bottom w:val="nil"/>
              <w:right w:val="nil"/>
            </w:tcBorders>
          </w:tcPr>
          <w:p w14:paraId="6B5A7240" w14:textId="77777777" w:rsidR="001631C6" w:rsidRPr="00B1049B" w:rsidRDefault="001631C6" w:rsidP="008F5322">
            <w:pPr>
              <w:jc w:val="center"/>
              <w:rPr>
                <w:sz w:val="22"/>
                <w:szCs w:val="22"/>
              </w:rPr>
            </w:pPr>
            <w:r w:rsidRPr="00B1049B">
              <w:rPr>
                <w:sz w:val="22"/>
                <w:szCs w:val="22"/>
              </w:rPr>
              <w:t>-0.414***</w:t>
            </w:r>
          </w:p>
        </w:tc>
      </w:tr>
      <w:tr w:rsidR="001631C6" w:rsidRPr="00B1049B" w14:paraId="559E4295" w14:textId="77777777" w:rsidTr="008F5322">
        <w:trPr>
          <w:trHeight w:val="225"/>
          <w:jc w:val="center"/>
        </w:trPr>
        <w:tc>
          <w:tcPr>
            <w:tcW w:w="3024" w:type="pct"/>
            <w:vMerge/>
            <w:tcBorders>
              <w:top w:val="nil"/>
              <w:left w:val="nil"/>
              <w:bottom w:val="nil"/>
              <w:right w:val="nil"/>
            </w:tcBorders>
            <w:noWrap/>
            <w:vAlign w:val="center"/>
            <w:hideMark/>
          </w:tcPr>
          <w:p w14:paraId="6A57F768"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4BBB3C87" w14:textId="77777777" w:rsidR="001631C6" w:rsidRPr="00B1049B" w:rsidRDefault="001631C6" w:rsidP="008F5322">
            <w:pPr>
              <w:jc w:val="center"/>
              <w:rPr>
                <w:sz w:val="22"/>
                <w:szCs w:val="22"/>
              </w:rPr>
            </w:pPr>
            <w:r w:rsidRPr="00B1049B">
              <w:rPr>
                <w:sz w:val="22"/>
                <w:szCs w:val="22"/>
              </w:rPr>
              <w:t>(0.897)</w:t>
            </w:r>
          </w:p>
        </w:tc>
        <w:tc>
          <w:tcPr>
            <w:tcW w:w="1150" w:type="pct"/>
            <w:tcBorders>
              <w:top w:val="nil"/>
              <w:left w:val="nil"/>
              <w:bottom w:val="nil"/>
              <w:right w:val="nil"/>
            </w:tcBorders>
          </w:tcPr>
          <w:p w14:paraId="690DE886" w14:textId="77777777" w:rsidR="001631C6" w:rsidRPr="00B1049B" w:rsidRDefault="001631C6" w:rsidP="008F5322">
            <w:pPr>
              <w:jc w:val="center"/>
              <w:rPr>
                <w:sz w:val="22"/>
                <w:szCs w:val="22"/>
              </w:rPr>
            </w:pPr>
            <w:r w:rsidRPr="00B1049B">
              <w:rPr>
                <w:sz w:val="22"/>
                <w:szCs w:val="22"/>
              </w:rPr>
              <w:t>(0.077)</w:t>
            </w:r>
          </w:p>
        </w:tc>
      </w:tr>
      <w:tr w:rsidR="001631C6" w:rsidRPr="00B1049B" w14:paraId="64B5C6C3" w14:textId="77777777" w:rsidTr="008F5322">
        <w:trPr>
          <w:trHeight w:val="225"/>
          <w:jc w:val="center"/>
        </w:trPr>
        <w:tc>
          <w:tcPr>
            <w:tcW w:w="3024" w:type="pct"/>
            <w:vMerge w:val="restart"/>
            <w:tcBorders>
              <w:top w:val="nil"/>
              <w:left w:val="nil"/>
              <w:bottom w:val="nil"/>
              <w:right w:val="nil"/>
            </w:tcBorders>
            <w:noWrap/>
            <w:vAlign w:val="center"/>
            <w:hideMark/>
          </w:tcPr>
          <w:p w14:paraId="336D292B" w14:textId="77777777" w:rsidR="001631C6" w:rsidRPr="00B1049B" w:rsidRDefault="001631C6" w:rsidP="008F5322">
            <w:pPr>
              <w:rPr>
                <w:i/>
                <w:iCs/>
                <w:sz w:val="22"/>
                <w:szCs w:val="22"/>
                <w:lang w:val="en-US" w:eastAsia="en-GB"/>
              </w:rPr>
            </w:pPr>
            <w:r w:rsidRPr="00B1049B">
              <w:rPr>
                <w:color w:val="000000"/>
                <w:sz w:val="22"/>
                <w:szCs w:val="22"/>
                <w:lang w:val="en-US" w:eastAsia="en-GB"/>
              </w:rPr>
              <w:t>Profitability</w:t>
            </w:r>
          </w:p>
        </w:tc>
        <w:tc>
          <w:tcPr>
            <w:tcW w:w="825" w:type="pct"/>
            <w:tcBorders>
              <w:top w:val="nil"/>
              <w:left w:val="nil"/>
              <w:bottom w:val="nil"/>
              <w:right w:val="nil"/>
            </w:tcBorders>
          </w:tcPr>
          <w:p w14:paraId="7DD124B1" w14:textId="77777777" w:rsidR="001631C6" w:rsidRPr="00B1049B" w:rsidRDefault="001631C6" w:rsidP="008F5322">
            <w:pPr>
              <w:jc w:val="center"/>
              <w:rPr>
                <w:sz w:val="22"/>
                <w:szCs w:val="22"/>
              </w:rPr>
            </w:pPr>
            <w:r w:rsidRPr="00B1049B">
              <w:rPr>
                <w:sz w:val="22"/>
                <w:szCs w:val="22"/>
              </w:rPr>
              <w:t>14.589</w:t>
            </w:r>
          </w:p>
        </w:tc>
        <w:tc>
          <w:tcPr>
            <w:tcW w:w="1150" w:type="pct"/>
            <w:tcBorders>
              <w:top w:val="nil"/>
              <w:left w:val="nil"/>
              <w:bottom w:val="nil"/>
              <w:right w:val="nil"/>
            </w:tcBorders>
          </w:tcPr>
          <w:p w14:paraId="5B79A4D8" w14:textId="77777777" w:rsidR="001631C6" w:rsidRPr="00B1049B" w:rsidRDefault="001631C6" w:rsidP="008F5322">
            <w:pPr>
              <w:jc w:val="center"/>
              <w:rPr>
                <w:sz w:val="22"/>
                <w:szCs w:val="22"/>
              </w:rPr>
            </w:pPr>
            <w:r w:rsidRPr="00B1049B">
              <w:rPr>
                <w:sz w:val="22"/>
                <w:szCs w:val="22"/>
              </w:rPr>
              <w:t>-1.394</w:t>
            </w:r>
          </w:p>
        </w:tc>
      </w:tr>
      <w:tr w:rsidR="001631C6" w:rsidRPr="00B1049B" w14:paraId="2CD5A2E4" w14:textId="77777777" w:rsidTr="008F5322">
        <w:trPr>
          <w:trHeight w:val="225"/>
          <w:jc w:val="center"/>
        </w:trPr>
        <w:tc>
          <w:tcPr>
            <w:tcW w:w="3024" w:type="pct"/>
            <w:vMerge/>
            <w:tcBorders>
              <w:top w:val="nil"/>
              <w:left w:val="nil"/>
              <w:bottom w:val="nil"/>
              <w:right w:val="nil"/>
            </w:tcBorders>
            <w:noWrap/>
            <w:vAlign w:val="center"/>
            <w:hideMark/>
          </w:tcPr>
          <w:p w14:paraId="2C970DF1"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39FEADFE" w14:textId="77777777" w:rsidR="001631C6" w:rsidRPr="00B1049B" w:rsidRDefault="001631C6" w:rsidP="008F5322">
            <w:pPr>
              <w:jc w:val="center"/>
              <w:rPr>
                <w:sz w:val="22"/>
                <w:szCs w:val="22"/>
              </w:rPr>
            </w:pPr>
            <w:r w:rsidRPr="00B1049B">
              <w:rPr>
                <w:sz w:val="22"/>
                <w:szCs w:val="22"/>
              </w:rPr>
              <w:t>(25.975)</w:t>
            </w:r>
          </w:p>
        </w:tc>
        <w:tc>
          <w:tcPr>
            <w:tcW w:w="1150" w:type="pct"/>
            <w:tcBorders>
              <w:top w:val="nil"/>
              <w:left w:val="nil"/>
              <w:bottom w:val="nil"/>
              <w:right w:val="nil"/>
            </w:tcBorders>
          </w:tcPr>
          <w:p w14:paraId="7A65C223" w14:textId="77777777" w:rsidR="001631C6" w:rsidRPr="00B1049B" w:rsidRDefault="001631C6" w:rsidP="008F5322">
            <w:pPr>
              <w:jc w:val="center"/>
              <w:rPr>
                <w:sz w:val="22"/>
                <w:szCs w:val="22"/>
              </w:rPr>
            </w:pPr>
            <w:r w:rsidRPr="00B1049B">
              <w:rPr>
                <w:sz w:val="22"/>
                <w:szCs w:val="22"/>
              </w:rPr>
              <w:t>(1.508)</w:t>
            </w:r>
          </w:p>
        </w:tc>
      </w:tr>
      <w:tr w:rsidR="001631C6" w:rsidRPr="00B1049B" w14:paraId="39ABCD46" w14:textId="77777777" w:rsidTr="008F5322">
        <w:trPr>
          <w:trHeight w:val="225"/>
          <w:jc w:val="center"/>
        </w:trPr>
        <w:tc>
          <w:tcPr>
            <w:tcW w:w="3024" w:type="pct"/>
            <w:vMerge w:val="restart"/>
            <w:tcBorders>
              <w:top w:val="nil"/>
              <w:left w:val="nil"/>
              <w:bottom w:val="nil"/>
              <w:right w:val="nil"/>
            </w:tcBorders>
            <w:noWrap/>
            <w:vAlign w:val="center"/>
            <w:hideMark/>
          </w:tcPr>
          <w:p w14:paraId="1AD6C724" w14:textId="77777777" w:rsidR="001631C6" w:rsidRPr="00B1049B" w:rsidRDefault="001631C6" w:rsidP="008F5322">
            <w:pPr>
              <w:rPr>
                <w:i/>
                <w:iCs/>
                <w:sz w:val="22"/>
                <w:szCs w:val="22"/>
                <w:lang w:val="en-US" w:eastAsia="en-GB"/>
              </w:rPr>
            </w:pPr>
            <w:r w:rsidRPr="00B1049B">
              <w:rPr>
                <w:color w:val="000000"/>
                <w:sz w:val="22"/>
                <w:szCs w:val="22"/>
                <w:lang w:val="en-US" w:eastAsia="en-GB"/>
              </w:rPr>
              <w:t>Intangible assets</w:t>
            </w:r>
          </w:p>
        </w:tc>
        <w:tc>
          <w:tcPr>
            <w:tcW w:w="825" w:type="pct"/>
            <w:tcBorders>
              <w:top w:val="nil"/>
              <w:left w:val="nil"/>
              <w:bottom w:val="nil"/>
              <w:right w:val="nil"/>
            </w:tcBorders>
          </w:tcPr>
          <w:p w14:paraId="3CA28067" w14:textId="77777777" w:rsidR="001631C6" w:rsidRPr="00B1049B" w:rsidRDefault="001631C6" w:rsidP="008F5322">
            <w:pPr>
              <w:jc w:val="center"/>
              <w:rPr>
                <w:sz w:val="22"/>
                <w:szCs w:val="22"/>
              </w:rPr>
            </w:pPr>
            <w:r w:rsidRPr="00B1049B">
              <w:rPr>
                <w:sz w:val="22"/>
                <w:szCs w:val="22"/>
              </w:rPr>
              <w:t>4.560</w:t>
            </w:r>
          </w:p>
        </w:tc>
        <w:tc>
          <w:tcPr>
            <w:tcW w:w="1150" w:type="pct"/>
            <w:tcBorders>
              <w:top w:val="nil"/>
              <w:left w:val="nil"/>
              <w:bottom w:val="nil"/>
              <w:right w:val="nil"/>
            </w:tcBorders>
          </w:tcPr>
          <w:p w14:paraId="4124BE78" w14:textId="77777777" w:rsidR="001631C6" w:rsidRPr="00B1049B" w:rsidRDefault="001631C6" w:rsidP="008F5322">
            <w:pPr>
              <w:jc w:val="center"/>
              <w:rPr>
                <w:sz w:val="22"/>
                <w:szCs w:val="22"/>
              </w:rPr>
            </w:pPr>
            <w:r w:rsidRPr="00B1049B">
              <w:rPr>
                <w:sz w:val="22"/>
                <w:szCs w:val="22"/>
              </w:rPr>
              <w:t>-0.122</w:t>
            </w:r>
          </w:p>
        </w:tc>
      </w:tr>
      <w:tr w:rsidR="001631C6" w:rsidRPr="00B1049B" w14:paraId="038D1CA8" w14:textId="77777777" w:rsidTr="008F5322">
        <w:trPr>
          <w:trHeight w:val="225"/>
          <w:jc w:val="center"/>
        </w:trPr>
        <w:tc>
          <w:tcPr>
            <w:tcW w:w="3024" w:type="pct"/>
            <w:vMerge/>
            <w:tcBorders>
              <w:top w:val="nil"/>
              <w:left w:val="nil"/>
              <w:bottom w:val="nil"/>
              <w:right w:val="nil"/>
            </w:tcBorders>
            <w:noWrap/>
            <w:vAlign w:val="center"/>
            <w:hideMark/>
          </w:tcPr>
          <w:p w14:paraId="0EEEBB71"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77999CB0" w14:textId="77777777" w:rsidR="001631C6" w:rsidRPr="00B1049B" w:rsidRDefault="001631C6" w:rsidP="008F5322">
            <w:pPr>
              <w:jc w:val="center"/>
              <w:rPr>
                <w:sz w:val="22"/>
                <w:szCs w:val="22"/>
              </w:rPr>
            </w:pPr>
            <w:r w:rsidRPr="00B1049B">
              <w:rPr>
                <w:sz w:val="22"/>
                <w:szCs w:val="22"/>
              </w:rPr>
              <w:t>(4.547)</w:t>
            </w:r>
          </w:p>
        </w:tc>
        <w:tc>
          <w:tcPr>
            <w:tcW w:w="1150" w:type="pct"/>
            <w:tcBorders>
              <w:top w:val="nil"/>
              <w:left w:val="nil"/>
              <w:bottom w:val="nil"/>
              <w:right w:val="nil"/>
            </w:tcBorders>
          </w:tcPr>
          <w:p w14:paraId="5B1D0672" w14:textId="77777777" w:rsidR="001631C6" w:rsidRPr="00B1049B" w:rsidRDefault="001631C6" w:rsidP="008F5322">
            <w:pPr>
              <w:jc w:val="center"/>
              <w:rPr>
                <w:sz w:val="22"/>
                <w:szCs w:val="22"/>
              </w:rPr>
            </w:pPr>
            <w:r w:rsidRPr="00B1049B">
              <w:rPr>
                <w:sz w:val="22"/>
                <w:szCs w:val="22"/>
              </w:rPr>
              <w:t>(0.350)</w:t>
            </w:r>
          </w:p>
        </w:tc>
      </w:tr>
      <w:tr w:rsidR="001631C6" w:rsidRPr="00B1049B" w14:paraId="78E79CCF" w14:textId="77777777" w:rsidTr="008F5322">
        <w:trPr>
          <w:trHeight w:val="225"/>
          <w:jc w:val="center"/>
        </w:trPr>
        <w:tc>
          <w:tcPr>
            <w:tcW w:w="3024" w:type="pct"/>
            <w:vMerge w:val="restart"/>
            <w:tcBorders>
              <w:top w:val="nil"/>
              <w:left w:val="nil"/>
              <w:bottom w:val="nil"/>
              <w:right w:val="nil"/>
            </w:tcBorders>
            <w:noWrap/>
            <w:vAlign w:val="center"/>
            <w:hideMark/>
          </w:tcPr>
          <w:p w14:paraId="57911952" w14:textId="77777777" w:rsidR="001631C6" w:rsidRPr="00B1049B" w:rsidRDefault="001631C6" w:rsidP="008F5322">
            <w:pPr>
              <w:rPr>
                <w:i/>
                <w:iCs/>
                <w:sz w:val="22"/>
                <w:szCs w:val="22"/>
                <w:lang w:val="en-US" w:eastAsia="en-GB"/>
              </w:rPr>
            </w:pPr>
            <w:r w:rsidRPr="00B1049B">
              <w:rPr>
                <w:color w:val="000000"/>
                <w:sz w:val="22"/>
                <w:szCs w:val="22"/>
                <w:lang w:val="en-US" w:eastAsia="en-GB"/>
              </w:rPr>
              <w:t>Leverage</w:t>
            </w:r>
          </w:p>
        </w:tc>
        <w:tc>
          <w:tcPr>
            <w:tcW w:w="825" w:type="pct"/>
            <w:tcBorders>
              <w:top w:val="nil"/>
              <w:left w:val="nil"/>
              <w:bottom w:val="nil"/>
              <w:right w:val="nil"/>
            </w:tcBorders>
          </w:tcPr>
          <w:p w14:paraId="748532C8" w14:textId="77777777" w:rsidR="001631C6" w:rsidRPr="00B1049B" w:rsidRDefault="001631C6" w:rsidP="008F5322">
            <w:pPr>
              <w:jc w:val="center"/>
              <w:rPr>
                <w:sz w:val="22"/>
                <w:szCs w:val="22"/>
              </w:rPr>
            </w:pPr>
            <w:r w:rsidRPr="00B1049B">
              <w:rPr>
                <w:sz w:val="22"/>
                <w:szCs w:val="22"/>
              </w:rPr>
              <w:t>-11.345*</w:t>
            </w:r>
          </w:p>
        </w:tc>
        <w:tc>
          <w:tcPr>
            <w:tcW w:w="1150" w:type="pct"/>
            <w:tcBorders>
              <w:top w:val="nil"/>
              <w:left w:val="nil"/>
              <w:bottom w:val="nil"/>
              <w:right w:val="nil"/>
            </w:tcBorders>
          </w:tcPr>
          <w:p w14:paraId="34FA1440" w14:textId="77777777" w:rsidR="001631C6" w:rsidRPr="00B1049B" w:rsidRDefault="001631C6" w:rsidP="008F5322">
            <w:pPr>
              <w:jc w:val="center"/>
              <w:rPr>
                <w:sz w:val="22"/>
                <w:szCs w:val="22"/>
              </w:rPr>
            </w:pPr>
            <w:r w:rsidRPr="00B1049B">
              <w:rPr>
                <w:sz w:val="22"/>
                <w:szCs w:val="22"/>
              </w:rPr>
              <w:t>-1.101*</w:t>
            </w:r>
          </w:p>
        </w:tc>
      </w:tr>
      <w:tr w:rsidR="001631C6" w:rsidRPr="00B1049B" w14:paraId="5EB7A7B3" w14:textId="77777777" w:rsidTr="008F5322">
        <w:trPr>
          <w:trHeight w:val="225"/>
          <w:jc w:val="center"/>
        </w:trPr>
        <w:tc>
          <w:tcPr>
            <w:tcW w:w="3024" w:type="pct"/>
            <w:vMerge/>
            <w:tcBorders>
              <w:top w:val="nil"/>
              <w:left w:val="nil"/>
              <w:bottom w:val="nil"/>
              <w:right w:val="nil"/>
            </w:tcBorders>
            <w:noWrap/>
            <w:vAlign w:val="center"/>
            <w:hideMark/>
          </w:tcPr>
          <w:p w14:paraId="6877AEED"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527EB282" w14:textId="77777777" w:rsidR="001631C6" w:rsidRPr="00B1049B" w:rsidRDefault="001631C6" w:rsidP="008F5322">
            <w:pPr>
              <w:jc w:val="center"/>
              <w:rPr>
                <w:sz w:val="22"/>
                <w:szCs w:val="22"/>
              </w:rPr>
            </w:pPr>
            <w:r w:rsidRPr="00B1049B">
              <w:rPr>
                <w:sz w:val="22"/>
                <w:szCs w:val="22"/>
              </w:rPr>
              <w:t>(6.411)</w:t>
            </w:r>
          </w:p>
        </w:tc>
        <w:tc>
          <w:tcPr>
            <w:tcW w:w="1150" w:type="pct"/>
            <w:tcBorders>
              <w:top w:val="nil"/>
              <w:left w:val="nil"/>
              <w:bottom w:val="nil"/>
              <w:right w:val="nil"/>
            </w:tcBorders>
          </w:tcPr>
          <w:p w14:paraId="6192FB18" w14:textId="77777777" w:rsidR="001631C6" w:rsidRPr="00B1049B" w:rsidRDefault="001631C6" w:rsidP="008F5322">
            <w:pPr>
              <w:jc w:val="center"/>
              <w:rPr>
                <w:sz w:val="22"/>
                <w:szCs w:val="22"/>
              </w:rPr>
            </w:pPr>
            <w:r w:rsidRPr="00B1049B">
              <w:rPr>
                <w:sz w:val="22"/>
                <w:szCs w:val="22"/>
              </w:rPr>
              <w:t>(0.593)</w:t>
            </w:r>
          </w:p>
        </w:tc>
      </w:tr>
      <w:tr w:rsidR="001631C6" w:rsidRPr="00B1049B" w14:paraId="5724B9DA" w14:textId="77777777" w:rsidTr="008F5322">
        <w:trPr>
          <w:trHeight w:val="225"/>
          <w:jc w:val="center"/>
        </w:trPr>
        <w:tc>
          <w:tcPr>
            <w:tcW w:w="3024" w:type="pct"/>
            <w:vMerge w:val="restart"/>
            <w:tcBorders>
              <w:top w:val="nil"/>
              <w:left w:val="nil"/>
              <w:bottom w:val="nil"/>
              <w:right w:val="nil"/>
            </w:tcBorders>
            <w:noWrap/>
            <w:vAlign w:val="center"/>
            <w:hideMark/>
          </w:tcPr>
          <w:p w14:paraId="46A97204" w14:textId="77777777" w:rsidR="001631C6" w:rsidRPr="00B1049B" w:rsidRDefault="001631C6" w:rsidP="008F5322">
            <w:pPr>
              <w:rPr>
                <w:i/>
                <w:iCs/>
                <w:sz w:val="22"/>
                <w:szCs w:val="22"/>
                <w:lang w:val="en-US" w:eastAsia="en-GB"/>
              </w:rPr>
            </w:pPr>
            <w:r w:rsidRPr="00B1049B">
              <w:rPr>
                <w:color w:val="000000"/>
                <w:sz w:val="22"/>
                <w:szCs w:val="22"/>
                <w:lang w:val="en-US" w:eastAsia="en-GB"/>
              </w:rPr>
              <w:t>Growth opportunities</w:t>
            </w:r>
          </w:p>
        </w:tc>
        <w:tc>
          <w:tcPr>
            <w:tcW w:w="825" w:type="pct"/>
            <w:tcBorders>
              <w:top w:val="nil"/>
              <w:left w:val="nil"/>
              <w:bottom w:val="nil"/>
              <w:right w:val="nil"/>
            </w:tcBorders>
          </w:tcPr>
          <w:p w14:paraId="6D87E42F" w14:textId="77777777" w:rsidR="001631C6" w:rsidRPr="00B1049B" w:rsidRDefault="001631C6" w:rsidP="008F5322">
            <w:pPr>
              <w:jc w:val="center"/>
              <w:rPr>
                <w:sz w:val="22"/>
                <w:szCs w:val="22"/>
              </w:rPr>
            </w:pPr>
            <w:r w:rsidRPr="00B1049B">
              <w:rPr>
                <w:sz w:val="22"/>
                <w:szCs w:val="22"/>
              </w:rPr>
              <w:t>-3.582**</w:t>
            </w:r>
          </w:p>
        </w:tc>
        <w:tc>
          <w:tcPr>
            <w:tcW w:w="1150" w:type="pct"/>
            <w:tcBorders>
              <w:top w:val="nil"/>
              <w:left w:val="nil"/>
              <w:bottom w:val="nil"/>
              <w:right w:val="nil"/>
            </w:tcBorders>
          </w:tcPr>
          <w:p w14:paraId="1149CC06" w14:textId="77777777" w:rsidR="001631C6" w:rsidRPr="00B1049B" w:rsidRDefault="001631C6" w:rsidP="008F5322">
            <w:pPr>
              <w:jc w:val="center"/>
              <w:rPr>
                <w:sz w:val="22"/>
                <w:szCs w:val="22"/>
              </w:rPr>
            </w:pPr>
            <w:r w:rsidRPr="00B1049B">
              <w:rPr>
                <w:sz w:val="22"/>
                <w:szCs w:val="22"/>
              </w:rPr>
              <w:t>0.393**</w:t>
            </w:r>
          </w:p>
        </w:tc>
      </w:tr>
      <w:tr w:rsidR="001631C6" w:rsidRPr="00B1049B" w14:paraId="46925185" w14:textId="77777777" w:rsidTr="008F5322">
        <w:trPr>
          <w:trHeight w:val="225"/>
          <w:jc w:val="center"/>
        </w:trPr>
        <w:tc>
          <w:tcPr>
            <w:tcW w:w="3024" w:type="pct"/>
            <w:vMerge/>
            <w:tcBorders>
              <w:top w:val="nil"/>
              <w:left w:val="nil"/>
              <w:bottom w:val="nil"/>
              <w:right w:val="nil"/>
            </w:tcBorders>
            <w:noWrap/>
            <w:vAlign w:val="center"/>
            <w:hideMark/>
          </w:tcPr>
          <w:p w14:paraId="36FAB876"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4B835FA8" w14:textId="77777777" w:rsidR="001631C6" w:rsidRPr="00B1049B" w:rsidRDefault="001631C6" w:rsidP="008F5322">
            <w:pPr>
              <w:jc w:val="center"/>
              <w:rPr>
                <w:sz w:val="22"/>
                <w:szCs w:val="22"/>
              </w:rPr>
            </w:pPr>
            <w:r w:rsidRPr="00B1049B">
              <w:rPr>
                <w:sz w:val="22"/>
                <w:szCs w:val="22"/>
              </w:rPr>
              <w:t>(1.570)</w:t>
            </w:r>
          </w:p>
        </w:tc>
        <w:tc>
          <w:tcPr>
            <w:tcW w:w="1150" w:type="pct"/>
            <w:tcBorders>
              <w:top w:val="nil"/>
              <w:left w:val="nil"/>
              <w:bottom w:val="nil"/>
              <w:right w:val="nil"/>
            </w:tcBorders>
          </w:tcPr>
          <w:p w14:paraId="09F9933D" w14:textId="77777777" w:rsidR="001631C6" w:rsidRPr="00B1049B" w:rsidRDefault="001631C6" w:rsidP="008F5322">
            <w:pPr>
              <w:jc w:val="center"/>
              <w:rPr>
                <w:sz w:val="22"/>
                <w:szCs w:val="22"/>
              </w:rPr>
            </w:pPr>
            <w:r w:rsidRPr="00B1049B">
              <w:rPr>
                <w:sz w:val="22"/>
                <w:szCs w:val="22"/>
              </w:rPr>
              <w:t>(0.185)</w:t>
            </w:r>
          </w:p>
        </w:tc>
      </w:tr>
      <w:tr w:rsidR="001631C6" w:rsidRPr="00B1049B" w14:paraId="0923E7A2" w14:textId="77777777" w:rsidTr="008F5322">
        <w:trPr>
          <w:trHeight w:val="225"/>
          <w:jc w:val="center"/>
        </w:trPr>
        <w:tc>
          <w:tcPr>
            <w:tcW w:w="3024" w:type="pct"/>
            <w:vMerge w:val="restart"/>
            <w:tcBorders>
              <w:top w:val="nil"/>
              <w:left w:val="nil"/>
              <w:bottom w:val="nil"/>
              <w:right w:val="nil"/>
            </w:tcBorders>
            <w:noWrap/>
            <w:vAlign w:val="center"/>
            <w:hideMark/>
          </w:tcPr>
          <w:p w14:paraId="764E244B" w14:textId="77777777" w:rsidR="001631C6" w:rsidRPr="00B1049B" w:rsidRDefault="001631C6" w:rsidP="008F5322">
            <w:pPr>
              <w:rPr>
                <w:i/>
                <w:iCs/>
                <w:sz w:val="22"/>
                <w:szCs w:val="22"/>
                <w:lang w:val="en-US" w:eastAsia="en-GB"/>
              </w:rPr>
            </w:pPr>
            <w:r w:rsidRPr="00B1049B">
              <w:rPr>
                <w:color w:val="000000"/>
                <w:sz w:val="22"/>
                <w:szCs w:val="22"/>
                <w:lang w:val="en-US" w:eastAsia="en-GB"/>
              </w:rPr>
              <w:t>Government owned</w:t>
            </w:r>
          </w:p>
        </w:tc>
        <w:tc>
          <w:tcPr>
            <w:tcW w:w="825" w:type="pct"/>
            <w:tcBorders>
              <w:top w:val="nil"/>
              <w:left w:val="nil"/>
              <w:bottom w:val="nil"/>
              <w:right w:val="nil"/>
            </w:tcBorders>
          </w:tcPr>
          <w:p w14:paraId="2ED34E4E" w14:textId="77777777" w:rsidR="001631C6" w:rsidRPr="00B1049B" w:rsidRDefault="001631C6" w:rsidP="008F5322">
            <w:pPr>
              <w:jc w:val="center"/>
              <w:rPr>
                <w:sz w:val="22"/>
                <w:szCs w:val="22"/>
              </w:rPr>
            </w:pPr>
            <w:r w:rsidRPr="00B1049B">
              <w:rPr>
                <w:sz w:val="22"/>
                <w:szCs w:val="22"/>
              </w:rPr>
              <w:t>8.415*</w:t>
            </w:r>
          </w:p>
        </w:tc>
        <w:tc>
          <w:tcPr>
            <w:tcW w:w="1150" w:type="pct"/>
            <w:tcBorders>
              <w:top w:val="nil"/>
              <w:left w:val="nil"/>
              <w:bottom w:val="nil"/>
              <w:right w:val="nil"/>
            </w:tcBorders>
          </w:tcPr>
          <w:p w14:paraId="7B6FBFF4" w14:textId="77777777" w:rsidR="001631C6" w:rsidRPr="00B1049B" w:rsidRDefault="001631C6" w:rsidP="008F5322">
            <w:pPr>
              <w:jc w:val="center"/>
              <w:rPr>
                <w:sz w:val="22"/>
                <w:szCs w:val="22"/>
              </w:rPr>
            </w:pPr>
            <w:r w:rsidRPr="00B1049B">
              <w:rPr>
                <w:sz w:val="22"/>
                <w:szCs w:val="22"/>
              </w:rPr>
              <w:t>-0.264</w:t>
            </w:r>
          </w:p>
        </w:tc>
      </w:tr>
      <w:tr w:rsidR="001631C6" w:rsidRPr="00B1049B" w14:paraId="7C6128F8" w14:textId="77777777" w:rsidTr="008F5322">
        <w:trPr>
          <w:trHeight w:val="225"/>
          <w:jc w:val="center"/>
        </w:trPr>
        <w:tc>
          <w:tcPr>
            <w:tcW w:w="3024" w:type="pct"/>
            <w:vMerge/>
            <w:tcBorders>
              <w:top w:val="nil"/>
              <w:left w:val="nil"/>
              <w:bottom w:val="nil"/>
              <w:right w:val="nil"/>
            </w:tcBorders>
            <w:noWrap/>
            <w:vAlign w:val="center"/>
            <w:hideMark/>
          </w:tcPr>
          <w:p w14:paraId="4179EC39"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7D680D49" w14:textId="77777777" w:rsidR="001631C6" w:rsidRPr="00B1049B" w:rsidRDefault="001631C6" w:rsidP="008F5322">
            <w:pPr>
              <w:jc w:val="center"/>
              <w:rPr>
                <w:sz w:val="22"/>
                <w:szCs w:val="22"/>
              </w:rPr>
            </w:pPr>
            <w:r w:rsidRPr="00B1049B">
              <w:rPr>
                <w:sz w:val="22"/>
                <w:szCs w:val="22"/>
              </w:rPr>
              <w:t>(4.475)</w:t>
            </w:r>
          </w:p>
        </w:tc>
        <w:tc>
          <w:tcPr>
            <w:tcW w:w="1150" w:type="pct"/>
            <w:tcBorders>
              <w:top w:val="nil"/>
              <w:left w:val="nil"/>
              <w:bottom w:val="nil"/>
              <w:right w:val="nil"/>
            </w:tcBorders>
          </w:tcPr>
          <w:p w14:paraId="1BD2ADC5" w14:textId="77777777" w:rsidR="001631C6" w:rsidRPr="00B1049B" w:rsidRDefault="001631C6" w:rsidP="008F5322">
            <w:pPr>
              <w:jc w:val="center"/>
              <w:rPr>
                <w:sz w:val="22"/>
                <w:szCs w:val="22"/>
              </w:rPr>
            </w:pPr>
            <w:r w:rsidRPr="00B1049B">
              <w:rPr>
                <w:sz w:val="22"/>
                <w:szCs w:val="22"/>
              </w:rPr>
              <w:t>(0.306)</w:t>
            </w:r>
          </w:p>
        </w:tc>
      </w:tr>
      <w:tr w:rsidR="001631C6" w:rsidRPr="00B1049B" w14:paraId="74F7E597" w14:textId="77777777" w:rsidTr="008F5322">
        <w:trPr>
          <w:trHeight w:val="225"/>
          <w:jc w:val="center"/>
        </w:trPr>
        <w:tc>
          <w:tcPr>
            <w:tcW w:w="3024" w:type="pct"/>
            <w:vMerge w:val="restart"/>
            <w:tcBorders>
              <w:top w:val="nil"/>
              <w:left w:val="nil"/>
              <w:bottom w:val="nil"/>
              <w:right w:val="nil"/>
            </w:tcBorders>
            <w:noWrap/>
            <w:vAlign w:val="center"/>
            <w:hideMark/>
          </w:tcPr>
          <w:p w14:paraId="366D9A18" w14:textId="77777777" w:rsidR="001631C6" w:rsidRPr="00B1049B" w:rsidRDefault="001631C6" w:rsidP="008F5322">
            <w:pPr>
              <w:rPr>
                <w:i/>
                <w:iCs/>
                <w:sz w:val="22"/>
                <w:szCs w:val="22"/>
                <w:lang w:val="en-US" w:eastAsia="en-GB"/>
              </w:rPr>
            </w:pPr>
            <w:r w:rsidRPr="00B1049B">
              <w:rPr>
                <w:color w:val="000000"/>
                <w:sz w:val="22"/>
                <w:szCs w:val="22"/>
                <w:lang w:val="en-US" w:eastAsia="en-GB"/>
              </w:rPr>
              <w:t>Maturity</w:t>
            </w:r>
          </w:p>
        </w:tc>
        <w:tc>
          <w:tcPr>
            <w:tcW w:w="825" w:type="pct"/>
            <w:tcBorders>
              <w:top w:val="nil"/>
              <w:left w:val="nil"/>
              <w:bottom w:val="nil"/>
              <w:right w:val="nil"/>
            </w:tcBorders>
          </w:tcPr>
          <w:p w14:paraId="25BD690E" w14:textId="77777777" w:rsidR="001631C6" w:rsidRPr="00B1049B" w:rsidRDefault="001631C6" w:rsidP="008F5322">
            <w:pPr>
              <w:jc w:val="center"/>
              <w:rPr>
                <w:sz w:val="22"/>
                <w:szCs w:val="22"/>
              </w:rPr>
            </w:pPr>
            <w:r w:rsidRPr="00B1049B">
              <w:rPr>
                <w:sz w:val="22"/>
                <w:szCs w:val="22"/>
              </w:rPr>
              <w:t>-2.960**</w:t>
            </w:r>
          </w:p>
        </w:tc>
        <w:tc>
          <w:tcPr>
            <w:tcW w:w="1150" w:type="pct"/>
            <w:tcBorders>
              <w:top w:val="nil"/>
              <w:left w:val="nil"/>
              <w:bottom w:val="nil"/>
              <w:right w:val="nil"/>
            </w:tcBorders>
          </w:tcPr>
          <w:p w14:paraId="6E740BDC" w14:textId="77777777" w:rsidR="001631C6" w:rsidRPr="00B1049B" w:rsidRDefault="001631C6" w:rsidP="008F5322">
            <w:pPr>
              <w:jc w:val="center"/>
              <w:rPr>
                <w:sz w:val="22"/>
                <w:szCs w:val="22"/>
              </w:rPr>
            </w:pPr>
            <w:r w:rsidRPr="00B1049B">
              <w:rPr>
                <w:sz w:val="22"/>
                <w:szCs w:val="22"/>
              </w:rPr>
              <w:t>-0.002</w:t>
            </w:r>
          </w:p>
        </w:tc>
      </w:tr>
      <w:tr w:rsidR="001631C6" w:rsidRPr="00B1049B" w14:paraId="39C0CD92" w14:textId="77777777" w:rsidTr="008F5322">
        <w:trPr>
          <w:trHeight w:val="225"/>
          <w:jc w:val="center"/>
        </w:trPr>
        <w:tc>
          <w:tcPr>
            <w:tcW w:w="3024" w:type="pct"/>
            <w:vMerge/>
            <w:tcBorders>
              <w:top w:val="nil"/>
              <w:left w:val="nil"/>
              <w:bottom w:val="nil"/>
              <w:right w:val="nil"/>
            </w:tcBorders>
            <w:noWrap/>
            <w:vAlign w:val="center"/>
            <w:hideMark/>
          </w:tcPr>
          <w:p w14:paraId="652FB6A2"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727E4A87" w14:textId="77777777" w:rsidR="001631C6" w:rsidRPr="00B1049B" w:rsidRDefault="001631C6" w:rsidP="008F5322">
            <w:pPr>
              <w:jc w:val="center"/>
              <w:rPr>
                <w:sz w:val="22"/>
                <w:szCs w:val="22"/>
              </w:rPr>
            </w:pPr>
            <w:r w:rsidRPr="00B1049B">
              <w:rPr>
                <w:sz w:val="22"/>
                <w:szCs w:val="22"/>
              </w:rPr>
              <w:t>(1.470)</w:t>
            </w:r>
          </w:p>
        </w:tc>
        <w:tc>
          <w:tcPr>
            <w:tcW w:w="1150" w:type="pct"/>
            <w:tcBorders>
              <w:top w:val="nil"/>
              <w:left w:val="nil"/>
              <w:bottom w:val="nil"/>
              <w:right w:val="nil"/>
            </w:tcBorders>
          </w:tcPr>
          <w:p w14:paraId="71FE0989" w14:textId="77777777" w:rsidR="001631C6" w:rsidRPr="00B1049B" w:rsidRDefault="001631C6" w:rsidP="008F5322">
            <w:pPr>
              <w:jc w:val="center"/>
              <w:rPr>
                <w:sz w:val="22"/>
                <w:szCs w:val="22"/>
              </w:rPr>
            </w:pPr>
            <w:r w:rsidRPr="00B1049B">
              <w:rPr>
                <w:sz w:val="22"/>
                <w:szCs w:val="22"/>
              </w:rPr>
              <w:t>(0.132)</w:t>
            </w:r>
          </w:p>
        </w:tc>
      </w:tr>
      <w:tr w:rsidR="001631C6" w:rsidRPr="00B1049B" w14:paraId="0526E024" w14:textId="77777777" w:rsidTr="008F5322">
        <w:trPr>
          <w:trHeight w:val="225"/>
          <w:jc w:val="center"/>
        </w:trPr>
        <w:tc>
          <w:tcPr>
            <w:tcW w:w="3024" w:type="pct"/>
            <w:vMerge w:val="restart"/>
            <w:tcBorders>
              <w:top w:val="nil"/>
              <w:left w:val="nil"/>
              <w:bottom w:val="nil"/>
              <w:right w:val="nil"/>
            </w:tcBorders>
            <w:noWrap/>
            <w:vAlign w:val="center"/>
            <w:hideMark/>
          </w:tcPr>
          <w:p w14:paraId="349B3D2C" w14:textId="77777777" w:rsidR="001631C6" w:rsidRPr="00B1049B" w:rsidRDefault="001631C6" w:rsidP="008F5322">
            <w:pPr>
              <w:rPr>
                <w:i/>
                <w:iCs/>
                <w:sz w:val="22"/>
                <w:szCs w:val="22"/>
                <w:lang w:val="en-US" w:eastAsia="en-GB"/>
              </w:rPr>
            </w:pPr>
            <w:r w:rsidRPr="00B1049B">
              <w:rPr>
                <w:color w:val="000000"/>
                <w:sz w:val="22"/>
                <w:szCs w:val="22"/>
                <w:lang w:val="en-US" w:eastAsia="en-GB"/>
              </w:rPr>
              <w:t>Tranche size</w:t>
            </w:r>
          </w:p>
        </w:tc>
        <w:tc>
          <w:tcPr>
            <w:tcW w:w="825" w:type="pct"/>
            <w:tcBorders>
              <w:top w:val="nil"/>
              <w:left w:val="nil"/>
              <w:bottom w:val="nil"/>
              <w:right w:val="nil"/>
            </w:tcBorders>
          </w:tcPr>
          <w:p w14:paraId="42868060" w14:textId="77777777" w:rsidR="001631C6" w:rsidRPr="00B1049B" w:rsidRDefault="001631C6" w:rsidP="008F5322">
            <w:pPr>
              <w:jc w:val="center"/>
              <w:rPr>
                <w:sz w:val="22"/>
                <w:szCs w:val="22"/>
              </w:rPr>
            </w:pPr>
            <w:r w:rsidRPr="00B1049B">
              <w:rPr>
                <w:sz w:val="22"/>
                <w:szCs w:val="22"/>
              </w:rPr>
              <w:t>-2.362</w:t>
            </w:r>
          </w:p>
        </w:tc>
        <w:tc>
          <w:tcPr>
            <w:tcW w:w="1150" w:type="pct"/>
            <w:tcBorders>
              <w:top w:val="nil"/>
              <w:left w:val="nil"/>
              <w:bottom w:val="nil"/>
              <w:right w:val="nil"/>
            </w:tcBorders>
          </w:tcPr>
          <w:p w14:paraId="3CF7AFFA" w14:textId="77777777" w:rsidR="001631C6" w:rsidRPr="00B1049B" w:rsidRDefault="001631C6" w:rsidP="008F5322">
            <w:pPr>
              <w:jc w:val="center"/>
              <w:rPr>
                <w:sz w:val="22"/>
                <w:szCs w:val="22"/>
              </w:rPr>
            </w:pPr>
            <w:r w:rsidRPr="00B1049B">
              <w:rPr>
                <w:sz w:val="22"/>
                <w:szCs w:val="22"/>
              </w:rPr>
              <w:t>-0.535***</w:t>
            </w:r>
          </w:p>
        </w:tc>
      </w:tr>
      <w:tr w:rsidR="001631C6" w:rsidRPr="00B1049B" w14:paraId="64C5A054" w14:textId="77777777" w:rsidTr="008F5322">
        <w:trPr>
          <w:trHeight w:val="225"/>
          <w:jc w:val="center"/>
        </w:trPr>
        <w:tc>
          <w:tcPr>
            <w:tcW w:w="3024" w:type="pct"/>
            <w:vMerge/>
            <w:tcBorders>
              <w:top w:val="nil"/>
              <w:left w:val="nil"/>
              <w:bottom w:val="nil"/>
              <w:right w:val="nil"/>
            </w:tcBorders>
            <w:noWrap/>
            <w:vAlign w:val="center"/>
            <w:hideMark/>
          </w:tcPr>
          <w:p w14:paraId="3F718225"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009AA0B5" w14:textId="77777777" w:rsidR="001631C6" w:rsidRPr="00B1049B" w:rsidRDefault="001631C6" w:rsidP="008F5322">
            <w:pPr>
              <w:jc w:val="center"/>
              <w:rPr>
                <w:sz w:val="22"/>
                <w:szCs w:val="22"/>
              </w:rPr>
            </w:pPr>
            <w:r w:rsidRPr="00B1049B">
              <w:rPr>
                <w:sz w:val="22"/>
                <w:szCs w:val="22"/>
              </w:rPr>
              <w:t>(1.717)</w:t>
            </w:r>
          </w:p>
        </w:tc>
        <w:tc>
          <w:tcPr>
            <w:tcW w:w="1150" w:type="pct"/>
            <w:tcBorders>
              <w:top w:val="nil"/>
              <w:left w:val="nil"/>
              <w:bottom w:val="nil"/>
              <w:right w:val="nil"/>
            </w:tcBorders>
          </w:tcPr>
          <w:p w14:paraId="4713FC5F" w14:textId="77777777" w:rsidR="001631C6" w:rsidRPr="00B1049B" w:rsidRDefault="001631C6" w:rsidP="008F5322">
            <w:pPr>
              <w:jc w:val="center"/>
              <w:rPr>
                <w:sz w:val="22"/>
                <w:szCs w:val="22"/>
              </w:rPr>
            </w:pPr>
            <w:r w:rsidRPr="00B1049B">
              <w:rPr>
                <w:sz w:val="22"/>
                <w:szCs w:val="22"/>
              </w:rPr>
              <w:t>(0.184)</w:t>
            </w:r>
          </w:p>
        </w:tc>
      </w:tr>
      <w:tr w:rsidR="001631C6" w:rsidRPr="00B1049B" w14:paraId="17E5483D" w14:textId="77777777" w:rsidTr="008F5322">
        <w:trPr>
          <w:trHeight w:val="225"/>
          <w:jc w:val="center"/>
        </w:trPr>
        <w:tc>
          <w:tcPr>
            <w:tcW w:w="3024" w:type="pct"/>
            <w:vMerge w:val="restart"/>
            <w:tcBorders>
              <w:top w:val="nil"/>
              <w:left w:val="nil"/>
              <w:bottom w:val="nil"/>
              <w:right w:val="nil"/>
            </w:tcBorders>
            <w:noWrap/>
            <w:vAlign w:val="center"/>
            <w:hideMark/>
          </w:tcPr>
          <w:p w14:paraId="0CA49754" w14:textId="77777777" w:rsidR="001631C6" w:rsidRPr="00B1049B" w:rsidRDefault="001631C6" w:rsidP="008F5322">
            <w:pPr>
              <w:rPr>
                <w:i/>
                <w:iCs/>
                <w:sz w:val="22"/>
                <w:szCs w:val="22"/>
                <w:lang w:val="en-US" w:eastAsia="en-GB"/>
              </w:rPr>
            </w:pPr>
            <w:r w:rsidRPr="00B1049B">
              <w:rPr>
                <w:color w:val="000000"/>
                <w:sz w:val="22"/>
                <w:szCs w:val="22"/>
                <w:lang w:val="en-US" w:eastAsia="en-GB"/>
              </w:rPr>
              <w:t>Multi-tranche</w:t>
            </w:r>
          </w:p>
        </w:tc>
        <w:tc>
          <w:tcPr>
            <w:tcW w:w="825" w:type="pct"/>
            <w:tcBorders>
              <w:top w:val="nil"/>
              <w:left w:val="nil"/>
              <w:bottom w:val="nil"/>
              <w:right w:val="nil"/>
            </w:tcBorders>
          </w:tcPr>
          <w:p w14:paraId="214E18B5" w14:textId="77777777" w:rsidR="001631C6" w:rsidRPr="00B1049B" w:rsidRDefault="001631C6" w:rsidP="008F5322">
            <w:pPr>
              <w:jc w:val="center"/>
              <w:rPr>
                <w:sz w:val="22"/>
                <w:szCs w:val="22"/>
              </w:rPr>
            </w:pPr>
            <w:r w:rsidRPr="00B1049B">
              <w:rPr>
                <w:sz w:val="22"/>
                <w:szCs w:val="22"/>
              </w:rPr>
              <w:t>-0.706</w:t>
            </w:r>
          </w:p>
        </w:tc>
        <w:tc>
          <w:tcPr>
            <w:tcW w:w="1150" w:type="pct"/>
            <w:tcBorders>
              <w:top w:val="nil"/>
              <w:left w:val="nil"/>
              <w:bottom w:val="nil"/>
              <w:right w:val="nil"/>
            </w:tcBorders>
          </w:tcPr>
          <w:p w14:paraId="4C168B28" w14:textId="77777777" w:rsidR="001631C6" w:rsidRPr="00B1049B" w:rsidRDefault="001631C6" w:rsidP="008F5322">
            <w:pPr>
              <w:jc w:val="center"/>
              <w:rPr>
                <w:sz w:val="22"/>
                <w:szCs w:val="22"/>
              </w:rPr>
            </w:pPr>
            <w:r w:rsidRPr="00B1049B">
              <w:rPr>
                <w:sz w:val="22"/>
                <w:szCs w:val="22"/>
              </w:rPr>
              <w:t>0.318**</w:t>
            </w:r>
          </w:p>
        </w:tc>
      </w:tr>
      <w:tr w:rsidR="001631C6" w:rsidRPr="00B1049B" w14:paraId="312DEBDF" w14:textId="77777777" w:rsidTr="008F5322">
        <w:trPr>
          <w:trHeight w:val="225"/>
          <w:jc w:val="center"/>
        </w:trPr>
        <w:tc>
          <w:tcPr>
            <w:tcW w:w="3024" w:type="pct"/>
            <w:vMerge/>
            <w:tcBorders>
              <w:top w:val="nil"/>
              <w:left w:val="nil"/>
              <w:bottom w:val="nil"/>
              <w:right w:val="nil"/>
            </w:tcBorders>
            <w:noWrap/>
            <w:vAlign w:val="center"/>
            <w:hideMark/>
          </w:tcPr>
          <w:p w14:paraId="5211034E"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71B8BB8C" w14:textId="77777777" w:rsidR="001631C6" w:rsidRPr="00B1049B" w:rsidRDefault="001631C6" w:rsidP="008F5322">
            <w:pPr>
              <w:jc w:val="center"/>
              <w:rPr>
                <w:sz w:val="22"/>
                <w:szCs w:val="22"/>
              </w:rPr>
            </w:pPr>
            <w:r w:rsidRPr="00B1049B">
              <w:rPr>
                <w:sz w:val="22"/>
                <w:szCs w:val="22"/>
              </w:rPr>
              <w:t>(1.685)</w:t>
            </w:r>
          </w:p>
        </w:tc>
        <w:tc>
          <w:tcPr>
            <w:tcW w:w="1150" w:type="pct"/>
            <w:tcBorders>
              <w:top w:val="nil"/>
              <w:left w:val="nil"/>
              <w:bottom w:val="nil"/>
              <w:right w:val="nil"/>
            </w:tcBorders>
          </w:tcPr>
          <w:p w14:paraId="56FFDF7F" w14:textId="77777777" w:rsidR="001631C6" w:rsidRPr="00B1049B" w:rsidRDefault="001631C6" w:rsidP="008F5322">
            <w:pPr>
              <w:jc w:val="center"/>
              <w:rPr>
                <w:sz w:val="22"/>
                <w:szCs w:val="22"/>
              </w:rPr>
            </w:pPr>
            <w:r w:rsidRPr="00B1049B">
              <w:rPr>
                <w:sz w:val="22"/>
                <w:szCs w:val="22"/>
              </w:rPr>
              <w:t>(0.141)</w:t>
            </w:r>
          </w:p>
        </w:tc>
      </w:tr>
      <w:tr w:rsidR="001631C6" w:rsidRPr="00B1049B" w14:paraId="2BFA3AC0" w14:textId="77777777" w:rsidTr="008F5322">
        <w:trPr>
          <w:trHeight w:val="225"/>
          <w:jc w:val="center"/>
        </w:trPr>
        <w:tc>
          <w:tcPr>
            <w:tcW w:w="3024" w:type="pct"/>
            <w:vMerge w:val="restart"/>
            <w:tcBorders>
              <w:top w:val="nil"/>
              <w:left w:val="nil"/>
              <w:right w:val="nil"/>
            </w:tcBorders>
            <w:noWrap/>
            <w:vAlign w:val="center"/>
          </w:tcPr>
          <w:p w14:paraId="49BE9098"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AA-BBB spread</w:t>
            </w:r>
          </w:p>
        </w:tc>
        <w:tc>
          <w:tcPr>
            <w:tcW w:w="825" w:type="pct"/>
            <w:tcBorders>
              <w:top w:val="nil"/>
              <w:left w:val="nil"/>
              <w:bottom w:val="nil"/>
              <w:right w:val="nil"/>
            </w:tcBorders>
          </w:tcPr>
          <w:p w14:paraId="2EBDF51B" w14:textId="77777777" w:rsidR="001631C6" w:rsidRPr="00B1049B" w:rsidRDefault="001631C6" w:rsidP="008F5322">
            <w:pPr>
              <w:jc w:val="center"/>
              <w:rPr>
                <w:sz w:val="22"/>
                <w:szCs w:val="22"/>
              </w:rPr>
            </w:pPr>
            <w:r w:rsidRPr="00B1049B">
              <w:rPr>
                <w:sz w:val="22"/>
                <w:szCs w:val="22"/>
              </w:rPr>
              <w:t>3.955***</w:t>
            </w:r>
          </w:p>
        </w:tc>
        <w:tc>
          <w:tcPr>
            <w:tcW w:w="1150" w:type="pct"/>
            <w:tcBorders>
              <w:top w:val="nil"/>
              <w:left w:val="nil"/>
              <w:bottom w:val="nil"/>
              <w:right w:val="nil"/>
            </w:tcBorders>
          </w:tcPr>
          <w:p w14:paraId="4870D723" w14:textId="77777777" w:rsidR="001631C6" w:rsidRPr="00B1049B" w:rsidRDefault="001631C6" w:rsidP="008F5322">
            <w:pPr>
              <w:jc w:val="center"/>
              <w:rPr>
                <w:sz w:val="22"/>
                <w:szCs w:val="22"/>
              </w:rPr>
            </w:pPr>
            <w:r w:rsidRPr="00B1049B">
              <w:rPr>
                <w:sz w:val="22"/>
                <w:szCs w:val="22"/>
              </w:rPr>
              <w:t>-0.248**</w:t>
            </w:r>
          </w:p>
        </w:tc>
      </w:tr>
      <w:tr w:rsidR="001631C6" w:rsidRPr="00B1049B" w14:paraId="37674B0D" w14:textId="77777777" w:rsidTr="008F5322">
        <w:trPr>
          <w:trHeight w:val="225"/>
          <w:jc w:val="center"/>
        </w:trPr>
        <w:tc>
          <w:tcPr>
            <w:tcW w:w="3024" w:type="pct"/>
            <w:vMerge/>
            <w:tcBorders>
              <w:left w:val="nil"/>
              <w:bottom w:val="nil"/>
              <w:right w:val="nil"/>
            </w:tcBorders>
            <w:noWrap/>
            <w:vAlign w:val="center"/>
          </w:tcPr>
          <w:p w14:paraId="39AC93D8" w14:textId="77777777" w:rsidR="001631C6" w:rsidRPr="00B1049B" w:rsidRDefault="001631C6" w:rsidP="008F5322">
            <w:pPr>
              <w:rPr>
                <w:i/>
                <w:iCs/>
                <w:sz w:val="22"/>
                <w:szCs w:val="22"/>
                <w:lang w:val="en-US" w:eastAsia="en-GB"/>
              </w:rPr>
            </w:pPr>
          </w:p>
        </w:tc>
        <w:tc>
          <w:tcPr>
            <w:tcW w:w="825" w:type="pct"/>
            <w:tcBorders>
              <w:top w:val="nil"/>
              <w:left w:val="nil"/>
              <w:bottom w:val="nil"/>
              <w:right w:val="nil"/>
            </w:tcBorders>
          </w:tcPr>
          <w:p w14:paraId="2CB092DF" w14:textId="77777777" w:rsidR="001631C6" w:rsidRPr="00B1049B" w:rsidRDefault="001631C6" w:rsidP="008F5322">
            <w:pPr>
              <w:jc w:val="center"/>
              <w:rPr>
                <w:sz w:val="22"/>
                <w:szCs w:val="22"/>
              </w:rPr>
            </w:pPr>
            <w:r w:rsidRPr="00B1049B">
              <w:rPr>
                <w:sz w:val="22"/>
                <w:szCs w:val="22"/>
              </w:rPr>
              <w:t>(1.411)</w:t>
            </w:r>
          </w:p>
        </w:tc>
        <w:tc>
          <w:tcPr>
            <w:tcW w:w="1150" w:type="pct"/>
            <w:tcBorders>
              <w:top w:val="nil"/>
              <w:left w:val="nil"/>
              <w:bottom w:val="nil"/>
              <w:right w:val="nil"/>
            </w:tcBorders>
          </w:tcPr>
          <w:p w14:paraId="0CFF40D8" w14:textId="77777777" w:rsidR="001631C6" w:rsidRPr="00B1049B" w:rsidRDefault="001631C6" w:rsidP="008F5322">
            <w:pPr>
              <w:jc w:val="center"/>
              <w:rPr>
                <w:sz w:val="22"/>
                <w:szCs w:val="22"/>
              </w:rPr>
            </w:pPr>
            <w:r w:rsidRPr="00B1049B">
              <w:rPr>
                <w:sz w:val="22"/>
                <w:szCs w:val="22"/>
              </w:rPr>
              <w:t>(0.113)</w:t>
            </w:r>
          </w:p>
        </w:tc>
      </w:tr>
      <w:tr w:rsidR="001631C6" w:rsidRPr="00B1049B" w14:paraId="73192D51" w14:textId="77777777" w:rsidTr="008F5322">
        <w:trPr>
          <w:trHeight w:val="225"/>
          <w:jc w:val="center"/>
        </w:trPr>
        <w:tc>
          <w:tcPr>
            <w:tcW w:w="3024" w:type="pct"/>
            <w:vMerge w:val="restart"/>
            <w:tcBorders>
              <w:top w:val="nil"/>
              <w:left w:val="nil"/>
              <w:right w:val="nil"/>
            </w:tcBorders>
            <w:noWrap/>
            <w:vAlign w:val="center"/>
          </w:tcPr>
          <w:p w14:paraId="10B70E7D" w14:textId="77777777" w:rsidR="001631C6" w:rsidRPr="00B1049B" w:rsidRDefault="001631C6" w:rsidP="008F5322">
            <w:pPr>
              <w:rPr>
                <w:bCs/>
                <w:color w:val="000000"/>
                <w:sz w:val="22"/>
                <w:szCs w:val="22"/>
                <w:lang w:val="en-US" w:eastAsia="en-GB"/>
              </w:rPr>
            </w:pPr>
            <w:r w:rsidRPr="00B1049B">
              <w:rPr>
                <w:color w:val="000000"/>
                <w:sz w:val="22"/>
                <w:szCs w:val="22"/>
                <w:lang w:val="en-US" w:eastAsia="en-GB"/>
              </w:rPr>
              <w:t>Constant</w:t>
            </w:r>
          </w:p>
        </w:tc>
        <w:tc>
          <w:tcPr>
            <w:tcW w:w="825" w:type="pct"/>
            <w:tcBorders>
              <w:top w:val="nil"/>
              <w:left w:val="nil"/>
              <w:bottom w:val="nil"/>
              <w:right w:val="nil"/>
            </w:tcBorders>
          </w:tcPr>
          <w:p w14:paraId="59B37FF0" w14:textId="77777777" w:rsidR="001631C6" w:rsidRPr="00B1049B" w:rsidRDefault="001631C6" w:rsidP="008F5322">
            <w:pPr>
              <w:jc w:val="center"/>
              <w:rPr>
                <w:sz w:val="22"/>
                <w:szCs w:val="22"/>
              </w:rPr>
            </w:pPr>
            <w:r w:rsidRPr="00B1049B">
              <w:rPr>
                <w:sz w:val="22"/>
                <w:szCs w:val="22"/>
              </w:rPr>
              <w:t>97.869***</w:t>
            </w:r>
          </w:p>
        </w:tc>
        <w:tc>
          <w:tcPr>
            <w:tcW w:w="1150" w:type="pct"/>
            <w:tcBorders>
              <w:top w:val="nil"/>
              <w:left w:val="nil"/>
              <w:bottom w:val="nil"/>
              <w:right w:val="nil"/>
            </w:tcBorders>
          </w:tcPr>
          <w:p w14:paraId="564012AC" w14:textId="77777777" w:rsidR="001631C6" w:rsidRPr="00B1049B" w:rsidRDefault="001631C6" w:rsidP="008F5322">
            <w:pPr>
              <w:jc w:val="center"/>
              <w:rPr>
                <w:sz w:val="22"/>
                <w:szCs w:val="22"/>
              </w:rPr>
            </w:pPr>
            <w:r w:rsidRPr="00B1049B">
              <w:rPr>
                <w:sz w:val="22"/>
                <w:szCs w:val="22"/>
              </w:rPr>
              <w:t>18.174***</w:t>
            </w:r>
          </w:p>
        </w:tc>
      </w:tr>
      <w:tr w:rsidR="001631C6" w:rsidRPr="00B1049B" w14:paraId="5975BC00" w14:textId="77777777" w:rsidTr="008F5322">
        <w:trPr>
          <w:trHeight w:val="225"/>
          <w:jc w:val="center"/>
        </w:trPr>
        <w:tc>
          <w:tcPr>
            <w:tcW w:w="3024" w:type="pct"/>
            <w:vMerge/>
            <w:tcBorders>
              <w:left w:val="nil"/>
              <w:bottom w:val="single" w:sz="4" w:space="0" w:color="auto"/>
              <w:right w:val="nil"/>
            </w:tcBorders>
            <w:noWrap/>
            <w:vAlign w:val="center"/>
          </w:tcPr>
          <w:p w14:paraId="27EC7EA7" w14:textId="77777777" w:rsidR="001631C6" w:rsidRPr="00B1049B" w:rsidRDefault="001631C6" w:rsidP="008F5322">
            <w:pPr>
              <w:rPr>
                <w:i/>
                <w:iCs/>
                <w:sz w:val="22"/>
                <w:szCs w:val="22"/>
                <w:lang w:val="en-US" w:eastAsia="en-GB"/>
              </w:rPr>
            </w:pPr>
          </w:p>
        </w:tc>
        <w:tc>
          <w:tcPr>
            <w:tcW w:w="825" w:type="pct"/>
            <w:tcBorders>
              <w:top w:val="nil"/>
              <w:left w:val="nil"/>
              <w:bottom w:val="single" w:sz="4" w:space="0" w:color="auto"/>
              <w:right w:val="nil"/>
            </w:tcBorders>
          </w:tcPr>
          <w:p w14:paraId="36C39AD2" w14:textId="77777777" w:rsidR="001631C6" w:rsidRPr="00B1049B" w:rsidRDefault="001631C6" w:rsidP="008F5322">
            <w:pPr>
              <w:jc w:val="center"/>
              <w:rPr>
                <w:sz w:val="22"/>
                <w:szCs w:val="22"/>
              </w:rPr>
            </w:pPr>
            <w:r w:rsidRPr="00B1049B">
              <w:rPr>
                <w:sz w:val="22"/>
                <w:szCs w:val="22"/>
              </w:rPr>
              <w:t>(33.805)</w:t>
            </w:r>
          </w:p>
        </w:tc>
        <w:tc>
          <w:tcPr>
            <w:tcW w:w="1150" w:type="pct"/>
            <w:tcBorders>
              <w:top w:val="nil"/>
              <w:left w:val="nil"/>
              <w:bottom w:val="single" w:sz="4" w:space="0" w:color="auto"/>
              <w:right w:val="nil"/>
            </w:tcBorders>
          </w:tcPr>
          <w:p w14:paraId="09172F14" w14:textId="77777777" w:rsidR="001631C6" w:rsidRPr="00B1049B" w:rsidRDefault="001631C6" w:rsidP="008F5322">
            <w:pPr>
              <w:jc w:val="center"/>
              <w:rPr>
                <w:sz w:val="22"/>
                <w:szCs w:val="22"/>
              </w:rPr>
            </w:pPr>
            <w:r w:rsidRPr="00B1049B">
              <w:rPr>
                <w:sz w:val="22"/>
                <w:szCs w:val="22"/>
              </w:rPr>
              <w:t>(3.710)</w:t>
            </w:r>
          </w:p>
        </w:tc>
      </w:tr>
      <w:tr w:rsidR="001631C6" w:rsidRPr="00B1049B" w14:paraId="151CD2D9" w14:textId="77777777" w:rsidTr="008F5322">
        <w:trPr>
          <w:trHeight w:val="225"/>
          <w:jc w:val="center"/>
        </w:trPr>
        <w:tc>
          <w:tcPr>
            <w:tcW w:w="3024" w:type="pct"/>
            <w:tcBorders>
              <w:top w:val="single" w:sz="4" w:space="0" w:color="auto"/>
              <w:bottom w:val="nil"/>
            </w:tcBorders>
            <w:noWrap/>
            <w:vAlign w:val="center"/>
            <w:hideMark/>
          </w:tcPr>
          <w:p w14:paraId="14BA2C83"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Credit rating, Year, Sector and Country dummies</w:t>
            </w:r>
          </w:p>
        </w:tc>
        <w:tc>
          <w:tcPr>
            <w:tcW w:w="825" w:type="pct"/>
            <w:tcBorders>
              <w:top w:val="single" w:sz="4" w:space="0" w:color="auto"/>
              <w:bottom w:val="nil"/>
            </w:tcBorders>
            <w:vAlign w:val="center"/>
            <w:hideMark/>
          </w:tcPr>
          <w:p w14:paraId="454A4F44" w14:textId="77777777" w:rsidR="001631C6" w:rsidRPr="00B1049B" w:rsidRDefault="001631C6" w:rsidP="008F5322">
            <w:pPr>
              <w:jc w:val="center"/>
              <w:rPr>
                <w:color w:val="000000"/>
                <w:sz w:val="22"/>
                <w:szCs w:val="22"/>
                <w:lang w:val="en-US" w:eastAsia="en-GB"/>
              </w:rPr>
            </w:pPr>
            <w:r w:rsidRPr="00B1049B">
              <w:rPr>
                <w:color w:val="000000"/>
                <w:sz w:val="22"/>
                <w:szCs w:val="22"/>
                <w:lang w:val="en-US" w:eastAsia="en-GB"/>
              </w:rPr>
              <w:t>yes</w:t>
            </w:r>
          </w:p>
        </w:tc>
        <w:tc>
          <w:tcPr>
            <w:tcW w:w="1150" w:type="pct"/>
            <w:tcBorders>
              <w:top w:val="single" w:sz="4" w:space="0" w:color="auto"/>
              <w:bottom w:val="nil"/>
            </w:tcBorders>
          </w:tcPr>
          <w:p w14:paraId="4ECFCDF3" w14:textId="77777777" w:rsidR="001631C6" w:rsidRPr="00B1049B" w:rsidRDefault="001631C6" w:rsidP="008F5322">
            <w:pPr>
              <w:jc w:val="center"/>
              <w:rPr>
                <w:color w:val="000000"/>
                <w:sz w:val="22"/>
                <w:szCs w:val="22"/>
                <w:lang w:val="en-US" w:eastAsia="en-GB"/>
              </w:rPr>
            </w:pPr>
            <w:r w:rsidRPr="00B1049B">
              <w:rPr>
                <w:color w:val="000000"/>
                <w:sz w:val="22"/>
                <w:szCs w:val="22"/>
                <w:lang w:val="en-US" w:eastAsia="en-GB"/>
              </w:rPr>
              <w:t>yes</w:t>
            </w:r>
          </w:p>
        </w:tc>
      </w:tr>
      <w:tr w:rsidR="001631C6" w:rsidRPr="00B1049B" w14:paraId="71D5BF32" w14:textId="77777777" w:rsidTr="008F5322">
        <w:trPr>
          <w:trHeight w:val="225"/>
          <w:jc w:val="center"/>
        </w:trPr>
        <w:tc>
          <w:tcPr>
            <w:tcW w:w="3024" w:type="pct"/>
            <w:tcBorders>
              <w:top w:val="nil"/>
            </w:tcBorders>
            <w:noWrap/>
            <w:vAlign w:val="center"/>
            <w:hideMark/>
          </w:tcPr>
          <w:p w14:paraId="0DD19412"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Number of Observations</w:t>
            </w:r>
          </w:p>
        </w:tc>
        <w:tc>
          <w:tcPr>
            <w:tcW w:w="825" w:type="pct"/>
            <w:tcBorders>
              <w:top w:val="nil"/>
            </w:tcBorders>
            <w:hideMark/>
          </w:tcPr>
          <w:p w14:paraId="3C2A23B9" w14:textId="77777777" w:rsidR="001631C6" w:rsidRPr="00B1049B" w:rsidRDefault="001631C6" w:rsidP="008F5322">
            <w:pPr>
              <w:jc w:val="center"/>
              <w:rPr>
                <w:sz w:val="22"/>
                <w:szCs w:val="22"/>
              </w:rPr>
            </w:pPr>
            <w:r w:rsidRPr="00B1049B">
              <w:rPr>
                <w:sz w:val="22"/>
                <w:szCs w:val="22"/>
              </w:rPr>
              <w:t>645</w:t>
            </w:r>
          </w:p>
        </w:tc>
        <w:tc>
          <w:tcPr>
            <w:tcW w:w="1150" w:type="pct"/>
            <w:tcBorders>
              <w:top w:val="nil"/>
            </w:tcBorders>
          </w:tcPr>
          <w:p w14:paraId="37A937FD" w14:textId="77777777" w:rsidR="001631C6" w:rsidRPr="00B1049B" w:rsidRDefault="001631C6" w:rsidP="008F5322">
            <w:pPr>
              <w:jc w:val="center"/>
              <w:rPr>
                <w:sz w:val="22"/>
                <w:szCs w:val="22"/>
              </w:rPr>
            </w:pPr>
            <w:r w:rsidRPr="00B1049B">
              <w:rPr>
                <w:sz w:val="22"/>
                <w:szCs w:val="22"/>
              </w:rPr>
              <w:t>1,577</w:t>
            </w:r>
          </w:p>
        </w:tc>
      </w:tr>
      <w:tr w:rsidR="001631C6" w:rsidRPr="00B1049B" w14:paraId="6F5955A9" w14:textId="77777777" w:rsidTr="008F5322">
        <w:trPr>
          <w:trHeight w:val="225"/>
          <w:jc w:val="center"/>
        </w:trPr>
        <w:tc>
          <w:tcPr>
            <w:tcW w:w="3024" w:type="pct"/>
            <w:noWrap/>
            <w:vAlign w:val="center"/>
            <w:hideMark/>
          </w:tcPr>
          <w:p w14:paraId="3014DCA6"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R</w:t>
            </w:r>
            <w:r w:rsidRPr="00B1049B">
              <w:rPr>
                <w:color w:val="000000"/>
                <w:sz w:val="22"/>
                <w:szCs w:val="22"/>
                <w:vertAlign w:val="superscript"/>
                <w:lang w:val="en-US" w:eastAsia="en-GB"/>
              </w:rPr>
              <w:t>2</w:t>
            </w:r>
          </w:p>
        </w:tc>
        <w:tc>
          <w:tcPr>
            <w:tcW w:w="825" w:type="pct"/>
          </w:tcPr>
          <w:p w14:paraId="2B618CF8" w14:textId="77777777" w:rsidR="001631C6" w:rsidRPr="00B1049B" w:rsidRDefault="001631C6" w:rsidP="008F5322">
            <w:pPr>
              <w:jc w:val="center"/>
              <w:rPr>
                <w:sz w:val="22"/>
                <w:szCs w:val="22"/>
              </w:rPr>
            </w:pPr>
            <w:r w:rsidRPr="00B1049B">
              <w:rPr>
                <w:sz w:val="22"/>
                <w:szCs w:val="22"/>
              </w:rPr>
              <w:t>0.378</w:t>
            </w:r>
          </w:p>
        </w:tc>
        <w:tc>
          <w:tcPr>
            <w:tcW w:w="1150" w:type="pct"/>
          </w:tcPr>
          <w:p w14:paraId="5869D691" w14:textId="77777777" w:rsidR="001631C6" w:rsidRPr="00B1049B" w:rsidRDefault="001631C6" w:rsidP="008F5322">
            <w:pPr>
              <w:jc w:val="center"/>
              <w:rPr>
                <w:sz w:val="22"/>
                <w:szCs w:val="22"/>
              </w:rPr>
            </w:pPr>
            <w:r w:rsidRPr="00B1049B">
              <w:rPr>
                <w:sz w:val="22"/>
                <w:szCs w:val="22"/>
              </w:rPr>
              <w:t>0.289</w:t>
            </w:r>
          </w:p>
        </w:tc>
      </w:tr>
    </w:tbl>
    <w:p w14:paraId="51381E31" w14:textId="77777777" w:rsidR="001631C6" w:rsidRDefault="001631C6" w:rsidP="001631C6">
      <w:pPr>
        <w:jc w:val="both"/>
        <w:rPr>
          <w:color w:val="000000"/>
          <w:sz w:val="20"/>
          <w:szCs w:val="20"/>
          <w:lang w:val="en-US"/>
        </w:rPr>
      </w:pPr>
    </w:p>
    <w:p w14:paraId="70EB29EB" w14:textId="77777777" w:rsidR="001631C6" w:rsidRDefault="001631C6" w:rsidP="001631C6">
      <w:pPr>
        <w:spacing w:after="160" w:line="259" w:lineRule="auto"/>
        <w:rPr>
          <w:color w:val="000000"/>
          <w:sz w:val="20"/>
          <w:szCs w:val="20"/>
          <w:lang w:val="en-US"/>
        </w:rPr>
      </w:pPr>
      <w:r>
        <w:rPr>
          <w:color w:val="000000"/>
          <w:sz w:val="20"/>
          <w:szCs w:val="20"/>
          <w:lang w:val="en-US"/>
        </w:rPr>
        <w:br w:type="page"/>
      </w:r>
    </w:p>
    <w:p w14:paraId="08B420B3" w14:textId="77777777" w:rsidR="001631C6" w:rsidRDefault="001631C6" w:rsidP="001631C6">
      <w:pPr>
        <w:spacing w:after="160" w:line="259" w:lineRule="auto"/>
        <w:rPr>
          <w:b/>
          <w:sz w:val="20"/>
          <w:szCs w:val="20"/>
          <w:lang w:val="en-US"/>
        </w:rPr>
        <w:sectPr w:rsidR="001631C6" w:rsidSect="008F5322">
          <w:pgSz w:w="11906" w:h="16838" w:code="9"/>
          <w:pgMar w:top="1440" w:right="1440" w:bottom="1440" w:left="1440" w:header="709" w:footer="709" w:gutter="0"/>
          <w:cols w:space="708"/>
          <w:docGrid w:linePitch="360"/>
        </w:sectPr>
      </w:pPr>
    </w:p>
    <w:p w14:paraId="01571E1E" w14:textId="77777777" w:rsidR="001631C6" w:rsidRPr="00207BB5" w:rsidRDefault="001631C6" w:rsidP="001631C6">
      <w:pPr>
        <w:rPr>
          <w:b/>
          <w:bCs/>
        </w:rPr>
      </w:pPr>
      <w:r w:rsidRPr="00207BB5">
        <w:rPr>
          <w:b/>
          <w:bCs/>
        </w:rPr>
        <w:lastRenderedPageBreak/>
        <w:t>Table 7</w:t>
      </w:r>
    </w:p>
    <w:p w14:paraId="062B0306" w14:textId="77777777" w:rsidR="001631C6" w:rsidRDefault="001631C6" w:rsidP="001631C6">
      <w:pPr>
        <w:pStyle w:val="Heading2"/>
        <w:spacing w:before="0" w:after="0"/>
        <w:rPr>
          <w:szCs w:val="28"/>
        </w:rPr>
      </w:pPr>
      <w:r w:rsidRPr="00207BB5">
        <w:rPr>
          <w:szCs w:val="28"/>
        </w:rPr>
        <w:t>Univariate comparison of tranche and issuer characteristics for pre- and post-financial crisis subsamples</w:t>
      </w:r>
    </w:p>
    <w:p w14:paraId="3B1FB168" w14:textId="77777777" w:rsidR="001631C6" w:rsidRPr="00207BB5" w:rsidRDefault="001631C6" w:rsidP="001631C6"/>
    <w:p w14:paraId="49E5B8E8" w14:textId="77777777" w:rsidR="001631C6" w:rsidRDefault="001631C6" w:rsidP="001631C6">
      <w:pPr>
        <w:jc w:val="both"/>
        <w:rPr>
          <w:i/>
          <w:iCs/>
          <w:sz w:val="20"/>
          <w:szCs w:val="20"/>
        </w:rPr>
      </w:pPr>
      <w:r w:rsidRPr="00DC68DD">
        <w:rPr>
          <w:sz w:val="20"/>
          <w:szCs w:val="20"/>
          <w:lang w:val="en-US"/>
        </w:rPr>
        <w:t>The table reports summary statistics for the pre-</w:t>
      </w:r>
      <w:r>
        <w:rPr>
          <w:sz w:val="20"/>
          <w:szCs w:val="20"/>
          <w:lang w:val="en-US"/>
        </w:rPr>
        <w:t xml:space="preserve">crisis period (January 2001 – November 2006), </w:t>
      </w:r>
      <w:r w:rsidRPr="00DC68DD">
        <w:rPr>
          <w:sz w:val="20"/>
          <w:szCs w:val="20"/>
          <w:lang w:val="en-US"/>
        </w:rPr>
        <w:t xml:space="preserve">crisis </w:t>
      </w:r>
      <w:r>
        <w:rPr>
          <w:sz w:val="20"/>
          <w:szCs w:val="20"/>
          <w:lang w:val="en-US"/>
        </w:rPr>
        <w:t xml:space="preserve">period (December 2006 – October 2009), eurozone crisis period (November 2009 – September 2012) and post-crisis period (October 2012 – December 2020) </w:t>
      </w:r>
      <w:r w:rsidRPr="00DC68DD">
        <w:rPr>
          <w:sz w:val="20"/>
          <w:szCs w:val="20"/>
          <w:lang w:val="en-US"/>
        </w:rPr>
        <w:t xml:space="preserve">subsamples </w:t>
      </w:r>
      <w:r>
        <w:rPr>
          <w:sz w:val="20"/>
          <w:szCs w:val="20"/>
          <w:lang w:val="en-US"/>
        </w:rPr>
        <w:t>for</w:t>
      </w:r>
      <w:r w:rsidRPr="00DC68DD">
        <w:rPr>
          <w:sz w:val="20"/>
          <w:szCs w:val="20"/>
          <w:lang w:val="en-US"/>
        </w:rPr>
        <w:t xml:space="preserve"> </w:t>
      </w:r>
      <w:r>
        <w:rPr>
          <w:sz w:val="20"/>
          <w:szCs w:val="20"/>
          <w:lang w:val="en-US"/>
        </w:rPr>
        <w:t>2,409</w:t>
      </w:r>
      <w:r w:rsidRPr="00DC68DD">
        <w:rPr>
          <w:sz w:val="20"/>
          <w:szCs w:val="20"/>
          <w:lang w:val="en-US"/>
        </w:rPr>
        <w:t xml:space="preserve"> euro-denominated public bond issues made by </w:t>
      </w:r>
      <w:r>
        <w:rPr>
          <w:sz w:val="20"/>
          <w:szCs w:val="20"/>
          <w:lang w:val="en-US"/>
        </w:rPr>
        <w:t>356</w:t>
      </w:r>
      <w:r w:rsidRPr="00DC68DD">
        <w:rPr>
          <w:sz w:val="20"/>
          <w:szCs w:val="20"/>
          <w:lang w:val="en-US"/>
        </w:rPr>
        <w:t xml:space="preserve"> Western European firms during 2001-20</w:t>
      </w:r>
      <w:r>
        <w:rPr>
          <w:sz w:val="20"/>
          <w:szCs w:val="20"/>
          <w:lang w:val="en-US"/>
        </w:rPr>
        <w:t>20</w:t>
      </w:r>
      <w:r w:rsidRPr="00DC68DD">
        <w:rPr>
          <w:sz w:val="20"/>
          <w:szCs w:val="20"/>
          <w:lang w:val="en-US"/>
        </w:rPr>
        <w:t xml:space="preserve">. </w:t>
      </w:r>
      <w:r>
        <w:rPr>
          <w:sz w:val="20"/>
          <w:szCs w:val="20"/>
          <w:lang w:val="en-US"/>
        </w:rPr>
        <w:t xml:space="preserve">Mean differences are also reported. </w:t>
      </w:r>
      <w:r w:rsidRPr="00DC68DD">
        <w:rPr>
          <w:color w:val="000000"/>
          <w:sz w:val="20"/>
          <w:szCs w:val="20"/>
          <w:lang w:val="en-US" w:eastAsia="en-GB"/>
        </w:rPr>
        <w:t>***</w:t>
      </w:r>
      <w:r w:rsidRPr="00DC68DD">
        <w:rPr>
          <w:color w:val="000000"/>
          <w:sz w:val="20"/>
          <w:szCs w:val="20"/>
          <w:lang w:val="en-US"/>
        </w:rPr>
        <w:t xml:space="preserve">, **, and * denote significance </w:t>
      </w:r>
      <w:r>
        <w:rPr>
          <w:color w:val="000000"/>
          <w:sz w:val="20"/>
          <w:szCs w:val="20"/>
          <w:lang w:val="en-US"/>
        </w:rPr>
        <w:t xml:space="preserve">of the mean difference </w:t>
      </w:r>
      <w:r w:rsidRPr="00DC68DD">
        <w:rPr>
          <w:color w:val="000000"/>
          <w:sz w:val="20"/>
          <w:szCs w:val="20"/>
          <w:lang w:val="en-US"/>
        </w:rPr>
        <w:t>at the 1%, 5%, and 10% levels respectively.</w:t>
      </w:r>
    </w:p>
    <w:p w14:paraId="0CF379DF" w14:textId="77777777" w:rsidR="001631C6" w:rsidRPr="00F53205" w:rsidRDefault="001631C6" w:rsidP="001631C6">
      <w:pPr>
        <w:rPr>
          <w:b/>
          <w:i/>
          <w:iCs/>
          <w:sz w:val="20"/>
          <w:szCs w:val="20"/>
        </w:rPr>
      </w:pPr>
      <w:r w:rsidRPr="00F53205">
        <w:rPr>
          <w:i/>
          <w:iCs/>
          <w:sz w:val="20"/>
          <w:szCs w:val="20"/>
        </w:rPr>
        <w:t>.</w:t>
      </w:r>
      <w:r w:rsidRPr="00F53205">
        <w:rPr>
          <w:i/>
          <w:iCs/>
          <w:sz w:val="18"/>
          <w:szCs w:val="18"/>
        </w:rPr>
        <w:t xml:space="preserve"> </w:t>
      </w:r>
    </w:p>
    <w:tbl>
      <w:tblPr>
        <w:tblW w:w="5090" w:type="pct"/>
        <w:tblLook w:val="0000" w:firstRow="0" w:lastRow="0" w:firstColumn="0" w:lastColumn="0" w:noHBand="0" w:noVBand="0"/>
      </w:tblPr>
      <w:tblGrid>
        <w:gridCol w:w="2408"/>
        <w:gridCol w:w="569"/>
        <w:gridCol w:w="824"/>
        <w:gridCol w:w="231"/>
        <w:gridCol w:w="569"/>
        <w:gridCol w:w="824"/>
        <w:gridCol w:w="231"/>
        <w:gridCol w:w="569"/>
        <w:gridCol w:w="824"/>
        <w:gridCol w:w="231"/>
        <w:gridCol w:w="590"/>
        <w:gridCol w:w="824"/>
        <w:gridCol w:w="231"/>
        <w:gridCol w:w="1101"/>
        <w:gridCol w:w="1139"/>
        <w:gridCol w:w="955"/>
        <w:gridCol w:w="1101"/>
        <w:gridCol w:w="1381"/>
      </w:tblGrid>
      <w:tr w:rsidR="001631C6" w:rsidRPr="00FB3A9C" w14:paraId="2E0CFC59" w14:textId="77777777" w:rsidTr="008F5322">
        <w:tc>
          <w:tcPr>
            <w:tcW w:w="825" w:type="pct"/>
            <w:tcBorders>
              <w:top w:val="single" w:sz="4" w:space="0" w:color="auto"/>
              <w:left w:val="nil"/>
              <w:bottom w:val="nil"/>
              <w:right w:val="nil"/>
            </w:tcBorders>
            <w:vAlign w:val="center"/>
          </w:tcPr>
          <w:p w14:paraId="73970E77" w14:textId="77777777" w:rsidR="001631C6" w:rsidRPr="00FB3A9C" w:rsidRDefault="001631C6" w:rsidP="008F5322">
            <w:pPr>
              <w:widowControl w:val="0"/>
              <w:autoSpaceDE w:val="0"/>
              <w:autoSpaceDN w:val="0"/>
              <w:adjustRightInd w:val="0"/>
              <w:jc w:val="center"/>
              <w:rPr>
                <w:sz w:val="18"/>
                <w:szCs w:val="18"/>
              </w:rPr>
            </w:pPr>
          </w:p>
        </w:tc>
        <w:tc>
          <w:tcPr>
            <w:tcW w:w="476" w:type="pct"/>
            <w:gridSpan w:val="2"/>
            <w:tcBorders>
              <w:top w:val="single" w:sz="4" w:space="0" w:color="auto"/>
              <w:left w:val="nil"/>
              <w:bottom w:val="single" w:sz="4" w:space="0" w:color="auto"/>
            </w:tcBorders>
            <w:vAlign w:val="center"/>
          </w:tcPr>
          <w:p w14:paraId="0512DCC0" w14:textId="77777777" w:rsidR="001631C6" w:rsidRDefault="001631C6" w:rsidP="008F5322">
            <w:pPr>
              <w:widowControl w:val="0"/>
              <w:autoSpaceDE w:val="0"/>
              <w:autoSpaceDN w:val="0"/>
              <w:adjustRightInd w:val="0"/>
              <w:jc w:val="center"/>
              <w:rPr>
                <w:sz w:val="18"/>
                <w:szCs w:val="18"/>
              </w:rPr>
            </w:pPr>
            <w:r>
              <w:rPr>
                <w:sz w:val="18"/>
                <w:szCs w:val="18"/>
              </w:rPr>
              <w:t>Model 1</w:t>
            </w:r>
          </w:p>
          <w:p w14:paraId="3FAB6C6B" w14:textId="7B8A763E" w:rsidR="001631C6" w:rsidRPr="00FB3A9C" w:rsidRDefault="001631C6" w:rsidP="008F5322">
            <w:pPr>
              <w:widowControl w:val="0"/>
              <w:autoSpaceDE w:val="0"/>
              <w:autoSpaceDN w:val="0"/>
              <w:adjustRightInd w:val="0"/>
              <w:jc w:val="center"/>
              <w:rPr>
                <w:sz w:val="18"/>
                <w:szCs w:val="18"/>
              </w:rPr>
            </w:pPr>
            <w:r>
              <w:rPr>
                <w:sz w:val="18"/>
                <w:szCs w:val="18"/>
              </w:rPr>
              <w:t>Pre-</w:t>
            </w:r>
            <w:r w:rsidR="0003252C">
              <w:rPr>
                <w:sz w:val="18"/>
                <w:szCs w:val="18"/>
              </w:rPr>
              <w:t>Financial C</w:t>
            </w:r>
            <w:r>
              <w:rPr>
                <w:sz w:val="18"/>
                <w:szCs w:val="18"/>
              </w:rPr>
              <w:t>risis</w:t>
            </w:r>
          </w:p>
        </w:tc>
        <w:tc>
          <w:tcPr>
            <w:tcW w:w="79" w:type="pct"/>
            <w:tcBorders>
              <w:top w:val="single" w:sz="4" w:space="0" w:color="auto"/>
              <w:right w:val="nil"/>
            </w:tcBorders>
            <w:vAlign w:val="center"/>
          </w:tcPr>
          <w:p w14:paraId="2E6B2754" w14:textId="77777777" w:rsidR="001631C6" w:rsidRPr="00FB3A9C" w:rsidRDefault="001631C6" w:rsidP="008F5322">
            <w:pPr>
              <w:widowControl w:val="0"/>
              <w:autoSpaceDE w:val="0"/>
              <w:autoSpaceDN w:val="0"/>
              <w:adjustRightInd w:val="0"/>
              <w:jc w:val="center"/>
              <w:rPr>
                <w:sz w:val="18"/>
                <w:szCs w:val="18"/>
              </w:rPr>
            </w:pPr>
          </w:p>
        </w:tc>
        <w:tc>
          <w:tcPr>
            <w:tcW w:w="476" w:type="pct"/>
            <w:gridSpan w:val="2"/>
            <w:tcBorders>
              <w:top w:val="single" w:sz="4" w:space="0" w:color="auto"/>
              <w:left w:val="nil"/>
              <w:bottom w:val="single" w:sz="4" w:space="0" w:color="auto"/>
            </w:tcBorders>
            <w:vAlign w:val="center"/>
          </w:tcPr>
          <w:p w14:paraId="5FD08EEA" w14:textId="16AEA948" w:rsidR="001631C6" w:rsidRDefault="001631C6" w:rsidP="008F5322">
            <w:pPr>
              <w:widowControl w:val="0"/>
              <w:autoSpaceDE w:val="0"/>
              <w:autoSpaceDN w:val="0"/>
              <w:adjustRightInd w:val="0"/>
              <w:jc w:val="center"/>
              <w:rPr>
                <w:sz w:val="18"/>
                <w:szCs w:val="18"/>
              </w:rPr>
            </w:pPr>
            <w:r>
              <w:rPr>
                <w:sz w:val="18"/>
                <w:szCs w:val="18"/>
              </w:rPr>
              <w:t>Model 2</w:t>
            </w:r>
          </w:p>
          <w:p w14:paraId="45A0F4EA" w14:textId="77777777" w:rsidR="00827D09" w:rsidRDefault="00827D09" w:rsidP="008F5322">
            <w:pPr>
              <w:widowControl w:val="0"/>
              <w:autoSpaceDE w:val="0"/>
              <w:autoSpaceDN w:val="0"/>
              <w:adjustRightInd w:val="0"/>
              <w:jc w:val="center"/>
              <w:rPr>
                <w:sz w:val="18"/>
                <w:szCs w:val="18"/>
              </w:rPr>
            </w:pPr>
          </w:p>
          <w:p w14:paraId="5F079932" w14:textId="422EDFBD" w:rsidR="001631C6" w:rsidRPr="00FB3A9C" w:rsidRDefault="0003252C" w:rsidP="008F5322">
            <w:pPr>
              <w:widowControl w:val="0"/>
              <w:autoSpaceDE w:val="0"/>
              <w:autoSpaceDN w:val="0"/>
              <w:adjustRightInd w:val="0"/>
              <w:jc w:val="center"/>
              <w:rPr>
                <w:sz w:val="18"/>
                <w:szCs w:val="18"/>
              </w:rPr>
            </w:pPr>
            <w:r>
              <w:rPr>
                <w:sz w:val="18"/>
                <w:szCs w:val="18"/>
              </w:rPr>
              <w:t xml:space="preserve">Financial </w:t>
            </w:r>
            <w:r w:rsidR="001631C6">
              <w:rPr>
                <w:sz w:val="18"/>
                <w:szCs w:val="18"/>
              </w:rPr>
              <w:t>Crisis</w:t>
            </w:r>
          </w:p>
        </w:tc>
        <w:tc>
          <w:tcPr>
            <w:tcW w:w="79" w:type="pct"/>
            <w:tcBorders>
              <w:top w:val="single" w:sz="4" w:space="0" w:color="auto"/>
              <w:right w:val="nil"/>
            </w:tcBorders>
            <w:vAlign w:val="center"/>
          </w:tcPr>
          <w:p w14:paraId="418D0C79" w14:textId="77777777" w:rsidR="001631C6" w:rsidRDefault="001631C6" w:rsidP="008F5322">
            <w:pPr>
              <w:rPr>
                <w:sz w:val="18"/>
                <w:szCs w:val="18"/>
              </w:rPr>
            </w:pPr>
          </w:p>
          <w:p w14:paraId="5B245AB8" w14:textId="77777777" w:rsidR="001631C6" w:rsidRPr="00FB3A9C" w:rsidRDefault="001631C6" w:rsidP="008F5322">
            <w:pPr>
              <w:widowControl w:val="0"/>
              <w:autoSpaceDE w:val="0"/>
              <w:autoSpaceDN w:val="0"/>
              <w:adjustRightInd w:val="0"/>
              <w:jc w:val="center"/>
              <w:rPr>
                <w:sz w:val="18"/>
                <w:szCs w:val="18"/>
              </w:rPr>
            </w:pPr>
          </w:p>
        </w:tc>
        <w:tc>
          <w:tcPr>
            <w:tcW w:w="476" w:type="pct"/>
            <w:gridSpan w:val="2"/>
            <w:tcBorders>
              <w:top w:val="single" w:sz="4" w:space="0" w:color="auto"/>
              <w:left w:val="nil"/>
              <w:bottom w:val="single" w:sz="4" w:space="0" w:color="auto"/>
            </w:tcBorders>
            <w:vAlign w:val="center"/>
          </w:tcPr>
          <w:p w14:paraId="1CB919BD" w14:textId="4AE092F8" w:rsidR="001631C6" w:rsidRDefault="001631C6" w:rsidP="008F5322">
            <w:pPr>
              <w:widowControl w:val="0"/>
              <w:autoSpaceDE w:val="0"/>
              <w:autoSpaceDN w:val="0"/>
              <w:adjustRightInd w:val="0"/>
              <w:jc w:val="center"/>
              <w:rPr>
                <w:sz w:val="18"/>
                <w:szCs w:val="18"/>
              </w:rPr>
            </w:pPr>
            <w:r>
              <w:rPr>
                <w:sz w:val="18"/>
                <w:szCs w:val="18"/>
              </w:rPr>
              <w:t>Model 3</w:t>
            </w:r>
          </w:p>
          <w:p w14:paraId="24730565" w14:textId="77777777" w:rsidR="00827D09" w:rsidRDefault="00827D09" w:rsidP="008F5322">
            <w:pPr>
              <w:widowControl w:val="0"/>
              <w:autoSpaceDE w:val="0"/>
              <w:autoSpaceDN w:val="0"/>
              <w:adjustRightInd w:val="0"/>
              <w:jc w:val="center"/>
              <w:rPr>
                <w:sz w:val="18"/>
                <w:szCs w:val="18"/>
              </w:rPr>
            </w:pPr>
          </w:p>
          <w:p w14:paraId="041D39C9" w14:textId="3D9BE046" w:rsidR="001631C6" w:rsidRPr="00FB3A9C" w:rsidRDefault="001631C6" w:rsidP="008F5322">
            <w:pPr>
              <w:widowControl w:val="0"/>
              <w:autoSpaceDE w:val="0"/>
              <w:autoSpaceDN w:val="0"/>
              <w:adjustRightInd w:val="0"/>
              <w:jc w:val="center"/>
              <w:rPr>
                <w:sz w:val="18"/>
                <w:szCs w:val="18"/>
              </w:rPr>
            </w:pPr>
            <w:r>
              <w:rPr>
                <w:sz w:val="18"/>
                <w:szCs w:val="18"/>
              </w:rPr>
              <w:t>Euro</w:t>
            </w:r>
            <w:r w:rsidR="0003252C">
              <w:rPr>
                <w:sz w:val="18"/>
                <w:szCs w:val="18"/>
              </w:rPr>
              <w:t>zone</w:t>
            </w:r>
            <w:r>
              <w:rPr>
                <w:sz w:val="18"/>
                <w:szCs w:val="18"/>
              </w:rPr>
              <w:t xml:space="preserve"> Crisis</w:t>
            </w:r>
          </w:p>
        </w:tc>
        <w:tc>
          <w:tcPr>
            <w:tcW w:w="79" w:type="pct"/>
            <w:tcBorders>
              <w:top w:val="single" w:sz="4" w:space="0" w:color="auto"/>
            </w:tcBorders>
            <w:vAlign w:val="center"/>
          </w:tcPr>
          <w:p w14:paraId="703E8A7D" w14:textId="77777777" w:rsidR="001631C6" w:rsidRPr="00FB3A9C" w:rsidRDefault="001631C6" w:rsidP="008F5322">
            <w:pPr>
              <w:widowControl w:val="0"/>
              <w:autoSpaceDE w:val="0"/>
              <w:autoSpaceDN w:val="0"/>
              <w:adjustRightInd w:val="0"/>
              <w:jc w:val="center"/>
              <w:rPr>
                <w:sz w:val="18"/>
                <w:szCs w:val="18"/>
              </w:rPr>
            </w:pPr>
          </w:p>
        </w:tc>
        <w:tc>
          <w:tcPr>
            <w:tcW w:w="484" w:type="pct"/>
            <w:gridSpan w:val="2"/>
            <w:tcBorders>
              <w:top w:val="single" w:sz="4" w:space="0" w:color="auto"/>
              <w:left w:val="nil"/>
              <w:bottom w:val="single" w:sz="4" w:space="0" w:color="auto"/>
            </w:tcBorders>
            <w:vAlign w:val="center"/>
          </w:tcPr>
          <w:p w14:paraId="2A53DFA3" w14:textId="77777777" w:rsidR="001631C6" w:rsidRDefault="001631C6" w:rsidP="008F5322">
            <w:pPr>
              <w:widowControl w:val="0"/>
              <w:autoSpaceDE w:val="0"/>
              <w:autoSpaceDN w:val="0"/>
              <w:adjustRightInd w:val="0"/>
              <w:jc w:val="center"/>
              <w:rPr>
                <w:sz w:val="18"/>
                <w:szCs w:val="18"/>
              </w:rPr>
            </w:pPr>
            <w:r>
              <w:rPr>
                <w:sz w:val="18"/>
                <w:szCs w:val="18"/>
              </w:rPr>
              <w:t>Model 4</w:t>
            </w:r>
          </w:p>
          <w:p w14:paraId="6EB73E5D" w14:textId="651788FF" w:rsidR="001631C6" w:rsidRPr="00FB3A9C" w:rsidRDefault="001631C6" w:rsidP="008F5322">
            <w:pPr>
              <w:widowControl w:val="0"/>
              <w:autoSpaceDE w:val="0"/>
              <w:autoSpaceDN w:val="0"/>
              <w:adjustRightInd w:val="0"/>
              <w:jc w:val="center"/>
              <w:rPr>
                <w:sz w:val="18"/>
                <w:szCs w:val="18"/>
              </w:rPr>
            </w:pPr>
            <w:r>
              <w:rPr>
                <w:sz w:val="18"/>
                <w:szCs w:val="18"/>
              </w:rPr>
              <w:t>Post-</w:t>
            </w:r>
            <w:r w:rsidR="0003252C">
              <w:rPr>
                <w:sz w:val="18"/>
                <w:szCs w:val="18"/>
              </w:rPr>
              <w:t xml:space="preserve">Financial &amp; Eurozne </w:t>
            </w:r>
            <w:r>
              <w:rPr>
                <w:sz w:val="18"/>
                <w:szCs w:val="18"/>
              </w:rPr>
              <w:t>crisis</w:t>
            </w:r>
          </w:p>
        </w:tc>
        <w:tc>
          <w:tcPr>
            <w:tcW w:w="79" w:type="pct"/>
            <w:tcBorders>
              <w:top w:val="single" w:sz="4" w:space="0" w:color="auto"/>
              <w:right w:val="nil"/>
            </w:tcBorders>
            <w:vAlign w:val="center"/>
          </w:tcPr>
          <w:p w14:paraId="06E060F0" w14:textId="77777777" w:rsidR="001631C6" w:rsidRPr="00FB3A9C" w:rsidRDefault="001631C6" w:rsidP="008F5322">
            <w:pPr>
              <w:widowControl w:val="0"/>
              <w:autoSpaceDE w:val="0"/>
              <w:autoSpaceDN w:val="0"/>
              <w:adjustRightInd w:val="0"/>
              <w:jc w:val="center"/>
              <w:rPr>
                <w:sz w:val="18"/>
                <w:szCs w:val="18"/>
              </w:rPr>
            </w:pPr>
          </w:p>
        </w:tc>
        <w:tc>
          <w:tcPr>
            <w:tcW w:w="1947" w:type="pct"/>
            <w:gridSpan w:val="5"/>
            <w:tcBorders>
              <w:top w:val="single" w:sz="4" w:space="0" w:color="auto"/>
              <w:left w:val="nil"/>
              <w:bottom w:val="single" w:sz="4" w:space="0" w:color="auto"/>
              <w:right w:val="nil"/>
            </w:tcBorders>
            <w:vAlign w:val="center"/>
          </w:tcPr>
          <w:p w14:paraId="68F38112"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Mean</w:t>
            </w:r>
          </w:p>
          <w:p w14:paraId="60AB7DFB"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Difference</w:t>
            </w:r>
          </w:p>
        </w:tc>
      </w:tr>
      <w:tr w:rsidR="001631C6" w:rsidRPr="00FB3A9C" w14:paraId="4EE57278" w14:textId="77777777" w:rsidTr="008F5322">
        <w:tc>
          <w:tcPr>
            <w:tcW w:w="825" w:type="pct"/>
            <w:tcBorders>
              <w:top w:val="nil"/>
              <w:left w:val="nil"/>
              <w:bottom w:val="nil"/>
              <w:right w:val="nil"/>
            </w:tcBorders>
            <w:vAlign w:val="center"/>
          </w:tcPr>
          <w:p w14:paraId="4339A6F7" w14:textId="77777777" w:rsidR="001631C6" w:rsidRPr="00FB3A9C" w:rsidRDefault="001631C6" w:rsidP="008F5322">
            <w:pPr>
              <w:widowControl w:val="0"/>
              <w:autoSpaceDE w:val="0"/>
              <w:autoSpaceDN w:val="0"/>
              <w:adjustRightInd w:val="0"/>
              <w:jc w:val="center"/>
              <w:rPr>
                <w:sz w:val="18"/>
                <w:szCs w:val="18"/>
              </w:rPr>
            </w:pPr>
          </w:p>
        </w:tc>
        <w:tc>
          <w:tcPr>
            <w:tcW w:w="195" w:type="pct"/>
            <w:tcBorders>
              <w:top w:val="single" w:sz="4" w:space="0" w:color="auto"/>
              <w:left w:val="nil"/>
              <w:bottom w:val="nil"/>
              <w:right w:val="nil"/>
            </w:tcBorders>
            <w:vAlign w:val="center"/>
          </w:tcPr>
          <w:p w14:paraId="15C73A42"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Obs.</w:t>
            </w:r>
          </w:p>
        </w:tc>
        <w:tc>
          <w:tcPr>
            <w:tcW w:w="282" w:type="pct"/>
            <w:tcBorders>
              <w:top w:val="single" w:sz="4" w:space="0" w:color="auto"/>
              <w:left w:val="nil"/>
              <w:bottom w:val="nil"/>
            </w:tcBorders>
            <w:vAlign w:val="center"/>
          </w:tcPr>
          <w:p w14:paraId="1712B85E"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Mean</w:t>
            </w:r>
          </w:p>
        </w:tc>
        <w:tc>
          <w:tcPr>
            <w:tcW w:w="79" w:type="pct"/>
            <w:tcBorders>
              <w:bottom w:val="nil"/>
              <w:right w:val="nil"/>
            </w:tcBorders>
            <w:vAlign w:val="center"/>
          </w:tcPr>
          <w:p w14:paraId="44379F14" w14:textId="77777777" w:rsidR="001631C6" w:rsidRPr="00FB3A9C" w:rsidRDefault="001631C6" w:rsidP="008F5322">
            <w:pPr>
              <w:widowControl w:val="0"/>
              <w:autoSpaceDE w:val="0"/>
              <w:autoSpaceDN w:val="0"/>
              <w:adjustRightInd w:val="0"/>
              <w:jc w:val="center"/>
              <w:rPr>
                <w:sz w:val="18"/>
                <w:szCs w:val="18"/>
              </w:rPr>
            </w:pPr>
          </w:p>
        </w:tc>
        <w:tc>
          <w:tcPr>
            <w:tcW w:w="195" w:type="pct"/>
            <w:tcBorders>
              <w:top w:val="single" w:sz="4" w:space="0" w:color="auto"/>
              <w:left w:val="nil"/>
              <w:bottom w:val="nil"/>
              <w:right w:val="nil"/>
            </w:tcBorders>
            <w:vAlign w:val="center"/>
          </w:tcPr>
          <w:p w14:paraId="24DE8D32"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Obs.</w:t>
            </w:r>
          </w:p>
        </w:tc>
        <w:tc>
          <w:tcPr>
            <w:tcW w:w="282" w:type="pct"/>
            <w:tcBorders>
              <w:top w:val="single" w:sz="4" w:space="0" w:color="auto"/>
              <w:left w:val="nil"/>
              <w:bottom w:val="nil"/>
            </w:tcBorders>
            <w:vAlign w:val="center"/>
          </w:tcPr>
          <w:p w14:paraId="08DB8338"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Mean</w:t>
            </w:r>
          </w:p>
        </w:tc>
        <w:tc>
          <w:tcPr>
            <w:tcW w:w="79" w:type="pct"/>
            <w:tcBorders>
              <w:bottom w:val="nil"/>
              <w:right w:val="nil"/>
            </w:tcBorders>
            <w:vAlign w:val="center"/>
          </w:tcPr>
          <w:p w14:paraId="6845BCD4" w14:textId="77777777" w:rsidR="001631C6" w:rsidRPr="00FB3A9C" w:rsidRDefault="001631C6" w:rsidP="008F5322">
            <w:pPr>
              <w:widowControl w:val="0"/>
              <w:autoSpaceDE w:val="0"/>
              <w:autoSpaceDN w:val="0"/>
              <w:adjustRightInd w:val="0"/>
              <w:jc w:val="center"/>
              <w:rPr>
                <w:sz w:val="18"/>
                <w:szCs w:val="18"/>
              </w:rPr>
            </w:pPr>
          </w:p>
        </w:tc>
        <w:tc>
          <w:tcPr>
            <w:tcW w:w="195" w:type="pct"/>
            <w:tcBorders>
              <w:top w:val="single" w:sz="4" w:space="0" w:color="auto"/>
              <w:left w:val="nil"/>
              <w:bottom w:val="nil"/>
              <w:right w:val="nil"/>
            </w:tcBorders>
            <w:vAlign w:val="center"/>
          </w:tcPr>
          <w:p w14:paraId="566A07C7"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Obs.</w:t>
            </w:r>
          </w:p>
        </w:tc>
        <w:tc>
          <w:tcPr>
            <w:tcW w:w="282" w:type="pct"/>
            <w:tcBorders>
              <w:top w:val="single" w:sz="4" w:space="0" w:color="auto"/>
              <w:left w:val="nil"/>
              <w:bottom w:val="nil"/>
              <w:right w:val="nil"/>
            </w:tcBorders>
            <w:vAlign w:val="center"/>
          </w:tcPr>
          <w:p w14:paraId="3CB93350"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Mean</w:t>
            </w:r>
          </w:p>
        </w:tc>
        <w:tc>
          <w:tcPr>
            <w:tcW w:w="79" w:type="pct"/>
            <w:tcBorders>
              <w:left w:val="nil"/>
              <w:bottom w:val="nil"/>
              <w:right w:val="nil"/>
            </w:tcBorders>
            <w:vAlign w:val="center"/>
          </w:tcPr>
          <w:p w14:paraId="27F24B9F" w14:textId="77777777" w:rsidR="001631C6" w:rsidRPr="00FB3A9C" w:rsidRDefault="001631C6" w:rsidP="008F5322">
            <w:pPr>
              <w:widowControl w:val="0"/>
              <w:autoSpaceDE w:val="0"/>
              <w:autoSpaceDN w:val="0"/>
              <w:adjustRightInd w:val="0"/>
              <w:jc w:val="center"/>
              <w:rPr>
                <w:sz w:val="18"/>
                <w:szCs w:val="18"/>
              </w:rPr>
            </w:pPr>
          </w:p>
        </w:tc>
        <w:tc>
          <w:tcPr>
            <w:tcW w:w="202" w:type="pct"/>
            <w:tcBorders>
              <w:top w:val="single" w:sz="4" w:space="0" w:color="auto"/>
              <w:left w:val="nil"/>
              <w:bottom w:val="nil"/>
              <w:right w:val="nil"/>
            </w:tcBorders>
            <w:vAlign w:val="center"/>
          </w:tcPr>
          <w:p w14:paraId="154BD826"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Obs.</w:t>
            </w:r>
          </w:p>
        </w:tc>
        <w:tc>
          <w:tcPr>
            <w:tcW w:w="282" w:type="pct"/>
            <w:tcBorders>
              <w:top w:val="single" w:sz="4" w:space="0" w:color="auto"/>
              <w:left w:val="nil"/>
              <w:bottom w:val="nil"/>
              <w:right w:val="nil"/>
            </w:tcBorders>
            <w:vAlign w:val="center"/>
          </w:tcPr>
          <w:p w14:paraId="19AFE4ED"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Mean</w:t>
            </w:r>
          </w:p>
        </w:tc>
        <w:tc>
          <w:tcPr>
            <w:tcW w:w="79" w:type="pct"/>
            <w:tcBorders>
              <w:left w:val="nil"/>
              <w:bottom w:val="nil"/>
              <w:right w:val="nil"/>
            </w:tcBorders>
            <w:vAlign w:val="center"/>
          </w:tcPr>
          <w:p w14:paraId="0BEE17A4" w14:textId="77777777" w:rsidR="001631C6" w:rsidRPr="00FB3A9C" w:rsidRDefault="001631C6" w:rsidP="008F5322">
            <w:pPr>
              <w:widowControl w:val="0"/>
              <w:autoSpaceDE w:val="0"/>
              <w:autoSpaceDN w:val="0"/>
              <w:adjustRightInd w:val="0"/>
              <w:jc w:val="center"/>
              <w:rPr>
                <w:sz w:val="18"/>
                <w:szCs w:val="18"/>
              </w:rPr>
            </w:pPr>
          </w:p>
        </w:tc>
        <w:tc>
          <w:tcPr>
            <w:tcW w:w="377" w:type="pct"/>
            <w:tcBorders>
              <w:top w:val="single" w:sz="4" w:space="0" w:color="auto"/>
              <w:left w:val="nil"/>
              <w:bottom w:val="nil"/>
              <w:right w:val="nil"/>
            </w:tcBorders>
            <w:vAlign w:val="center"/>
          </w:tcPr>
          <w:p w14:paraId="480DA341"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w:t>
            </w:r>
            <w:r>
              <w:rPr>
                <w:sz w:val="18"/>
                <w:szCs w:val="18"/>
              </w:rPr>
              <w:t>2</w:t>
            </w:r>
            <w:r w:rsidRPr="00FB3A9C">
              <w:rPr>
                <w:sz w:val="18"/>
                <w:szCs w:val="18"/>
              </w:rPr>
              <w:t>)</w:t>
            </w:r>
            <w:r>
              <w:rPr>
                <w:sz w:val="18"/>
                <w:szCs w:val="18"/>
              </w:rPr>
              <w:t xml:space="preserve"> </w:t>
            </w:r>
            <w:r w:rsidRPr="00FB3A9C">
              <w:rPr>
                <w:sz w:val="18"/>
                <w:szCs w:val="18"/>
              </w:rPr>
              <w:t>-</w:t>
            </w:r>
            <w:r>
              <w:rPr>
                <w:sz w:val="18"/>
                <w:szCs w:val="18"/>
              </w:rPr>
              <w:t xml:space="preserve"> </w:t>
            </w:r>
            <w:r w:rsidRPr="00FB3A9C">
              <w:rPr>
                <w:sz w:val="18"/>
                <w:szCs w:val="18"/>
              </w:rPr>
              <w:t>(</w:t>
            </w:r>
            <w:r>
              <w:rPr>
                <w:sz w:val="18"/>
                <w:szCs w:val="18"/>
              </w:rPr>
              <w:t>1</w:t>
            </w:r>
            <w:r w:rsidRPr="00FB3A9C">
              <w:rPr>
                <w:sz w:val="18"/>
                <w:szCs w:val="18"/>
              </w:rPr>
              <w:t>)</w:t>
            </w:r>
          </w:p>
        </w:tc>
        <w:tc>
          <w:tcPr>
            <w:tcW w:w="390" w:type="pct"/>
            <w:tcBorders>
              <w:top w:val="single" w:sz="4" w:space="0" w:color="auto"/>
              <w:left w:val="nil"/>
              <w:bottom w:val="nil"/>
              <w:right w:val="nil"/>
            </w:tcBorders>
            <w:vAlign w:val="center"/>
          </w:tcPr>
          <w:p w14:paraId="4E3CC2B0"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(3)</w:t>
            </w:r>
            <w:r>
              <w:rPr>
                <w:sz w:val="18"/>
                <w:szCs w:val="18"/>
              </w:rPr>
              <w:t xml:space="preserve"> </w:t>
            </w:r>
            <w:r w:rsidRPr="00FB3A9C">
              <w:rPr>
                <w:sz w:val="18"/>
                <w:szCs w:val="18"/>
              </w:rPr>
              <w:t>-</w:t>
            </w:r>
            <w:r>
              <w:rPr>
                <w:sz w:val="18"/>
                <w:szCs w:val="18"/>
              </w:rPr>
              <w:t xml:space="preserve"> </w:t>
            </w:r>
            <w:r w:rsidRPr="00FB3A9C">
              <w:rPr>
                <w:sz w:val="18"/>
                <w:szCs w:val="18"/>
              </w:rPr>
              <w:t>(1)</w:t>
            </w:r>
          </w:p>
        </w:tc>
        <w:tc>
          <w:tcPr>
            <w:tcW w:w="327" w:type="pct"/>
            <w:tcBorders>
              <w:top w:val="single" w:sz="4" w:space="0" w:color="auto"/>
              <w:left w:val="nil"/>
              <w:bottom w:val="nil"/>
              <w:right w:val="nil"/>
            </w:tcBorders>
            <w:vAlign w:val="center"/>
          </w:tcPr>
          <w:p w14:paraId="0C05BE1F"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w:t>
            </w:r>
            <w:r>
              <w:rPr>
                <w:sz w:val="18"/>
                <w:szCs w:val="18"/>
              </w:rPr>
              <w:t>3</w:t>
            </w:r>
            <w:r w:rsidRPr="00FB3A9C">
              <w:rPr>
                <w:sz w:val="18"/>
                <w:szCs w:val="18"/>
              </w:rPr>
              <w:t>)</w:t>
            </w:r>
            <w:r>
              <w:rPr>
                <w:sz w:val="18"/>
                <w:szCs w:val="18"/>
              </w:rPr>
              <w:t xml:space="preserve"> </w:t>
            </w:r>
            <w:r w:rsidRPr="00FB3A9C">
              <w:rPr>
                <w:sz w:val="18"/>
                <w:szCs w:val="18"/>
              </w:rPr>
              <w:t>-</w:t>
            </w:r>
            <w:r>
              <w:rPr>
                <w:sz w:val="18"/>
                <w:szCs w:val="18"/>
              </w:rPr>
              <w:t xml:space="preserve"> </w:t>
            </w:r>
            <w:r w:rsidRPr="00FB3A9C">
              <w:rPr>
                <w:sz w:val="18"/>
                <w:szCs w:val="18"/>
              </w:rPr>
              <w:t>(</w:t>
            </w:r>
            <w:r>
              <w:rPr>
                <w:sz w:val="18"/>
                <w:szCs w:val="18"/>
              </w:rPr>
              <w:t>4</w:t>
            </w:r>
            <w:r w:rsidRPr="00FB3A9C">
              <w:rPr>
                <w:sz w:val="18"/>
                <w:szCs w:val="18"/>
              </w:rPr>
              <w:t>)</w:t>
            </w:r>
          </w:p>
        </w:tc>
        <w:tc>
          <w:tcPr>
            <w:tcW w:w="377" w:type="pct"/>
            <w:tcBorders>
              <w:top w:val="single" w:sz="4" w:space="0" w:color="auto"/>
              <w:left w:val="nil"/>
              <w:bottom w:val="nil"/>
              <w:right w:val="nil"/>
            </w:tcBorders>
            <w:vAlign w:val="center"/>
          </w:tcPr>
          <w:p w14:paraId="535B591E" w14:textId="77777777" w:rsidR="001631C6" w:rsidRPr="00FB3A9C" w:rsidRDefault="001631C6" w:rsidP="008F5322">
            <w:pPr>
              <w:widowControl w:val="0"/>
              <w:autoSpaceDE w:val="0"/>
              <w:autoSpaceDN w:val="0"/>
              <w:adjustRightInd w:val="0"/>
              <w:jc w:val="center"/>
              <w:rPr>
                <w:sz w:val="18"/>
                <w:szCs w:val="18"/>
              </w:rPr>
            </w:pPr>
            <w:r w:rsidRPr="00FB3A9C">
              <w:rPr>
                <w:sz w:val="18"/>
                <w:szCs w:val="18"/>
              </w:rPr>
              <w:t>(</w:t>
            </w:r>
            <w:r>
              <w:rPr>
                <w:sz w:val="18"/>
                <w:szCs w:val="18"/>
              </w:rPr>
              <w:t>2</w:t>
            </w:r>
            <w:r w:rsidRPr="00FB3A9C">
              <w:rPr>
                <w:sz w:val="18"/>
                <w:szCs w:val="18"/>
              </w:rPr>
              <w:t>)</w:t>
            </w:r>
            <w:r>
              <w:rPr>
                <w:sz w:val="18"/>
                <w:szCs w:val="18"/>
              </w:rPr>
              <w:t xml:space="preserve"> </w:t>
            </w:r>
            <w:r w:rsidRPr="00FB3A9C">
              <w:rPr>
                <w:sz w:val="18"/>
                <w:szCs w:val="18"/>
              </w:rPr>
              <w:t>-</w:t>
            </w:r>
            <w:r>
              <w:rPr>
                <w:sz w:val="18"/>
                <w:szCs w:val="18"/>
              </w:rPr>
              <w:t xml:space="preserve"> </w:t>
            </w:r>
            <w:r w:rsidRPr="00FB3A9C">
              <w:rPr>
                <w:sz w:val="18"/>
                <w:szCs w:val="18"/>
              </w:rPr>
              <w:t>(</w:t>
            </w:r>
            <w:r>
              <w:rPr>
                <w:sz w:val="18"/>
                <w:szCs w:val="18"/>
              </w:rPr>
              <w:t>4</w:t>
            </w:r>
            <w:r w:rsidRPr="00FB3A9C">
              <w:rPr>
                <w:sz w:val="18"/>
                <w:szCs w:val="18"/>
              </w:rPr>
              <w:t>)</w:t>
            </w:r>
          </w:p>
        </w:tc>
        <w:tc>
          <w:tcPr>
            <w:tcW w:w="475" w:type="pct"/>
            <w:tcBorders>
              <w:top w:val="single" w:sz="4" w:space="0" w:color="auto"/>
              <w:left w:val="nil"/>
              <w:bottom w:val="nil"/>
              <w:right w:val="nil"/>
            </w:tcBorders>
          </w:tcPr>
          <w:p w14:paraId="7276B407" w14:textId="77777777" w:rsidR="001631C6" w:rsidRPr="00FB3A9C" w:rsidRDefault="001631C6" w:rsidP="008F5322">
            <w:pPr>
              <w:widowControl w:val="0"/>
              <w:autoSpaceDE w:val="0"/>
              <w:autoSpaceDN w:val="0"/>
              <w:adjustRightInd w:val="0"/>
              <w:jc w:val="center"/>
              <w:rPr>
                <w:sz w:val="18"/>
                <w:szCs w:val="18"/>
              </w:rPr>
            </w:pPr>
            <w:r>
              <w:rPr>
                <w:sz w:val="18"/>
                <w:szCs w:val="18"/>
              </w:rPr>
              <w:t>(4) - (1)</w:t>
            </w:r>
          </w:p>
        </w:tc>
      </w:tr>
      <w:tr w:rsidR="001631C6" w:rsidRPr="00FB3A9C" w14:paraId="4FB52614" w14:textId="77777777" w:rsidTr="008F5322">
        <w:tc>
          <w:tcPr>
            <w:tcW w:w="825" w:type="pct"/>
            <w:tcBorders>
              <w:top w:val="single" w:sz="4" w:space="0" w:color="auto"/>
              <w:left w:val="nil"/>
              <w:bottom w:val="nil"/>
              <w:right w:val="nil"/>
            </w:tcBorders>
          </w:tcPr>
          <w:p w14:paraId="53653E3C" w14:textId="77777777" w:rsidR="001631C6" w:rsidRPr="00FB3A9C" w:rsidRDefault="001631C6" w:rsidP="008F5322">
            <w:pPr>
              <w:widowControl w:val="0"/>
              <w:autoSpaceDE w:val="0"/>
              <w:autoSpaceDN w:val="0"/>
              <w:adjustRightInd w:val="0"/>
              <w:rPr>
                <w:sz w:val="18"/>
                <w:szCs w:val="18"/>
              </w:rPr>
            </w:pPr>
            <w:r w:rsidRPr="00FB3A9C">
              <w:rPr>
                <w:sz w:val="18"/>
                <w:szCs w:val="18"/>
              </w:rPr>
              <w:t>Credit Spread</w:t>
            </w:r>
          </w:p>
        </w:tc>
        <w:tc>
          <w:tcPr>
            <w:tcW w:w="195" w:type="pct"/>
            <w:tcBorders>
              <w:top w:val="single" w:sz="4" w:space="0" w:color="auto"/>
              <w:left w:val="nil"/>
              <w:bottom w:val="nil"/>
              <w:right w:val="nil"/>
            </w:tcBorders>
          </w:tcPr>
          <w:p w14:paraId="6E115910" w14:textId="77777777" w:rsidR="001631C6" w:rsidRPr="00FB3A9C" w:rsidRDefault="001631C6" w:rsidP="008F5322">
            <w:pPr>
              <w:widowControl w:val="0"/>
              <w:autoSpaceDE w:val="0"/>
              <w:autoSpaceDN w:val="0"/>
              <w:adjustRightInd w:val="0"/>
              <w:rPr>
                <w:sz w:val="18"/>
                <w:szCs w:val="18"/>
              </w:rPr>
            </w:pPr>
            <w:r w:rsidRPr="00FB3A9C">
              <w:rPr>
                <w:sz w:val="18"/>
                <w:szCs w:val="18"/>
              </w:rPr>
              <w:t>444</w:t>
            </w:r>
          </w:p>
        </w:tc>
        <w:tc>
          <w:tcPr>
            <w:tcW w:w="282" w:type="pct"/>
            <w:tcBorders>
              <w:top w:val="single" w:sz="4" w:space="0" w:color="auto"/>
              <w:left w:val="nil"/>
              <w:bottom w:val="nil"/>
              <w:right w:val="nil"/>
            </w:tcBorders>
          </w:tcPr>
          <w:p w14:paraId="2A92AFC7" w14:textId="77777777" w:rsidR="001631C6" w:rsidRPr="00FB3A9C" w:rsidRDefault="001631C6" w:rsidP="008F5322">
            <w:pPr>
              <w:widowControl w:val="0"/>
              <w:autoSpaceDE w:val="0"/>
              <w:autoSpaceDN w:val="0"/>
              <w:adjustRightInd w:val="0"/>
              <w:rPr>
                <w:sz w:val="18"/>
                <w:szCs w:val="18"/>
              </w:rPr>
            </w:pPr>
            <w:r w:rsidRPr="00FB3A9C">
              <w:rPr>
                <w:sz w:val="18"/>
                <w:szCs w:val="18"/>
              </w:rPr>
              <w:t>0.705</w:t>
            </w:r>
          </w:p>
        </w:tc>
        <w:tc>
          <w:tcPr>
            <w:tcW w:w="79" w:type="pct"/>
            <w:tcBorders>
              <w:left w:val="nil"/>
              <w:bottom w:val="nil"/>
              <w:right w:val="nil"/>
            </w:tcBorders>
          </w:tcPr>
          <w:p w14:paraId="586E2D99" w14:textId="77777777" w:rsidR="001631C6" w:rsidRPr="00FB3A9C" w:rsidRDefault="001631C6" w:rsidP="008F5322">
            <w:pPr>
              <w:widowControl w:val="0"/>
              <w:autoSpaceDE w:val="0"/>
              <w:autoSpaceDN w:val="0"/>
              <w:adjustRightInd w:val="0"/>
              <w:rPr>
                <w:sz w:val="18"/>
                <w:szCs w:val="18"/>
              </w:rPr>
            </w:pPr>
          </w:p>
        </w:tc>
        <w:tc>
          <w:tcPr>
            <w:tcW w:w="195" w:type="pct"/>
            <w:tcBorders>
              <w:top w:val="single" w:sz="4" w:space="0" w:color="auto"/>
              <w:left w:val="nil"/>
              <w:bottom w:val="nil"/>
              <w:right w:val="nil"/>
            </w:tcBorders>
          </w:tcPr>
          <w:p w14:paraId="15D82B4A"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single" w:sz="4" w:space="0" w:color="auto"/>
              <w:left w:val="nil"/>
              <w:bottom w:val="nil"/>
              <w:right w:val="nil"/>
            </w:tcBorders>
          </w:tcPr>
          <w:p w14:paraId="21016E28" w14:textId="77777777" w:rsidR="001631C6" w:rsidRPr="00FB3A9C" w:rsidRDefault="001631C6" w:rsidP="008F5322">
            <w:pPr>
              <w:widowControl w:val="0"/>
              <w:autoSpaceDE w:val="0"/>
              <w:autoSpaceDN w:val="0"/>
              <w:adjustRightInd w:val="0"/>
              <w:rPr>
                <w:sz w:val="18"/>
                <w:szCs w:val="18"/>
              </w:rPr>
            </w:pPr>
            <w:r w:rsidRPr="00FB3A9C">
              <w:rPr>
                <w:sz w:val="18"/>
                <w:szCs w:val="18"/>
              </w:rPr>
              <w:t>1.940</w:t>
            </w:r>
          </w:p>
        </w:tc>
        <w:tc>
          <w:tcPr>
            <w:tcW w:w="79" w:type="pct"/>
            <w:tcBorders>
              <w:left w:val="nil"/>
              <w:bottom w:val="nil"/>
              <w:right w:val="nil"/>
            </w:tcBorders>
          </w:tcPr>
          <w:p w14:paraId="4EEBB7D1" w14:textId="77777777" w:rsidR="001631C6" w:rsidRPr="00FB3A9C" w:rsidRDefault="001631C6" w:rsidP="008F5322">
            <w:pPr>
              <w:widowControl w:val="0"/>
              <w:autoSpaceDE w:val="0"/>
              <w:autoSpaceDN w:val="0"/>
              <w:adjustRightInd w:val="0"/>
              <w:rPr>
                <w:sz w:val="18"/>
                <w:szCs w:val="18"/>
              </w:rPr>
            </w:pPr>
          </w:p>
        </w:tc>
        <w:tc>
          <w:tcPr>
            <w:tcW w:w="195" w:type="pct"/>
            <w:tcBorders>
              <w:top w:val="single" w:sz="4" w:space="0" w:color="auto"/>
              <w:left w:val="nil"/>
              <w:bottom w:val="nil"/>
              <w:right w:val="nil"/>
            </w:tcBorders>
          </w:tcPr>
          <w:p w14:paraId="43F7AB1C" w14:textId="77777777" w:rsidR="001631C6" w:rsidRPr="00FB3A9C" w:rsidRDefault="001631C6" w:rsidP="008F5322">
            <w:pPr>
              <w:widowControl w:val="0"/>
              <w:autoSpaceDE w:val="0"/>
              <w:autoSpaceDN w:val="0"/>
              <w:adjustRightInd w:val="0"/>
              <w:rPr>
                <w:sz w:val="18"/>
                <w:szCs w:val="18"/>
              </w:rPr>
            </w:pPr>
            <w:r w:rsidRPr="00FB3A9C">
              <w:rPr>
                <w:sz w:val="18"/>
                <w:szCs w:val="18"/>
              </w:rPr>
              <w:t>370</w:t>
            </w:r>
          </w:p>
        </w:tc>
        <w:tc>
          <w:tcPr>
            <w:tcW w:w="282" w:type="pct"/>
            <w:tcBorders>
              <w:top w:val="single" w:sz="4" w:space="0" w:color="auto"/>
              <w:left w:val="nil"/>
              <w:bottom w:val="nil"/>
              <w:right w:val="nil"/>
            </w:tcBorders>
          </w:tcPr>
          <w:p w14:paraId="0F6C3761" w14:textId="77777777" w:rsidR="001631C6" w:rsidRPr="00FB3A9C" w:rsidRDefault="001631C6" w:rsidP="008F5322">
            <w:pPr>
              <w:widowControl w:val="0"/>
              <w:autoSpaceDE w:val="0"/>
              <w:autoSpaceDN w:val="0"/>
              <w:adjustRightInd w:val="0"/>
              <w:rPr>
                <w:sz w:val="18"/>
                <w:szCs w:val="18"/>
              </w:rPr>
            </w:pPr>
            <w:r w:rsidRPr="00FB3A9C">
              <w:rPr>
                <w:sz w:val="18"/>
                <w:szCs w:val="18"/>
              </w:rPr>
              <w:t>1.632</w:t>
            </w:r>
          </w:p>
        </w:tc>
        <w:tc>
          <w:tcPr>
            <w:tcW w:w="79" w:type="pct"/>
            <w:tcBorders>
              <w:left w:val="nil"/>
              <w:bottom w:val="nil"/>
              <w:right w:val="nil"/>
            </w:tcBorders>
          </w:tcPr>
          <w:p w14:paraId="45952E6C" w14:textId="77777777" w:rsidR="001631C6" w:rsidRPr="00FB3A9C" w:rsidRDefault="001631C6" w:rsidP="008F5322">
            <w:pPr>
              <w:widowControl w:val="0"/>
              <w:autoSpaceDE w:val="0"/>
              <w:autoSpaceDN w:val="0"/>
              <w:adjustRightInd w:val="0"/>
              <w:rPr>
                <w:sz w:val="18"/>
                <w:szCs w:val="18"/>
              </w:rPr>
            </w:pPr>
          </w:p>
        </w:tc>
        <w:tc>
          <w:tcPr>
            <w:tcW w:w="202" w:type="pct"/>
            <w:tcBorders>
              <w:top w:val="single" w:sz="4" w:space="0" w:color="auto"/>
              <w:left w:val="nil"/>
              <w:bottom w:val="nil"/>
              <w:right w:val="nil"/>
            </w:tcBorders>
          </w:tcPr>
          <w:p w14:paraId="0722C931" w14:textId="77777777" w:rsidR="001631C6" w:rsidRPr="00FB3A9C" w:rsidRDefault="001631C6" w:rsidP="008F5322">
            <w:pPr>
              <w:widowControl w:val="0"/>
              <w:autoSpaceDE w:val="0"/>
              <w:autoSpaceDN w:val="0"/>
              <w:adjustRightInd w:val="0"/>
              <w:rPr>
                <w:sz w:val="18"/>
                <w:szCs w:val="18"/>
              </w:rPr>
            </w:pPr>
            <w:r w:rsidRPr="00FB3A9C">
              <w:rPr>
                <w:sz w:val="18"/>
                <w:szCs w:val="18"/>
              </w:rPr>
              <w:t>1770</w:t>
            </w:r>
          </w:p>
        </w:tc>
        <w:tc>
          <w:tcPr>
            <w:tcW w:w="282" w:type="pct"/>
            <w:tcBorders>
              <w:top w:val="single" w:sz="4" w:space="0" w:color="auto"/>
              <w:left w:val="nil"/>
              <w:bottom w:val="nil"/>
              <w:right w:val="nil"/>
            </w:tcBorders>
          </w:tcPr>
          <w:p w14:paraId="5C8D1C1D" w14:textId="77777777" w:rsidR="001631C6" w:rsidRPr="00FB3A9C" w:rsidRDefault="001631C6" w:rsidP="008F5322">
            <w:pPr>
              <w:widowControl w:val="0"/>
              <w:autoSpaceDE w:val="0"/>
              <w:autoSpaceDN w:val="0"/>
              <w:adjustRightInd w:val="0"/>
              <w:rPr>
                <w:sz w:val="18"/>
                <w:szCs w:val="18"/>
              </w:rPr>
            </w:pPr>
            <w:r w:rsidRPr="00FB3A9C">
              <w:rPr>
                <w:sz w:val="18"/>
                <w:szCs w:val="18"/>
              </w:rPr>
              <w:t>1.030</w:t>
            </w:r>
          </w:p>
        </w:tc>
        <w:tc>
          <w:tcPr>
            <w:tcW w:w="79" w:type="pct"/>
            <w:tcBorders>
              <w:left w:val="nil"/>
              <w:bottom w:val="nil"/>
              <w:right w:val="nil"/>
            </w:tcBorders>
          </w:tcPr>
          <w:p w14:paraId="2C7C7108" w14:textId="77777777" w:rsidR="001631C6" w:rsidRPr="00FB3A9C" w:rsidRDefault="001631C6" w:rsidP="008F5322">
            <w:pPr>
              <w:widowControl w:val="0"/>
              <w:autoSpaceDE w:val="0"/>
              <w:autoSpaceDN w:val="0"/>
              <w:adjustRightInd w:val="0"/>
              <w:rPr>
                <w:sz w:val="18"/>
                <w:szCs w:val="18"/>
              </w:rPr>
            </w:pPr>
          </w:p>
        </w:tc>
        <w:tc>
          <w:tcPr>
            <w:tcW w:w="377" w:type="pct"/>
            <w:tcBorders>
              <w:top w:val="single" w:sz="4" w:space="0" w:color="auto"/>
              <w:left w:val="nil"/>
              <w:bottom w:val="nil"/>
              <w:right w:val="nil"/>
            </w:tcBorders>
          </w:tcPr>
          <w:p w14:paraId="3D091A58" w14:textId="77777777" w:rsidR="001631C6" w:rsidRPr="00FB3A9C" w:rsidRDefault="001631C6" w:rsidP="008F5322">
            <w:pPr>
              <w:widowControl w:val="0"/>
              <w:autoSpaceDE w:val="0"/>
              <w:autoSpaceDN w:val="0"/>
              <w:adjustRightInd w:val="0"/>
              <w:rPr>
                <w:sz w:val="18"/>
                <w:szCs w:val="18"/>
              </w:rPr>
            </w:pPr>
            <w:r w:rsidRPr="00FB3A9C">
              <w:rPr>
                <w:sz w:val="18"/>
                <w:szCs w:val="18"/>
              </w:rPr>
              <w:t>1.235***</w:t>
            </w:r>
          </w:p>
        </w:tc>
        <w:tc>
          <w:tcPr>
            <w:tcW w:w="390" w:type="pct"/>
            <w:tcBorders>
              <w:top w:val="single" w:sz="4" w:space="0" w:color="auto"/>
              <w:left w:val="nil"/>
              <w:bottom w:val="nil"/>
              <w:right w:val="nil"/>
            </w:tcBorders>
          </w:tcPr>
          <w:p w14:paraId="21448507" w14:textId="77777777" w:rsidR="001631C6" w:rsidRPr="00FB3A9C" w:rsidRDefault="001631C6" w:rsidP="008F5322">
            <w:pPr>
              <w:widowControl w:val="0"/>
              <w:autoSpaceDE w:val="0"/>
              <w:autoSpaceDN w:val="0"/>
              <w:adjustRightInd w:val="0"/>
              <w:rPr>
                <w:sz w:val="18"/>
                <w:szCs w:val="18"/>
              </w:rPr>
            </w:pPr>
            <w:r w:rsidRPr="00FB3A9C">
              <w:rPr>
                <w:sz w:val="18"/>
                <w:szCs w:val="18"/>
              </w:rPr>
              <w:t>0.927***</w:t>
            </w:r>
          </w:p>
        </w:tc>
        <w:tc>
          <w:tcPr>
            <w:tcW w:w="327" w:type="pct"/>
            <w:tcBorders>
              <w:top w:val="single" w:sz="4" w:space="0" w:color="auto"/>
              <w:left w:val="nil"/>
              <w:bottom w:val="nil"/>
              <w:right w:val="nil"/>
            </w:tcBorders>
          </w:tcPr>
          <w:p w14:paraId="5CB015F6" w14:textId="77777777" w:rsidR="001631C6" w:rsidRPr="00FB3A9C" w:rsidRDefault="001631C6" w:rsidP="008F5322">
            <w:pPr>
              <w:widowControl w:val="0"/>
              <w:autoSpaceDE w:val="0"/>
              <w:autoSpaceDN w:val="0"/>
              <w:adjustRightInd w:val="0"/>
              <w:rPr>
                <w:sz w:val="18"/>
                <w:szCs w:val="18"/>
              </w:rPr>
            </w:pPr>
            <w:r w:rsidRPr="00910D07">
              <w:rPr>
                <w:sz w:val="18"/>
                <w:szCs w:val="18"/>
              </w:rPr>
              <w:t>0.602</w:t>
            </w:r>
            <w:r>
              <w:rPr>
                <w:sz w:val="18"/>
                <w:szCs w:val="18"/>
              </w:rPr>
              <w:t>***</w:t>
            </w:r>
          </w:p>
        </w:tc>
        <w:tc>
          <w:tcPr>
            <w:tcW w:w="377" w:type="pct"/>
            <w:tcBorders>
              <w:top w:val="single" w:sz="4" w:space="0" w:color="auto"/>
              <w:left w:val="nil"/>
              <w:bottom w:val="nil"/>
              <w:right w:val="nil"/>
            </w:tcBorders>
          </w:tcPr>
          <w:p w14:paraId="6A4775F3" w14:textId="77777777" w:rsidR="001631C6" w:rsidRPr="00FB3A9C" w:rsidRDefault="001631C6" w:rsidP="008F5322">
            <w:pPr>
              <w:widowControl w:val="0"/>
              <w:autoSpaceDE w:val="0"/>
              <w:autoSpaceDN w:val="0"/>
              <w:adjustRightInd w:val="0"/>
              <w:rPr>
                <w:sz w:val="18"/>
                <w:szCs w:val="18"/>
              </w:rPr>
            </w:pPr>
            <w:r w:rsidRPr="00954009">
              <w:rPr>
                <w:sz w:val="18"/>
                <w:szCs w:val="18"/>
              </w:rPr>
              <w:t>0.910</w:t>
            </w:r>
            <w:r>
              <w:rPr>
                <w:sz w:val="18"/>
                <w:szCs w:val="18"/>
              </w:rPr>
              <w:t>***</w:t>
            </w:r>
          </w:p>
        </w:tc>
        <w:tc>
          <w:tcPr>
            <w:tcW w:w="475" w:type="pct"/>
            <w:tcBorders>
              <w:top w:val="single" w:sz="4" w:space="0" w:color="auto"/>
              <w:left w:val="nil"/>
              <w:bottom w:val="nil"/>
              <w:right w:val="nil"/>
            </w:tcBorders>
          </w:tcPr>
          <w:p w14:paraId="5284E795" w14:textId="77777777" w:rsidR="001631C6" w:rsidRPr="00FB3A9C" w:rsidRDefault="001631C6" w:rsidP="008F5322">
            <w:pPr>
              <w:widowControl w:val="0"/>
              <w:autoSpaceDE w:val="0"/>
              <w:autoSpaceDN w:val="0"/>
              <w:adjustRightInd w:val="0"/>
              <w:rPr>
                <w:sz w:val="18"/>
                <w:szCs w:val="18"/>
              </w:rPr>
            </w:pPr>
            <w:r w:rsidRPr="00954009">
              <w:rPr>
                <w:sz w:val="18"/>
                <w:szCs w:val="18"/>
              </w:rPr>
              <w:t>0.325</w:t>
            </w:r>
            <w:r>
              <w:rPr>
                <w:sz w:val="18"/>
                <w:szCs w:val="18"/>
              </w:rPr>
              <w:t>***</w:t>
            </w:r>
          </w:p>
        </w:tc>
      </w:tr>
      <w:tr w:rsidR="001631C6" w:rsidRPr="00FB3A9C" w14:paraId="6A8B2154" w14:textId="77777777" w:rsidTr="008F5322">
        <w:tc>
          <w:tcPr>
            <w:tcW w:w="825" w:type="pct"/>
            <w:tcBorders>
              <w:top w:val="nil"/>
              <w:left w:val="nil"/>
              <w:bottom w:val="nil"/>
              <w:right w:val="nil"/>
            </w:tcBorders>
          </w:tcPr>
          <w:p w14:paraId="7382BD21" w14:textId="77777777" w:rsidR="001631C6" w:rsidRPr="00FB3A9C" w:rsidRDefault="001631C6" w:rsidP="008F5322">
            <w:pPr>
              <w:widowControl w:val="0"/>
              <w:autoSpaceDE w:val="0"/>
              <w:autoSpaceDN w:val="0"/>
              <w:adjustRightInd w:val="0"/>
              <w:rPr>
                <w:sz w:val="18"/>
                <w:szCs w:val="18"/>
              </w:rPr>
            </w:pPr>
            <w:r w:rsidRPr="00FB3A9C">
              <w:rPr>
                <w:sz w:val="18"/>
                <w:szCs w:val="18"/>
              </w:rPr>
              <w:t>Number of BRs</w:t>
            </w:r>
          </w:p>
        </w:tc>
        <w:tc>
          <w:tcPr>
            <w:tcW w:w="195" w:type="pct"/>
            <w:tcBorders>
              <w:top w:val="nil"/>
              <w:left w:val="nil"/>
              <w:bottom w:val="nil"/>
              <w:right w:val="nil"/>
            </w:tcBorders>
          </w:tcPr>
          <w:p w14:paraId="799EA275"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55CB4BED" w14:textId="77777777" w:rsidR="001631C6" w:rsidRPr="00FB3A9C" w:rsidRDefault="001631C6" w:rsidP="008F5322">
            <w:pPr>
              <w:widowControl w:val="0"/>
              <w:autoSpaceDE w:val="0"/>
              <w:autoSpaceDN w:val="0"/>
              <w:adjustRightInd w:val="0"/>
              <w:rPr>
                <w:sz w:val="18"/>
                <w:szCs w:val="18"/>
              </w:rPr>
            </w:pPr>
            <w:r w:rsidRPr="00FB3A9C">
              <w:rPr>
                <w:sz w:val="18"/>
                <w:szCs w:val="18"/>
              </w:rPr>
              <w:t>3.179</w:t>
            </w:r>
          </w:p>
        </w:tc>
        <w:tc>
          <w:tcPr>
            <w:tcW w:w="79" w:type="pct"/>
            <w:tcBorders>
              <w:top w:val="nil"/>
              <w:left w:val="nil"/>
              <w:bottom w:val="nil"/>
              <w:right w:val="nil"/>
            </w:tcBorders>
          </w:tcPr>
          <w:p w14:paraId="732CB2D0"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14D4CF19"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4319BD89" w14:textId="77777777" w:rsidR="001631C6" w:rsidRPr="00FB3A9C" w:rsidRDefault="001631C6" w:rsidP="008F5322">
            <w:pPr>
              <w:widowControl w:val="0"/>
              <w:autoSpaceDE w:val="0"/>
              <w:autoSpaceDN w:val="0"/>
              <w:adjustRightInd w:val="0"/>
              <w:rPr>
                <w:sz w:val="18"/>
                <w:szCs w:val="18"/>
              </w:rPr>
            </w:pPr>
            <w:r w:rsidRPr="00FB3A9C">
              <w:rPr>
                <w:sz w:val="18"/>
                <w:szCs w:val="18"/>
              </w:rPr>
              <w:t>3.913</w:t>
            </w:r>
          </w:p>
        </w:tc>
        <w:tc>
          <w:tcPr>
            <w:tcW w:w="79" w:type="pct"/>
            <w:tcBorders>
              <w:top w:val="nil"/>
              <w:left w:val="nil"/>
              <w:bottom w:val="nil"/>
              <w:right w:val="nil"/>
            </w:tcBorders>
          </w:tcPr>
          <w:p w14:paraId="4D89073C"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1CE77A2A"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77467046" w14:textId="77777777" w:rsidR="001631C6" w:rsidRPr="00FB3A9C" w:rsidRDefault="001631C6" w:rsidP="008F5322">
            <w:pPr>
              <w:widowControl w:val="0"/>
              <w:autoSpaceDE w:val="0"/>
              <w:autoSpaceDN w:val="0"/>
              <w:adjustRightInd w:val="0"/>
              <w:rPr>
                <w:sz w:val="18"/>
                <w:szCs w:val="18"/>
              </w:rPr>
            </w:pPr>
            <w:r w:rsidRPr="00FB3A9C">
              <w:rPr>
                <w:sz w:val="18"/>
                <w:szCs w:val="18"/>
              </w:rPr>
              <w:t>5.089</w:t>
            </w:r>
          </w:p>
        </w:tc>
        <w:tc>
          <w:tcPr>
            <w:tcW w:w="79" w:type="pct"/>
            <w:tcBorders>
              <w:top w:val="nil"/>
              <w:left w:val="nil"/>
              <w:bottom w:val="nil"/>
              <w:right w:val="nil"/>
            </w:tcBorders>
          </w:tcPr>
          <w:p w14:paraId="644E3785"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27B4E087"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61167481" w14:textId="77777777" w:rsidR="001631C6" w:rsidRPr="00FB3A9C" w:rsidRDefault="001631C6" w:rsidP="008F5322">
            <w:pPr>
              <w:widowControl w:val="0"/>
              <w:autoSpaceDE w:val="0"/>
              <w:autoSpaceDN w:val="0"/>
              <w:adjustRightInd w:val="0"/>
              <w:rPr>
                <w:sz w:val="18"/>
                <w:szCs w:val="18"/>
              </w:rPr>
            </w:pPr>
            <w:r w:rsidRPr="00FB3A9C">
              <w:rPr>
                <w:sz w:val="18"/>
                <w:szCs w:val="18"/>
              </w:rPr>
              <w:t>6.327</w:t>
            </w:r>
          </w:p>
        </w:tc>
        <w:tc>
          <w:tcPr>
            <w:tcW w:w="79" w:type="pct"/>
            <w:tcBorders>
              <w:top w:val="nil"/>
              <w:left w:val="nil"/>
              <w:bottom w:val="nil"/>
              <w:right w:val="nil"/>
            </w:tcBorders>
          </w:tcPr>
          <w:p w14:paraId="3580746C"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1BFF1ADE" w14:textId="77777777" w:rsidR="001631C6" w:rsidRPr="00FB3A9C" w:rsidRDefault="001631C6" w:rsidP="008F5322">
            <w:pPr>
              <w:widowControl w:val="0"/>
              <w:autoSpaceDE w:val="0"/>
              <w:autoSpaceDN w:val="0"/>
              <w:adjustRightInd w:val="0"/>
              <w:rPr>
                <w:sz w:val="18"/>
                <w:szCs w:val="18"/>
              </w:rPr>
            </w:pPr>
            <w:r w:rsidRPr="00FB3A9C">
              <w:rPr>
                <w:sz w:val="18"/>
                <w:szCs w:val="18"/>
              </w:rPr>
              <w:t>0.733***</w:t>
            </w:r>
          </w:p>
        </w:tc>
        <w:tc>
          <w:tcPr>
            <w:tcW w:w="390" w:type="pct"/>
            <w:tcBorders>
              <w:top w:val="nil"/>
              <w:left w:val="nil"/>
              <w:bottom w:val="nil"/>
              <w:right w:val="nil"/>
            </w:tcBorders>
          </w:tcPr>
          <w:p w14:paraId="24B68301" w14:textId="77777777" w:rsidR="001631C6" w:rsidRPr="00FB3A9C" w:rsidRDefault="001631C6" w:rsidP="008F5322">
            <w:pPr>
              <w:widowControl w:val="0"/>
              <w:autoSpaceDE w:val="0"/>
              <w:autoSpaceDN w:val="0"/>
              <w:adjustRightInd w:val="0"/>
              <w:rPr>
                <w:sz w:val="18"/>
                <w:szCs w:val="18"/>
              </w:rPr>
            </w:pPr>
            <w:r w:rsidRPr="00FB3A9C">
              <w:rPr>
                <w:sz w:val="18"/>
                <w:szCs w:val="18"/>
              </w:rPr>
              <w:t>1.910***</w:t>
            </w:r>
          </w:p>
        </w:tc>
        <w:tc>
          <w:tcPr>
            <w:tcW w:w="327" w:type="pct"/>
            <w:tcBorders>
              <w:top w:val="nil"/>
              <w:left w:val="nil"/>
              <w:bottom w:val="nil"/>
              <w:right w:val="nil"/>
            </w:tcBorders>
          </w:tcPr>
          <w:p w14:paraId="08CC745D"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1.238</w:t>
            </w:r>
            <w:r>
              <w:rPr>
                <w:sz w:val="18"/>
                <w:szCs w:val="18"/>
              </w:rPr>
              <w:t>***</w:t>
            </w:r>
          </w:p>
        </w:tc>
        <w:tc>
          <w:tcPr>
            <w:tcW w:w="377" w:type="pct"/>
            <w:tcBorders>
              <w:top w:val="nil"/>
              <w:left w:val="nil"/>
              <w:bottom w:val="nil"/>
              <w:right w:val="nil"/>
            </w:tcBorders>
          </w:tcPr>
          <w:p w14:paraId="2698D3B3" w14:textId="77777777" w:rsidR="001631C6" w:rsidRPr="00FB3A9C" w:rsidRDefault="001631C6" w:rsidP="008F5322">
            <w:pPr>
              <w:widowControl w:val="0"/>
              <w:autoSpaceDE w:val="0"/>
              <w:autoSpaceDN w:val="0"/>
              <w:adjustRightInd w:val="0"/>
              <w:rPr>
                <w:sz w:val="18"/>
                <w:szCs w:val="18"/>
              </w:rPr>
            </w:pPr>
            <w:r w:rsidRPr="00954009">
              <w:rPr>
                <w:sz w:val="18"/>
                <w:szCs w:val="18"/>
              </w:rPr>
              <w:t>-2.414</w:t>
            </w:r>
            <w:r>
              <w:rPr>
                <w:sz w:val="18"/>
                <w:szCs w:val="18"/>
              </w:rPr>
              <w:t>***</w:t>
            </w:r>
          </w:p>
        </w:tc>
        <w:tc>
          <w:tcPr>
            <w:tcW w:w="475" w:type="pct"/>
            <w:tcBorders>
              <w:top w:val="nil"/>
              <w:left w:val="nil"/>
              <w:bottom w:val="nil"/>
              <w:right w:val="nil"/>
            </w:tcBorders>
          </w:tcPr>
          <w:p w14:paraId="4FFE518B" w14:textId="77777777" w:rsidR="001631C6" w:rsidRPr="00FB3A9C" w:rsidRDefault="001631C6" w:rsidP="008F5322">
            <w:pPr>
              <w:widowControl w:val="0"/>
              <w:autoSpaceDE w:val="0"/>
              <w:autoSpaceDN w:val="0"/>
              <w:adjustRightInd w:val="0"/>
              <w:rPr>
                <w:sz w:val="18"/>
                <w:szCs w:val="18"/>
              </w:rPr>
            </w:pPr>
            <w:r w:rsidRPr="00954009">
              <w:rPr>
                <w:sz w:val="18"/>
                <w:szCs w:val="18"/>
              </w:rPr>
              <w:t>3.147</w:t>
            </w:r>
            <w:r>
              <w:rPr>
                <w:sz w:val="18"/>
                <w:szCs w:val="18"/>
              </w:rPr>
              <w:t>***</w:t>
            </w:r>
          </w:p>
        </w:tc>
      </w:tr>
      <w:tr w:rsidR="001631C6" w:rsidRPr="00FB3A9C" w14:paraId="4A583898" w14:textId="77777777" w:rsidTr="008F5322">
        <w:tc>
          <w:tcPr>
            <w:tcW w:w="825" w:type="pct"/>
            <w:tcBorders>
              <w:top w:val="nil"/>
              <w:left w:val="nil"/>
              <w:bottom w:val="nil"/>
              <w:right w:val="nil"/>
            </w:tcBorders>
          </w:tcPr>
          <w:p w14:paraId="768A7991" w14:textId="77777777" w:rsidR="001631C6" w:rsidRPr="00FB3A9C" w:rsidRDefault="001631C6" w:rsidP="008F5322">
            <w:pPr>
              <w:widowControl w:val="0"/>
              <w:autoSpaceDE w:val="0"/>
              <w:autoSpaceDN w:val="0"/>
              <w:adjustRightInd w:val="0"/>
              <w:rPr>
                <w:sz w:val="18"/>
                <w:szCs w:val="18"/>
              </w:rPr>
            </w:pPr>
            <w:r w:rsidRPr="00FB3A9C">
              <w:rPr>
                <w:sz w:val="18"/>
                <w:szCs w:val="18"/>
              </w:rPr>
              <w:t>% of Non-Domestic BRs</w:t>
            </w:r>
          </w:p>
        </w:tc>
        <w:tc>
          <w:tcPr>
            <w:tcW w:w="195" w:type="pct"/>
            <w:tcBorders>
              <w:top w:val="nil"/>
              <w:left w:val="nil"/>
              <w:bottom w:val="nil"/>
              <w:right w:val="nil"/>
            </w:tcBorders>
          </w:tcPr>
          <w:p w14:paraId="396698A7"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2FFB0494" w14:textId="77777777" w:rsidR="001631C6" w:rsidRPr="00FB3A9C" w:rsidRDefault="001631C6" w:rsidP="008F5322">
            <w:pPr>
              <w:widowControl w:val="0"/>
              <w:autoSpaceDE w:val="0"/>
              <w:autoSpaceDN w:val="0"/>
              <w:adjustRightInd w:val="0"/>
              <w:rPr>
                <w:sz w:val="18"/>
                <w:szCs w:val="18"/>
              </w:rPr>
            </w:pPr>
            <w:r w:rsidRPr="00FB3A9C">
              <w:rPr>
                <w:sz w:val="18"/>
                <w:szCs w:val="18"/>
              </w:rPr>
              <w:t>0.669</w:t>
            </w:r>
          </w:p>
        </w:tc>
        <w:tc>
          <w:tcPr>
            <w:tcW w:w="79" w:type="pct"/>
            <w:tcBorders>
              <w:top w:val="nil"/>
              <w:left w:val="nil"/>
              <w:bottom w:val="nil"/>
              <w:right w:val="nil"/>
            </w:tcBorders>
          </w:tcPr>
          <w:p w14:paraId="4BEB674C"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20E6BE08"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4F14F034" w14:textId="77777777" w:rsidR="001631C6" w:rsidRPr="00FB3A9C" w:rsidRDefault="001631C6" w:rsidP="008F5322">
            <w:pPr>
              <w:widowControl w:val="0"/>
              <w:autoSpaceDE w:val="0"/>
              <w:autoSpaceDN w:val="0"/>
              <w:adjustRightInd w:val="0"/>
              <w:rPr>
                <w:sz w:val="18"/>
                <w:szCs w:val="18"/>
              </w:rPr>
            </w:pPr>
            <w:r w:rsidRPr="00FB3A9C">
              <w:rPr>
                <w:sz w:val="18"/>
                <w:szCs w:val="18"/>
              </w:rPr>
              <w:t>0.655</w:t>
            </w:r>
          </w:p>
        </w:tc>
        <w:tc>
          <w:tcPr>
            <w:tcW w:w="79" w:type="pct"/>
            <w:tcBorders>
              <w:top w:val="nil"/>
              <w:left w:val="nil"/>
              <w:bottom w:val="nil"/>
              <w:right w:val="nil"/>
            </w:tcBorders>
          </w:tcPr>
          <w:p w14:paraId="714FD6AD"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1EEB983F"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4F3C63DB" w14:textId="77777777" w:rsidR="001631C6" w:rsidRPr="00FB3A9C" w:rsidRDefault="001631C6" w:rsidP="008F5322">
            <w:pPr>
              <w:widowControl w:val="0"/>
              <w:autoSpaceDE w:val="0"/>
              <w:autoSpaceDN w:val="0"/>
              <w:adjustRightInd w:val="0"/>
              <w:rPr>
                <w:sz w:val="18"/>
                <w:szCs w:val="18"/>
              </w:rPr>
            </w:pPr>
            <w:r w:rsidRPr="00FB3A9C">
              <w:rPr>
                <w:sz w:val="18"/>
                <w:szCs w:val="18"/>
              </w:rPr>
              <w:t>0.647</w:t>
            </w:r>
          </w:p>
        </w:tc>
        <w:tc>
          <w:tcPr>
            <w:tcW w:w="79" w:type="pct"/>
            <w:tcBorders>
              <w:top w:val="nil"/>
              <w:left w:val="nil"/>
              <w:bottom w:val="nil"/>
              <w:right w:val="nil"/>
            </w:tcBorders>
          </w:tcPr>
          <w:p w14:paraId="5ACFA086"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6A4E17F5"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50FA05B1" w14:textId="77777777" w:rsidR="001631C6" w:rsidRPr="00FB3A9C" w:rsidRDefault="001631C6" w:rsidP="008F5322">
            <w:pPr>
              <w:widowControl w:val="0"/>
              <w:autoSpaceDE w:val="0"/>
              <w:autoSpaceDN w:val="0"/>
              <w:adjustRightInd w:val="0"/>
              <w:rPr>
                <w:sz w:val="18"/>
                <w:szCs w:val="18"/>
              </w:rPr>
            </w:pPr>
            <w:r w:rsidRPr="00FB3A9C">
              <w:rPr>
                <w:sz w:val="18"/>
                <w:szCs w:val="18"/>
              </w:rPr>
              <w:t>0.724</w:t>
            </w:r>
          </w:p>
        </w:tc>
        <w:tc>
          <w:tcPr>
            <w:tcW w:w="79" w:type="pct"/>
            <w:tcBorders>
              <w:top w:val="nil"/>
              <w:left w:val="nil"/>
              <w:bottom w:val="nil"/>
              <w:right w:val="nil"/>
            </w:tcBorders>
          </w:tcPr>
          <w:p w14:paraId="22B94286"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3839E5BF" w14:textId="77777777" w:rsidR="001631C6" w:rsidRPr="00FB3A9C" w:rsidRDefault="001631C6" w:rsidP="008F5322">
            <w:pPr>
              <w:widowControl w:val="0"/>
              <w:autoSpaceDE w:val="0"/>
              <w:autoSpaceDN w:val="0"/>
              <w:adjustRightInd w:val="0"/>
              <w:rPr>
                <w:sz w:val="18"/>
                <w:szCs w:val="18"/>
              </w:rPr>
            </w:pPr>
            <w:r w:rsidRPr="00FB3A9C">
              <w:rPr>
                <w:sz w:val="18"/>
                <w:szCs w:val="18"/>
              </w:rPr>
              <w:t>-0.014</w:t>
            </w:r>
          </w:p>
        </w:tc>
        <w:tc>
          <w:tcPr>
            <w:tcW w:w="390" w:type="pct"/>
            <w:tcBorders>
              <w:top w:val="nil"/>
              <w:left w:val="nil"/>
              <w:bottom w:val="nil"/>
              <w:right w:val="nil"/>
            </w:tcBorders>
          </w:tcPr>
          <w:p w14:paraId="202FACC7" w14:textId="77777777" w:rsidR="001631C6" w:rsidRPr="00FB3A9C" w:rsidRDefault="001631C6" w:rsidP="008F5322">
            <w:pPr>
              <w:widowControl w:val="0"/>
              <w:autoSpaceDE w:val="0"/>
              <w:autoSpaceDN w:val="0"/>
              <w:adjustRightInd w:val="0"/>
              <w:rPr>
                <w:sz w:val="18"/>
                <w:szCs w:val="18"/>
              </w:rPr>
            </w:pPr>
            <w:r w:rsidRPr="00FB3A9C">
              <w:rPr>
                <w:sz w:val="18"/>
                <w:szCs w:val="18"/>
              </w:rPr>
              <w:t>-0.022</w:t>
            </w:r>
          </w:p>
        </w:tc>
        <w:tc>
          <w:tcPr>
            <w:tcW w:w="327" w:type="pct"/>
            <w:tcBorders>
              <w:top w:val="nil"/>
              <w:left w:val="nil"/>
              <w:bottom w:val="nil"/>
              <w:right w:val="nil"/>
            </w:tcBorders>
          </w:tcPr>
          <w:p w14:paraId="60040058"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0.077</w:t>
            </w:r>
            <w:r>
              <w:rPr>
                <w:sz w:val="18"/>
                <w:szCs w:val="18"/>
              </w:rPr>
              <w:t>***</w:t>
            </w:r>
          </w:p>
        </w:tc>
        <w:tc>
          <w:tcPr>
            <w:tcW w:w="377" w:type="pct"/>
            <w:tcBorders>
              <w:top w:val="nil"/>
              <w:left w:val="nil"/>
              <w:bottom w:val="nil"/>
              <w:right w:val="nil"/>
            </w:tcBorders>
          </w:tcPr>
          <w:p w14:paraId="148E16B3" w14:textId="77777777" w:rsidR="001631C6" w:rsidRPr="00FB3A9C" w:rsidRDefault="001631C6" w:rsidP="008F5322">
            <w:pPr>
              <w:widowControl w:val="0"/>
              <w:autoSpaceDE w:val="0"/>
              <w:autoSpaceDN w:val="0"/>
              <w:adjustRightInd w:val="0"/>
              <w:rPr>
                <w:sz w:val="18"/>
                <w:szCs w:val="18"/>
              </w:rPr>
            </w:pPr>
            <w:r w:rsidRPr="00954009">
              <w:rPr>
                <w:sz w:val="18"/>
                <w:szCs w:val="18"/>
              </w:rPr>
              <w:t>-0.069</w:t>
            </w:r>
            <w:r>
              <w:rPr>
                <w:sz w:val="18"/>
                <w:szCs w:val="18"/>
              </w:rPr>
              <w:t>***</w:t>
            </w:r>
          </w:p>
        </w:tc>
        <w:tc>
          <w:tcPr>
            <w:tcW w:w="475" w:type="pct"/>
            <w:tcBorders>
              <w:top w:val="nil"/>
              <w:left w:val="nil"/>
              <w:bottom w:val="nil"/>
              <w:right w:val="nil"/>
            </w:tcBorders>
          </w:tcPr>
          <w:p w14:paraId="2A0985A1" w14:textId="77777777" w:rsidR="001631C6" w:rsidRPr="00FB3A9C" w:rsidRDefault="001631C6" w:rsidP="008F5322">
            <w:pPr>
              <w:widowControl w:val="0"/>
              <w:autoSpaceDE w:val="0"/>
              <w:autoSpaceDN w:val="0"/>
              <w:adjustRightInd w:val="0"/>
              <w:rPr>
                <w:sz w:val="18"/>
                <w:szCs w:val="18"/>
              </w:rPr>
            </w:pPr>
            <w:r w:rsidRPr="00954009">
              <w:rPr>
                <w:sz w:val="18"/>
                <w:szCs w:val="18"/>
              </w:rPr>
              <w:t>0.055</w:t>
            </w:r>
            <w:r>
              <w:rPr>
                <w:sz w:val="18"/>
                <w:szCs w:val="18"/>
              </w:rPr>
              <w:t>***</w:t>
            </w:r>
          </w:p>
        </w:tc>
      </w:tr>
      <w:tr w:rsidR="001631C6" w:rsidRPr="00FB3A9C" w14:paraId="5B18F222" w14:textId="77777777" w:rsidTr="008F5322">
        <w:tc>
          <w:tcPr>
            <w:tcW w:w="825" w:type="pct"/>
            <w:tcBorders>
              <w:top w:val="nil"/>
              <w:left w:val="nil"/>
              <w:bottom w:val="nil"/>
              <w:right w:val="nil"/>
            </w:tcBorders>
          </w:tcPr>
          <w:p w14:paraId="35800785" w14:textId="77777777" w:rsidR="001631C6" w:rsidRPr="00FB3A9C" w:rsidRDefault="001631C6" w:rsidP="008F5322">
            <w:pPr>
              <w:widowControl w:val="0"/>
              <w:autoSpaceDE w:val="0"/>
              <w:autoSpaceDN w:val="0"/>
              <w:adjustRightInd w:val="0"/>
              <w:rPr>
                <w:sz w:val="18"/>
                <w:szCs w:val="18"/>
              </w:rPr>
            </w:pPr>
            <w:r w:rsidRPr="00FB3A9C">
              <w:rPr>
                <w:sz w:val="18"/>
                <w:szCs w:val="18"/>
              </w:rPr>
              <w:t>% of Non-domestic Active BRs</w:t>
            </w:r>
          </w:p>
        </w:tc>
        <w:tc>
          <w:tcPr>
            <w:tcW w:w="195" w:type="pct"/>
            <w:tcBorders>
              <w:top w:val="nil"/>
              <w:left w:val="nil"/>
              <w:bottom w:val="nil"/>
              <w:right w:val="nil"/>
            </w:tcBorders>
          </w:tcPr>
          <w:p w14:paraId="0BAD4D2A"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1276018D" w14:textId="77777777" w:rsidR="001631C6" w:rsidRPr="00FB3A9C" w:rsidRDefault="001631C6" w:rsidP="008F5322">
            <w:pPr>
              <w:widowControl w:val="0"/>
              <w:autoSpaceDE w:val="0"/>
              <w:autoSpaceDN w:val="0"/>
              <w:adjustRightInd w:val="0"/>
              <w:rPr>
                <w:sz w:val="18"/>
                <w:szCs w:val="18"/>
              </w:rPr>
            </w:pPr>
            <w:r w:rsidRPr="00FB3A9C">
              <w:rPr>
                <w:sz w:val="18"/>
                <w:szCs w:val="18"/>
              </w:rPr>
              <w:t>0.670</w:t>
            </w:r>
          </w:p>
        </w:tc>
        <w:tc>
          <w:tcPr>
            <w:tcW w:w="79" w:type="pct"/>
            <w:tcBorders>
              <w:top w:val="nil"/>
              <w:left w:val="nil"/>
              <w:bottom w:val="nil"/>
              <w:right w:val="nil"/>
            </w:tcBorders>
          </w:tcPr>
          <w:p w14:paraId="54264807"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5BA60B29"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0C06FCD7" w14:textId="77777777" w:rsidR="001631C6" w:rsidRPr="00FB3A9C" w:rsidRDefault="001631C6" w:rsidP="008F5322">
            <w:pPr>
              <w:widowControl w:val="0"/>
              <w:autoSpaceDE w:val="0"/>
              <w:autoSpaceDN w:val="0"/>
              <w:adjustRightInd w:val="0"/>
              <w:rPr>
                <w:sz w:val="18"/>
                <w:szCs w:val="18"/>
              </w:rPr>
            </w:pPr>
            <w:r w:rsidRPr="00FB3A9C">
              <w:rPr>
                <w:sz w:val="18"/>
                <w:szCs w:val="18"/>
              </w:rPr>
              <w:t>0.654</w:t>
            </w:r>
          </w:p>
        </w:tc>
        <w:tc>
          <w:tcPr>
            <w:tcW w:w="79" w:type="pct"/>
            <w:tcBorders>
              <w:top w:val="nil"/>
              <w:left w:val="nil"/>
              <w:bottom w:val="nil"/>
              <w:right w:val="nil"/>
            </w:tcBorders>
          </w:tcPr>
          <w:p w14:paraId="031E6886"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409C9ACC"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52EB4DD7" w14:textId="77777777" w:rsidR="001631C6" w:rsidRPr="00FB3A9C" w:rsidRDefault="001631C6" w:rsidP="008F5322">
            <w:pPr>
              <w:widowControl w:val="0"/>
              <w:autoSpaceDE w:val="0"/>
              <w:autoSpaceDN w:val="0"/>
              <w:adjustRightInd w:val="0"/>
              <w:rPr>
                <w:sz w:val="18"/>
                <w:szCs w:val="18"/>
              </w:rPr>
            </w:pPr>
            <w:r w:rsidRPr="00FB3A9C">
              <w:rPr>
                <w:sz w:val="18"/>
                <w:szCs w:val="18"/>
              </w:rPr>
              <w:t>0.644</w:t>
            </w:r>
          </w:p>
        </w:tc>
        <w:tc>
          <w:tcPr>
            <w:tcW w:w="79" w:type="pct"/>
            <w:tcBorders>
              <w:top w:val="nil"/>
              <w:left w:val="nil"/>
              <w:bottom w:val="nil"/>
              <w:right w:val="nil"/>
            </w:tcBorders>
          </w:tcPr>
          <w:p w14:paraId="281617C2"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729A4178"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22CE8A30" w14:textId="77777777" w:rsidR="001631C6" w:rsidRPr="00FB3A9C" w:rsidRDefault="001631C6" w:rsidP="008F5322">
            <w:pPr>
              <w:widowControl w:val="0"/>
              <w:autoSpaceDE w:val="0"/>
              <w:autoSpaceDN w:val="0"/>
              <w:adjustRightInd w:val="0"/>
              <w:rPr>
                <w:sz w:val="18"/>
                <w:szCs w:val="18"/>
              </w:rPr>
            </w:pPr>
            <w:r w:rsidRPr="00FB3A9C">
              <w:rPr>
                <w:sz w:val="18"/>
                <w:szCs w:val="18"/>
              </w:rPr>
              <w:t>0.726</w:t>
            </w:r>
          </w:p>
        </w:tc>
        <w:tc>
          <w:tcPr>
            <w:tcW w:w="79" w:type="pct"/>
            <w:tcBorders>
              <w:top w:val="nil"/>
              <w:left w:val="nil"/>
              <w:bottom w:val="nil"/>
              <w:right w:val="nil"/>
            </w:tcBorders>
          </w:tcPr>
          <w:p w14:paraId="689814FF"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2D6A785E" w14:textId="77777777" w:rsidR="001631C6" w:rsidRPr="00FB3A9C" w:rsidRDefault="001631C6" w:rsidP="008F5322">
            <w:pPr>
              <w:widowControl w:val="0"/>
              <w:autoSpaceDE w:val="0"/>
              <w:autoSpaceDN w:val="0"/>
              <w:adjustRightInd w:val="0"/>
              <w:rPr>
                <w:sz w:val="18"/>
                <w:szCs w:val="18"/>
              </w:rPr>
            </w:pPr>
            <w:r w:rsidRPr="00FB3A9C">
              <w:rPr>
                <w:sz w:val="18"/>
                <w:szCs w:val="18"/>
              </w:rPr>
              <w:t>-0.016</w:t>
            </w:r>
          </w:p>
        </w:tc>
        <w:tc>
          <w:tcPr>
            <w:tcW w:w="390" w:type="pct"/>
            <w:tcBorders>
              <w:top w:val="nil"/>
              <w:left w:val="nil"/>
              <w:bottom w:val="nil"/>
              <w:right w:val="nil"/>
            </w:tcBorders>
          </w:tcPr>
          <w:p w14:paraId="6898800B" w14:textId="77777777" w:rsidR="001631C6" w:rsidRPr="00FB3A9C" w:rsidRDefault="001631C6" w:rsidP="008F5322">
            <w:pPr>
              <w:widowControl w:val="0"/>
              <w:autoSpaceDE w:val="0"/>
              <w:autoSpaceDN w:val="0"/>
              <w:adjustRightInd w:val="0"/>
              <w:rPr>
                <w:sz w:val="18"/>
                <w:szCs w:val="18"/>
              </w:rPr>
            </w:pPr>
            <w:r w:rsidRPr="00FB3A9C">
              <w:rPr>
                <w:sz w:val="18"/>
                <w:szCs w:val="18"/>
              </w:rPr>
              <w:t>0.026</w:t>
            </w:r>
          </w:p>
        </w:tc>
        <w:tc>
          <w:tcPr>
            <w:tcW w:w="327" w:type="pct"/>
            <w:tcBorders>
              <w:top w:val="nil"/>
              <w:left w:val="nil"/>
              <w:bottom w:val="nil"/>
              <w:right w:val="nil"/>
            </w:tcBorders>
          </w:tcPr>
          <w:p w14:paraId="3D75144B"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0.082</w:t>
            </w:r>
            <w:r>
              <w:rPr>
                <w:sz w:val="18"/>
                <w:szCs w:val="18"/>
              </w:rPr>
              <w:t>***</w:t>
            </w:r>
          </w:p>
        </w:tc>
        <w:tc>
          <w:tcPr>
            <w:tcW w:w="377" w:type="pct"/>
            <w:tcBorders>
              <w:top w:val="nil"/>
              <w:left w:val="nil"/>
              <w:bottom w:val="nil"/>
              <w:right w:val="nil"/>
            </w:tcBorders>
          </w:tcPr>
          <w:p w14:paraId="4F98431C" w14:textId="77777777" w:rsidR="001631C6" w:rsidRPr="00FB3A9C" w:rsidRDefault="001631C6" w:rsidP="008F5322">
            <w:pPr>
              <w:widowControl w:val="0"/>
              <w:autoSpaceDE w:val="0"/>
              <w:autoSpaceDN w:val="0"/>
              <w:adjustRightInd w:val="0"/>
              <w:rPr>
                <w:sz w:val="18"/>
                <w:szCs w:val="18"/>
              </w:rPr>
            </w:pPr>
            <w:r w:rsidRPr="00954009">
              <w:rPr>
                <w:sz w:val="18"/>
                <w:szCs w:val="18"/>
              </w:rPr>
              <w:t>-0.072</w:t>
            </w:r>
            <w:r>
              <w:rPr>
                <w:sz w:val="18"/>
                <w:szCs w:val="18"/>
              </w:rPr>
              <w:t>***</w:t>
            </w:r>
          </w:p>
        </w:tc>
        <w:tc>
          <w:tcPr>
            <w:tcW w:w="475" w:type="pct"/>
            <w:tcBorders>
              <w:top w:val="nil"/>
              <w:left w:val="nil"/>
              <w:bottom w:val="nil"/>
              <w:right w:val="nil"/>
            </w:tcBorders>
          </w:tcPr>
          <w:p w14:paraId="1F53560D" w14:textId="77777777" w:rsidR="001631C6" w:rsidRPr="00FB3A9C" w:rsidRDefault="001631C6" w:rsidP="008F5322">
            <w:pPr>
              <w:widowControl w:val="0"/>
              <w:autoSpaceDE w:val="0"/>
              <w:autoSpaceDN w:val="0"/>
              <w:adjustRightInd w:val="0"/>
              <w:rPr>
                <w:sz w:val="18"/>
                <w:szCs w:val="18"/>
              </w:rPr>
            </w:pPr>
            <w:r w:rsidRPr="00954009">
              <w:rPr>
                <w:sz w:val="18"/>
                <w:szCs w:val="18"/>
              </w:rPr>
              <w:t>0.056</w:t>
            </w:r>
            <w:r>
              <w:rPr>
                <w:sz w:val="18"/>
                <w:szCs w:val="18"/>
              </w:rPr>
              <w:t>***</w:t>
            </w:r>
          </w:p>
        </w:tc>
      </w:tr>
      <w:tr w:rsidR="001631C6" w:rsidRPr="00FB3A9C" w14:paraId="05CDD4E7" w14:textId="77777777" w:rsidTr="008F5322">
        <w:tc>
          <w:tcPr>
            <w:tcW w:w="825" w:type="pct"/>
            <w:tcBorders>
              <w:top w:val="nil"/>
              <w:left w:val="nil"/>
              <w:bottom w:val="nil"/>
              <w:right w:val="nil"/>
            </w:tcBorders>
          </w:tcPr>
          <w:p w14:paraId="670DF224" w14:textId="77777777" w:rsidR="001631C6" w:rsidRPr="00FB3A9C" w:rsidRDefault="001631C6" w:rsidP="008F5322">
            <w:pPr>
              <w:widowControl w:val="0"/>
              <w:autoSpaceDE w:val="0"/>
              <w:autoSpaceDN w:val="0"/>
              <w:adjustRightInd w:val="0"/>
              <w:rPr>
                <w:sz w:val="18"/>
                <w:szCs w:val="18"/>
              </w:rPr>
            </w:pPr>
            <w:r w:rsidRPr="00FB3A9C">
              <w:rPr>
                <w:sz w:val="18"/>
                <w:szCs w:val="18"/>
              </w:rPr>
              <w:t>% of Non-domestic Active Top 10 BRs</w:t>
            </w:r>
          </w:p>
        </w:tc>
        <w:tc>
          <w:tcPr>
            <w:tcW w:w="195" w:type="pct"/>
            <w:tcBorders>
              <w:top w:val="nil"/>
              <w:left w:val="nil"/>
              <w:bottom w:val="nil"/>
              <w:right w:val="nil"/>
            </w:tcBorders>
          </w:tcPr>
          <w:p w14:paraId="1D0F4F95"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6F6CCE4F" w14:textId="77777777" w:rsidR="001631C6" w:rsidRPr="00FB3A9C" w:rsidRDefault="001631C6" w:rsidP="008F5322">
            <w:pPr>
              <w:widowControl w:val="0"/>
              <w:autoSpaceDE w:val="0"/>
              <w:autoSpaceDN w:val="0"/>
              <w:adjustRightInd w:val="0"/>
              <w:rPr>
                <w:sz w:val="18"/>
                <w:szCs w:val="18"/>
              </w:rPr>
            </w:pPr>
            <w:r w:rsidRPr="00FB3A9C">
              <w:rPr>
                <w:sz w:val="18"/>
                <w:szCs w:val="18"/>
              </w:rPr>
              <w:t>0.401</w:t>
            </w:r>
          </w:p>
        </w:tc>
        <w:tc>
          <w:tcPr>
            <w:tcW w:w="79" w:type="pct"/>
            <w:tcBorders>
              <w:top w:val="nil"/>
              <w:left w:val="nil"/>
              <w:bottom w:val="nil"/>
              <w:right w:val="nil"/>
            </w:tcBorders>
          </w:tcPr>
          <w:p w14:paraId="3C339BF8"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22F348E5"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6A403DD3" w14:textId="77777777" w:rsidR="001631C6" w:rsidRPr="00FB3A9C" w:rsidRDefault="001631C6" w:rsidP="008F5322">
            <w:pPr>
              <w:widowControl w:val="0"/>
              <w:autoSpaceDE w:val="0"/>
              <w:autoSpaceDN w:val="0"/>
              <w:adjustRightInd w:val="0"/>
              <w:rPr>
                <w:sz w:val="18"/>
                <w:szCs w:val="18"/>
              </w:rPr>
            </w:pPr>
            <w:r w:rsidRPr="00FB3A9C">
              <w:rPr>
                <w:sz w:val="18"/>
                <w:szCs w:val="18"/>
              </w:rPr>
              <w:t>0.506</w:t>
            </w:r>
          </w:p>
        </w:tc>
        <w:tc>
          <w:tcPr>
            <w:tcW w:w="79" w:type="pct"/>
            <w:tcBorders>
              <w:top w:val="nil"/>
              <w:left w:val="nil"/>
              <w:bottom w:val="nil"/>
              <w:right w:val="nil"/>
            </w:tcBorders>
          </w:tcPr>
          <w:p w14:paraId="3D90B02E"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72C39718"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5488715F" w14:textId="77777777" w:rsidR="001631C6" w:rsidRPr="00FB3A9C" w:rsidRDefault="001631C6" w:rsidP="008F5322">
            <w:pPr>
              <w:widowControl w:val="0"/>
              <w:autoSpaceDE w:val="0"/>
              <w:autoSpaceDN w:val="0"/>
              <w:adjustRightInd w:val="0"/>
              <w:rPr>
                <w:sz w:val="18"/>
                <w:szCs w:val="18"/>
              </w:rPr>
            </w:pPr>
            <w:r w:rsidRPr="00FB3A9C">
              <w:rPr>
                <w:sz w:val="18"/>
                <w:szCs w:val="18"/>
              </w:rPr>
              <w:t>0.425</w:t>
            </w:r>
          </w:p>
        </w:tc>
        <w:tc>
          <w:tcPr>
            <w:tcW w:w="79" w:type="pct"/>
            <w:tcBorders>
              <w:top w:val="nil"/>
              <w:left w:val="nil"/>
              <w:bottom w:val="nil"/>
              <w:right w:val="nil"/>
            </w:tcBorders>
          </w:tcPr>
          <w:p w14:paraId="11723AE2"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66499CC2"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310FA235" w14:textId="77777777" w:rsidR="001631C6" w:rsidRPr="00FB3A9C" w:rsidRDefault="001631C6" w:rsidP="008F5322">
            <w:pPr>
              <w:widowControl w:val="0"/>
              <w:autoSpaceDE w:val="0"/>
              <w:autoSpaceDN w:val="0"/>
              <w:adjustRightInd w:val="0"/>
              <w:rPr>
                <w:sz w:val="18"/>
                <w:szCs w:val="18"/>
              </w:rPr>
            </w:pPr>
            <w:r w:rsidRPr="00FB3A9C">
              <w:rPr>
                <w:sz w:val="18"/>
                <w:szCs w:val="18"/>
              </w:rPr>
              <w:t>0.362</w:t>
            </w:r>
          </w:p>
        </w:tc>
        <w:tc>
          <w:tcPr>
            <w:tcW w:w="79" w:type="pct"/>
            <w:tcBorders>
              <w:top w:val="nil"/>
              <w:left w:val="nil"/>
              <w:bottom w:val="nil"/>
              <w:right w:val="nil"/>
            </w:tcBorders>
          </w:tcPr>
          <w:p w14:paraId="3FCE9C07"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74448B09" w14:textId="77777777" w:rsidR="001631C6" w:rsidRPr="00FB3A9C" w:rsidRDefault="001631C6" w:rsidP="008F5322">
            <w:pPr>
              <w:widowControl w:val="0"/>
              <w:autoSpaceDE w:val="0"/>
              <w:autoSpaceDN w:val="0"/>
              <w:adjustRightInd w:val="0"/>
              <w:rPr>
                <w:sz w:val="18"/>
                <w:szCs w:val="18"/>
              </w:rPr>
            </w:pPr>
            <w:r w:rsidRPr="00FB3A9C">
              <w:rPr>
                <w:sz w:val="18"/>
                <w:szCs w:val="18"/>
              </w:rPr>
              <w:t>0.104***</w:t>
            </w:r>
          </w:p>
        </w:tc>
        <w:tc>
          <w:tcPr>
            <w:tcW w:w="390" w:type="pct"/>
            <w:tcBorders>
              <w:top w:val="nil"/>
              <w:left w:val="nil"/>
              <w:bottom w:val="nil"/>
              <w:right w:val="nil"/>
            </w:tcBorders>
          </w:tcPr>
          <w:p w14:paraId="0496D7F4" w14:textId="77777777" w:rsidR="001631C6" w:rsidRPr="00FB3A9C" w:rsidRDefault="001631C6" w:rsidP="008F5322">
            <w:pPr>
              <w:widowControl w:val="0"/>
              <w:autoSpaceDE w:val="0"/>
              <w:autoSpaceDN w:val="0"/>
              <w:adjustRightInd w:val="0"/>
              <w:rPr>
                <w:sz w:val="18"/>
                <w:szCs w:val="18"/>
              </w:rPr>
            </w:pPr>
            <w:r w:rsidRPr="00FB3A9C">
              <w:rPr>
                <w:sz w:val="18"/>
                <w:szCs w:val="18"/>
              </w:rPr>
              <w:t>0.024</w:t>
            </w:r>
          </w:p>
        </w:tc>
        <w:tc>
          <w:tcPr>
            <w:tcW w:w="327" w:type="pct"/>
            <w:tcBorders>
              <w:top w:val="nil"/>
              <w:left w:val="nil"/>
              <w:bottom w:val="nil"/>
              <w:right w:val="nil"/>
            </w:tcBorders>
          </w:tcPr>
          <w:p w14:paraId="29E74C89" w14:textId="77777777" w:rsidR="001631C6" w:rsidRPr="00FB3A9C" w:rsidRDefault="001631C6" w:rsidP="008F5322">
            <w:pPr>
              <w:widowControl w:val="0"/>
              <w:autoSpaceDE w:val="0"/>
              <w:autoSpaceDN w:val="0"/>
              <w:adjustRightInd w:val="0"/>
              <w:rPr>
                <w:sz w:val="18"/>
                <w:szCs w:val="18"/>
              </w:rPr>
            </w:pPr>
            <w:r w:rsidRPr="00910D07">
              <w:rPr>
                <w:sz w:val="18"/>
                <w:szCs w:val="18"/>
              </w:rPr>
              <w:t>0.063</w:t>
            </w:r>
            <w:r>
              <w:rPr>
                <w:sz w:val="18"/>
                <w:szCs w:val="18"/>
              </w:rPr>
              <w:t>***</w:t>
            </w:r>
          </w:p>
        </w:tc>
        <w:tc>
          <w:tcPr>
            <w:tcW w:w="377" w:type="pct"/>
            <w:tcBorders>
              <w:top w:val="nil"/>
              <w:left w:val="nil"/>
              <w:bottom w:val="nil"/>
              <w:right w:val="nil"/>
            </w:tcBorders>
          </w:tcPr>
          <w:p w14:paraId="296FF3A5" w14:textId="77777777" w:rsidR="001631C6" w:rsidRPr="00FB3A9C" w:rsidRDefault="001631C6" w:rsidP="008F5322">
            <w:pPr>
              <w:widowControl w:val="0"/>
              <w:autoSpaceDE w:val="0"/>
              <w:autoSpaceDN w:val="0"/>
              <w:adjustRightInd w:val="0"/>
              <w:rPr>
                <w:sz w:val="18"/>
                <w:szCs w:val="18"/>
              </w:rPr>
            </w:pPr>
            <w:r w:rsidRPr="00954009">
              <w:rPr>
                <w:sz w:val="18"/>
                <w:szCs w:val="18"/>
              </w:rPr>
              <w:t>0.143</w:t>
            </w:r>
            <w:r>
              <w:rPr>
                <w:sz w:val="18"/>
                <w:szCs w:val="18"/>
              </w:rPr>
              <w:t>***</w:t>
            </w:r>
          </w:p>
        </w:tc>
        <w:tc>
          <w:tcPr>
            <w:tcW w:w="475" w:type="pct"/>
            <w:tcBorders>
              <w:top w:val="nil"/>
              <w:left w:val="nil"/>
              <w:bottom w:val="nil"/>
              <w:right w:val="nil"/>
            </w:tcBorders>
          </w:tcPr>
          <w:p w14:paraId="46E2CC8B" w14:textId="77777777" w:rsidR="001631C6" w:rsidRPr="00FB3A9C" w:rsidRDefault="001631C6" w:rsidP="008F5322">
            <w:pPr>
              <w:widowControl w:val="0"/>
              <w:autoSpaceDE w:val="0"/>
              <w:autoSpaceDN w:val="0"/>
              <w:adjustRightInd w:val="0"/>
              <w:rPr>
                <w:sz w:val="18"/>
                <w:szCs w:val="18"/>
              </w:rPr>
            </w:pPr>
            <w:r w:rsidRPr="00954009">
              <w:rPr>
                <w:sz w:val="18"/>
                <w:szCs w:val="18"/>
              </w:rPr>
              <w:t>-0.039</w:t>
            </w:r>
            <w:r>
              <w:rPr>
                <w:sz w:val="18"/>
                <w:szCs w:val="18"/>
              </w:rPr>
              <w:t>***</w:t>
            </w:r>
          </w:p>
        </w:tc>
      </w:tr>
      <w:tr w:rsidR="001631C6" w:rsidRPr="00FB3A9C" w14:paraId="50C42E49" w14:textId="77777777" w:rsidTr="008F5322">
        <w:tc>
          <w:tcPr>
            <w:tcW w:w="825" w:type="pct"/>
            <w:tcBorders>
              <w:top w:val="nil"/>
              <w:left w:val="nil"/>
              <w:bottom w:val="nil"/>
              <w:right w:val="nil"/>
            </w:tcBorders>
          </w:tcPr>
          <w:p w14:paraId="446D64AE" w14:textId="77777777" w:rsidR="001631C6" w:rsidRPr="00FB3A9C" w:rsidRDefault="001631C6" w:rsidP="008F5322">
            <w:pPr>
              <w:widowControl w:val="0"/>
              <w:autoSpaceDE w:val="0"/>
              <w:autoSpaceDN w:val="0"/>
              <w:adjustRightInd w:val="0"/>
              <w:rPr>
                <w:sz w:val="18"/>
                <w:szCs w:val="18"/>
              </w:rPr>
            </w:pPr>
            <w:r w:rsidRPr="00FB3A9C">
              <w:rPr>
                <w:sz w:val="18"/>
                <w:szCs w:val="18"/>
              </w:rPr>
              <w:t>Majority Non-Domestic BRs</w:t>
            </w:r>
          </w:p>
        </w:tc>
        <w:tc>
          <w:tcPr>
            <w:tcW w:w="195" w:type="pct"/>
            <w:tcBorders>
              <w:top w:val="nil"/>
              <w:left w:val="nil"/>
              <w:bottom w:val="nil"/>
              <w:right w:val="nil"/>
            </w:tcBorders>
          </w:tcPr>
          <w:p w14:paraId="33BC3AFB"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572F8BDE" w14:textId="77777777" w:rsidR="001631C6" w:rsidRPr="00FB3A9C" w:rsidRDefault="001631C6" w:rsidP="008F5322">
            <w:pPr>
              <w:widowControl w:val="0"/>
              <w:autoSpaceDE w:val="0"/>
              <w:autoSpaceDN w:val="0"/>
              <w:adjustRightInd w:val="0"/>
              <w:rPr>
                <w:sz w:val="18"/>
                <w:szCs w:val="18"/>
              </w:rPr>
            </w:pPr>
            <w:r w:rsidRPr="00FB3A9C">
              <w:rPr>
                <w:sz w:val="18"/>
                <w:szCs w:val="18"/>
              </w:rPr>
              <w:t>0.848</w:t>
            </w:r>
          </w:p>
        </w:tc>
        <w:tc>
          <w:tcPr>
            <w:tcW w:w="79" w:type="pct"/>
            <w:tcBorders>
              <w:top w:val="nil"/>
              <w:left w:val="nil"/>
              <w:bottom w:val="nil"/>
              <w:right w:val="nil"/>
            </w:tcBorders>
          </w:tcPr>
          <w:p w14:paraId="5615B7F0"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1A3E486F"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626D806C" w14:textId="77777777" w:rsidR="001631C6" w:rsidRPr="00FB3A9C" w:rsidRDefault="001631C6" w:rsidP="008F5322">
            <w:pPr>
              <w:widowControl w:val="0"/>
              <w:autoSpaceDE w:val="0"/>
              <w:autoSpaceDN w:val="0"/>
              <w:adjustRightInd w:val="0"/>
              <w:rPr>
                <w:sz w:val="18"/>
                <w:szCs w:val="18"/>
              </w:rPr>
            </w:pPr>
            <w:r w:rsidRPr="00FB3A9C">
              <w:rPr>
                <w:sz w:val="18"/>
                <w:szCs w:val="18"/>
              </w:rPr>
              <w:t>0.788</w:t>
            </w:r>
          </w:p>
        </w:tc>
        <w:tc>
          <w:tcPr>
            <w:tcW w:w="79" w:type="pct"/>
            <w:tcBorders>
              <w:top w:val="nil"/>
              <w:left w:val="nil"/>
              <w:bottom w:val="nil"/>
              <w:right w:val="nil"/>
            </w:tcBorders>
          </w:tcPr>
          <w:p w14:paraId="1DE48E9F"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64402601"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0BFECFB4" w14:textId="77777777" w:rsidR="001631C6" w:rsidRPr="00FB3A9C" w:rsidRDefault="001631C6" w:rsidP="008F5322">
            <w:pPr>
              <w:widowControl w:val="0"/>
              <w:autoSpaceDE w:val="0"/>
              <w:autoSpaceDN w:val="0"/>
              <w:adjustRightInd w:val="0"/>
              <w:rPr>
                <w:sz w:val="18"/>
                <w:szCs w:val="18"/>
              </w:rPr>
            </w:pPr>
            <w:r w:rsidRPr="00FB3A9C">
              <w:rPr>
                <w:sz w:val="18"/>
                <w:szCs w:val="18"/>
              </w:rPr>
              <w:t>0.790</w:t>
            </w:r>
          </w:p>
        </w:tc>
        <w:tc>
          <w:tcPr>
            <w:tcW w:w="79" w:type="pct"/>
            <w:tcBorders>
              <w:top w:val="nil"/>
              <w:left w:val="nil"/>
              <w:bottom w:val="nil"/>
              <w:right w:val="nil"/>
            </w:tcBorders>
          </w:tcPr>
          <w:p w14:paraId="4972EFFA"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596D1D84"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4A1226AC" w14:textId="77777777" w:rsidR="001631C6" w:rsidRPr="00FB3A9C" w:rsidRDefault="001631C6" w:rsidP="008F5322">
            <w:pPr>
              <w:widowControl w:val="0"/>
              <w:autoSpaceDE w:val="0"/>
              <w:autoSpaceDN w:val="0"/>
              <w:adjustRightInd w:val="0"/>
              <w:rPr>
                <w:sz w:val="18"/>
                <w:szCs w:val="18"/>
              </w:rPr>
            </w:pPr>
            <w:r w:rsidRPr="00FB3A9C">
              <w:rPr>
                <w:sz w:val="18"/>
                <w:szCs w:val="18"/>
              </w:rPr>
              <w:t>0.798</w:t>
            </w:r>
          </w:p>
        </w:tc>
        <w:tc>
          <w:tcPr>
            <w:tcW w:w="79" w:type="pct"/>
            <w:tcBorders>
              <w:top w:val="nil"/>
              <w:left w:val="nil"/>
              <w:bottom w:val="nil"/>
              <w:right w:val="nil"/>
            </w:tcBorders>
          </w:tcPr>
          <w:p w14:paraId="35626688"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1B044547" w14:textId="77777777" w:rsidR="001631C6" w:rsidRPr="00FB3A9C" w:rsidRDefault="001631C6" w:rsidP="008F5322">
            <w:pPr>
              <w:widowControl w:val="0"/>
              <w:autoSpaceDE w:val="0"/>
              <w:autoSpaceDN w:val="0"/>
              <w:adjustRightInd w:val="0"/>
              <w:rPr>
                <w:sz w:val="18"/>
                <w:szCs w:val="18"/>
              </w:rPr>
            </w:pPr>
            <w:r w:rsidRPr="00FB3A9C">
              <w:rPr>
                <w:sz w:val="18"/>
                <w:szCs w:val="18"/>
              </w:rPr>
              <w:t>-0.060**</w:t>
            </w:r>
          </w:p>
        </w:tc>
        <w:tc>
          <w:tcPr>
            <w:tcW w:w="390" w:type="pct"/>
            <w:tcBorders>
              <w:top w:val="nil"/>
              <w:left w:val="nil"/>
              <w:bottom w:val="nil"/>
              <w:right w:val="nil"/>
            </w:tcBorders>
          </w:tcPr>
          <w:p w14:paraId="0DE26E6B" w14:textId="77777777" w:rsidR="001631C6" w:rsidRPr="00FB3A9C" w:rsidRDefault="001631C6" w:rsidP="008F5322">
            <w:pPr>
              <w:widowControl w:val="0"/>
              <w:autoSpaceDE w:val="0"/>
              <w:autoSpaceDN w:val="0"/>
              <w:adjustRightInd w:val="0"/>
              <w:rPr>
                <w:sz w:val="18"/>
                <w:szCs w:val="18"/>
              </w:rPr>
            </w:pPr>
            <w:r w:rsidRPr="00FB3A9C">
              <w:rPr>
                <w:sz w:val="18"/>
                <w:szCs w:val="18"/>
              </w:rPr>
              <w:t>-0.058**</w:t>
            </w:r>
          </w:p>
        </w:tc>
        <w:tc>
          <w:tcPr>
            <w:tcW w:w="327" w:type="pct"/>
            <w:tcBorders>
              <w:top w:val="nil"/>
              <w:left w:val="nil"/>
              <w:bottom w:val="nil"/>
              <w:right w:val="nil"/>
            </w:tcBorders>
          </w:tcPr>
          <w:p w14:paraId="42B2A622"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0.008</w:t>
            </w:r>
          </w:p>
        </w:tc>
        <w:tc>
          <w:tcPr>
            <w:tcW w:w="377" w:type="pct"/>
            <w:tcBorders>
              <w:top w:val="nil"/>
              <w:left w:val="nil"/>
              <w:bottom w:val="nil"/>
              <w:right w:val="nil"/>
            </w:tcBorders>
          </w:tcPr>
          <w:p w14:paraId="5A9C4715" w14:textId="77777777" w:rsidR="001631C6" w:rsidRPr="00FB3A9C" w:rsidRDefault="001631C6" w:rsidP="008F5322">
            <w:pPr>
              <w:widowControl w:val="0"/>
              <w:autoSpaceDE w:val="0"/>
              <w:autoSpaceDN w:val="0"/>
              <w:adjustRightInd w:val="0"/>
              <w:rPr>
                <w:sz w:val="18"/>
                <w:szCs w:val="18"/>
              </w:rPr>
            </w:pPr>
            <w:r w:rsidRPr="00954009">
              <w:rPr>
                <w:sz w:val="18"/>
                <w:szCs w:val="18"/>
              </w:rPr>
              <w:t>-0.010</w:t>
            </w:r>
          </w:p>
        </w:tc>
        <w:tc>
          <w:tcPr>
            <w:tcW w:w="475" w:type="pct"/>
            <w:tcBorders>
              <w:top w:val="nil"/>
              <w:left w:val="nil"/>
              <w:bottom w:val="nil"/>
              <w:right w:val="nil"/>
            </w:tcBorders>
          </w:tcPr>
          <w:p w14:paraId="385FDD93" w14:textId="77777777" w:rsidR="001631C6" w:rsidRPr="00FB3A9C" w:rsidRDefault="001631C6" w:rsidP="008F5322">
            <w:pPr>
              <w:widowControl w:val="0"/>
              <w:autoSpaceDE w:val="0"/>
              <w:autoSpaceDN w:val="0"/>
              <w:adjustRightInd w:val="0"/>
              <w:rPr>
                <w:sz w:val="18"/>
                <w:szCs w:val="18"/>
              </w:rPr>
            </w:pPr>
            <w:r w:rsidRPr="00954009">
              <w:rPr>
                <w:sz w:val="18"/>
                <w:szCs w:val="18"/>
              </w:rPr>
              <w:t>-0.050</w:t>
            </w:r>
            <w:r>
              <w:rPr>
                <w:sz w:val="18"/>
                <w:szCs w:val="18"/>
              </w:rPr>
              <w:t>***</w:t>
            </w:r>
          </w:p>
        </w:tc>
      </w:tr>
      <w:tr w:rsidR="001631C6" w:rsidRPr="00FB3A9C" w14:paraId="7DA2AAC7" w14:textId="77777777" w:rsidTr="008F5322">
        <w:tc>
          <w:tcPr>
            <w:tcW w:w="825" w:type="pct"/>
            <w:tcBorders>
              <w:top w:val="nil"/>
              <w:left w:val="nil"/>
              <w:bottom w:val="nil"/>
              <w:right w:val="nil"/>
            </w:tcBorders>
          </w:tcPr>
          <w:p w14:paraId="11309737" w14:textId="77777777" w:rsidR="001631C6" w:rsidRPr="00FB3A9C" w:rsidRDefault="001631C6" w:rsidP="008F5322">
            <w:pPr>
              <w:widowControl w:val="0"/>
              <w:autoSpaceDE w:val="0"/>
              <w:autoSpaceDN w:val="0"/>
              <w:adjustRightInd w:val="0"/>
              <w:rPr>
                <w:sz w:val="18"/>
                <w:szCs w:val="18"/>
              </w:rPr>
            </w:pPr>
            <w:r w:rsidRPr="00FB3A9C">
              <w:rPr>
                <w:sz w:val="18"/>
                <w:szCs w:val="18"/>
              </w:rPr>
              <w:t>% of BRs prior lender</w:t>
            </w:r>
          </w:p>
        </w:tc>
        <w:tc>
          <w:tcPr>
            <w:tcW w:w="195" w:type="pct"/>
            <w:tcBorders>
              <w:top w:val="nil"/>
              <w:left w:val="nil"/>
              <w:bottom w:val="nil"/>
              <w:right w:val="nil"/>
            </w:tcBorders>
          </w:tcPr>
          <w:p w14:paraId="1025D3A7"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163569C3" w14:textId="77777777" w:rsidR="001631C6" w:rsidRPr="00FB3A9C" w:rsidRDefault="001631C6" w:rsidP="008F5322">
            <w:pPr>
              <w:widowControl w:val="0"/>
              <w:autoSpaceDE w:val="0"/>
              <w:autoSpaceDN w:val="0"/>
              <w:adjustRightInd w:val="0"/>
              <w:rPr>
                <w:sz w:val="18"/>
                <w:szCs w:val="18"/>
              </w:rPr>
            </w:pPr>
            <w:r w:rsidRPr="00FB3A9C">
              <w:rPr>
                <w:sz w:val="18"/>
                <w:szCs w:val="18"/>
              </w:rPr>
              <w:t>0.396</w:t>
            </w:r>
          </w:p>
        </w:tc>
        <w:tc>
          <w:tcPr>
            <w:tcW w:w="79" w:type="pct"/>
            <w:tcBorders>
              <w:top w:val="nil"/>
              <w:left w:val="nil"/>
              <w:bottom w:val="nil"/>
              <w:right w:val="nil"/>
            </w:tcBorders>
          </w:tcPr>
          <w:p w14:paraId="1A272B3E"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6BB2B559"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41E410A4" w14:textId="77777777" w:rsidR="001631C6" w:rsidRPr="00FB3A9C" w:rsidRDefault="001631C6" w:rsidP="008F5322">
            <w:pPr>
              <w:widowControl w:val="0"/>
              <w:autoSpaceDE w:val="0"/>
              <w:autoSpaceDN w:val="0"/>
              <w:adjustRightInd w:val="0"/>
              <w:rPr>
                <w:sz w:val="18"/>
                <w:szCs w:val="18"/>
              </w:rPr>
            </w:pPr>
            <w:r w:rsidRPr="00FB3A9C">
              <w:rPr>
                <w:sz w:val="18"/>
                <w:szCs w:val="18"/>
              </w:rPr>
              <w:t>0.485</w:t>
            </w:r>
          </w:p>
        </w:tc>
        <w:tc>
          <w:tcPr>
            <w:tcW w:w="79" w:type="pct"/>
            <w:tcBorders>
              <w:top w:val="nil"/>
              <w:left w:val="nil"/>
              <w:bottom w:val="nil"/>
              <w:right w:val="nil"/>
            </w:tcBorders>
          </w:tcPr>
          <w:p w14:paraId="655F406A"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1236FE5F" w14:textId="77777777" w:rsidR="001631C6" w:rsidRPr="00FB3A9C" w:rsidRDefault="001631C6" w:rsidP="008F5322">
            <w:pPr>
              <w:widowControl w:val="0"/>
              <w:autoSpaceDE w:val="0"/>
              <w:autoSpaceDN w:val="0"/>
              <w:adjustRightInd w:val="0"/>
              <w:rPr>
                <w:sz w:val="18"/>
                <w:szCs w:val="18"/>
              </w:rPr>
            </w:pPr>
            <w:r w:rsidRPr="00FB3A9C">
              <w:rPr>
                <w:sz w:val="18"/>
                <w:szCs w:val="18"/>
              </w:rPr>
              <w:t>370</w:t>
            </w:r>
          </w:p>
        </w:tc>
        <w:tc>
          <w:tcPr>
            <w:tcW w:w="282" w:type="pct"/>
            <w:tcBorders>
              <w:top w:val="nil"/>
              <w:left w:val="nil"/>
              <w:bottom w:val="nil"/>
              <w:right w:val="nil"/>
            </w:tcBorders>
          </w:tcPr>
          <w:p w14:paraId="62C95083" w14:textId="77777777" w:rsidR="001631C6" w:rsidRPr="00FB3A9C" w:rsidRDefault="001631C6" w:rsidP="008F5322">
            <w:pPr>
              <w:widowControl w:val="0"/>
              <w:autoSpaceDE w:val="0"/>
              <w:autoSpaceDN w:val="0"/>
              <w:adjustRightInd w:val="0"/>
              <w:rPr>
                <w:sz w:val="18"/>
                <w:szCs w:val="18"/>
              </w:rPr>
            </w:pPr>
            <w:r w:rsidRPr="00FB3A9C">
              <w:rPr>
                <w:sz w:val="18"/>
                <w:szCs w:val="18"/>
              </w:rPr>
              <w:t>0.547</w:t>
            </w:r>
          </w:p>
        </w:tc>
        <w:tc>
          <w:tcPr>
            <w:tcW w:w="79" w:type="pct"/>
            <w:tcBorders>
              <w:top w:val="nil"/>
              <w:left w:val="nil"/>
              <w:bottom w:val="nil"/>
              <w:right w:val="nil"/>
            </w:tcBorders>
          </w:tcPr>
          <w:p w14:paraId="60228ECD"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28CD26D1"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6156D952" w14:textId="77777777" w:rsidR="001631C6" w:rsidRPr="00FB3A9C" w:rsidRDefault="001631C6" w:rsidP="008F5322">
            <w:pPr>
              <w:widowControl w:val="0"/>
              <w:autoSpaceDE w:val="0"/>
              <w:autoSpaceDN w:val="0"/>
              <w:adjustRightInd w:val="0"/>
              <w:rPr>
                <w:sz w:val="18"/>
                <w:szCs w:val="18"/>
              </w:rPr>
            </w:pPr>
            <w:r w:rsidRPr="00FB3A9C">
              <w:rPr>
                <w:sz w:val="18"/>
                <w:szCs w:val="18"/>
              </w:rPr>
              <w:t>0.624</w:t>
            </w:r>
          </w:p>
        </w:tc>
        <w:tc>
          <w:tcPr>
            <w:tcW w:w="79" w:type="pct"/>
            <w:tcBorders>
              <w:top w:val="nil"/>
              <w:left w:val="nil"/>
              <w:bottom w:val="nil"/>
              <w:right w:val="nil"/>
            </w:tcBorders>
          </w:tcPr>
          <w:p w14:paraId="5BDBFDDF"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21A7411C" w14:textId="77777777" w:rsidR="001631C6" w:rsidRPr="00FB3A9C" w:rsidRDefault="001631C6" w:rsidP="008F5322">
            <w:pPr>
              <w:widowControl w:val="0"/>
              <w:autoSpaceDE w:val="0"/>
              <w:autoSpaceDN w:val="0"/>
              <w:adjustRightInd w:val="0"/>
              <w:rPr>
                <w:sz w:val="18"/>
                <w:szCs w:val="18"/>
              </w:rPr>
            </w:pPr>
            <w:r w:rsidRPr="00FB3A9C">
              <w:rPr>
                <w:sz w:val="18"/>
                <w:szCs w:val="18"/>
              </w:rPr>
              <w:t>0.089***</w:t>
            </w:r>
          </w:p>
        </w:tc>
        <w:tc>
          <w:tcPr>
            <w:tcW w:w="390" w:type="pct"/>
            <w:tcBorders>
              <w:top w:val="nil"/>
              <w:left w:val="nil"/>
              <w:bottom w:val="nil"/>
              <w:right w:val="nil"/>
            </w:tcBorders>
          </w:tcPr>
          <w:p w14:paraId="287994A2" w14:textId="77777777" w:rsidR="001631C6" w:rsidRPr="00FB3A9C" w:rsidRDefault="001631C6" w:rsidP="008F5322">
            <w:pPr>
              <w:widowControl w:val="0"/>
              <w:autoSpaceDE w:val="0"/>
              <w:autoSpaceDN w:val="0"/>
              <w:adjustRightInd w:val="0"/>
              <w:rPr>
                <w:sz w:val="18"/>
                <w:szCs w:val="18"/>
              </w:rPr>
            </w:pPr>
            <w:r w:rsidRPr="00FB3A9C">
              <w:rPr>
                <w:sz w:val="18"/>
                <w:szCs w:val="18"/>
              </w:rPr>
              <w:t>0.152***</w:t>
            </w:r>
          </w:p>
        </w:tc>
        <w:tc>
          <w:tcPr>
            <w:tcW w:w="327" w:type="pct"/>
            <w:tcBorders>
              <w:top w:val="nil"/>
              <w:left w:val="nil"/>
              <w:bottom w:val="nil"/>
              <w:right w:val="nil"/>
            </w:tcBorders>
          </w:tcPr>
          <w:p w14:paraId="5B47CCF0"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0.077</w:t>
            </w:r>
            <w:r>
              <w:rPr>
                <w:sz w:val="18"/>
                <w:szCs w:val="18"/>
              </w:rPr>
              <w:t>***</w:t>
            </w:r>
          </w:p>
        </w:tc>
        <w:tc>
          <w:tcPr>
            <w:tcW w:w="377" w:type="pct"/>
            <w:tcBorders>
              <w:top w:val="nil"/>
              <w:left w:val="nil"/>
              <w:bottom w:val="nil"/>
              <w:right w:val="nil"/>
            </w:tcBorders>
          </w:tcPr>
          <w:p w14:paraId="6C8DF4F7" w14:textId="77777777" w:rsidR="001631C6" w:rsidRPr="00FB3A9C" w:rsidRDefault="001631C6" w:rsidP="008F5322">
            <w:pPr>
              <w:widowControl w:val="0"/>
              <w:autoSpaceDE w:val="0"/>
              <w:autoSpaceDN w:val="0"/>
              <w:adjustRightInd w:val="0"/>
              <w:rPr>
                <w:sz w:val="18"/>
                <w:szCs w:val="18"/>
              </w:rPr>
            </w:pPr>
            <w:r w:rsidRPr="00954009">
              <w:rPr>
                <w:sz w:val="18"/>
                <w:szCs w:val="18"/>
              </w:rPr>
              <w:t>-0.139</w:t>
            </w:r>
            <w:r>
              <w:rPr>
                <w:sz w:val="18"/>
                <w:szCs w:val="18"/>
              </w:rPr>
              <w:t>***</w:t>
            </w:r>
          </w:p>
        </w:tc>
        <w:tc>
          <w:tcPr>
            <w:tcW w:w="475" w:type="pct"/>
            <w:tcBorders>
              <w:top w:val="nil"/>
              <w:left w:val="nil"/>
              <w:bottom w:val="nil"/>
              <w:right w:val="nil"/>
            </w:tcBorders>
          </w:tcPr>
          <w:p w14:paraId="1CFBA982" w14:textId="77777777" w:rsidR="001631C6" w:rsidRPr="00FB3A9C" w:rsidRDefault="001631C6" w:rsidP="008F5322">
            <w:pPr>
              <w:widowControl w:val="0"/>
              <w:autoSpaceDE w:val="0"/>
              <w:autoSpaceDN w:val="0"/>
              <w:adjustRightInd w:val="0"/>
              <w:rPr>
                <w:sz w:val="18"/>
                <w:szCs w:val="18"/>
              </w:rPr>
            </w:pPr>
            <w:r w:rsidRPr="00954009">
              <w:rPr>
                <w:sz w:val="18"/>
                <w:szCs w:val="18"/>
              </w:rPr>
              <w:t>0.228</w:t>
            </w:r>
            <w:r>
              <w:rPr>
                <w:sz w:val="18"/>
                <w:szCs w:val="18"/>
              </w:rPr>
              <w:t>***</w:t>
            </w:r>
          </w:p>
        </w:tc>
      </w:tr>
      <w:tr w:rsidR="001631C6" w:rsidRPr="00FB3A9C" w14:paraId="07DB792D" w14:textId="77777777" w:rsidTr="008F5322">
        <w:tc>
          <w:tcPr>
            <w:tcW w:w="825" w:type="pct"/>
            <w:tcBorders>
              <w:top w:val="nil"/>
              <w:left w:val="nil"/>
              <w:bottom w:val="nil"/>
              <w:right w:val="nil"/>
            </w:tcBorders>
          </w:tcPr>
          <w:p w14:paraId="647E8A3A" w14:textId="77777777" w:rsidR="001631C6" w:rsidRPr="00FB3A9C" w:rsidRDefault="001631C6" w:rsidP="008F5322">
            <w:pPr>
              <w:widowControl w:val="0"/>
              <w:autoSpaceDE w:val="0"/>
              <w:autoSpaceDN w:val="0"/>
              <w:adjustRightInd w:val="0"/>
              <w:rPr>
                <w:sz w:val="18"/>
                <w:szCs w:val="18"/>
              </w:rPr>
            </w:pPr>
            <w:r w:rsidRPr="00FB3A9C">
              <w:rPr>
                <w:sz w:val="18"/>
                <w:szCs w:val="18"/>
              </w:rPr>
              <w:t>No. of Bonds</w:t>
            </w:r>
          </w:p>
        </w:tc>
        <w:tc>
          <w:tcPr>
            <w:tcW w:w="195" w:type="pct"/>
            <w:tcBorders>
              <w:top w:val="nil"/>
              <w:left w:val="nil"/>
              <w:bottom w:val="nil"/>
              <w:right w:val="nil"/>
            </w:tcBorders>
          </w:tcPr>
          <w:p w14:paraId="6589CFAD" w14:textId="77777777" w:rsidR="001631C6" w:rsidRPr="00FB3A9C" w:rsidRDefault="001631C6" w:rsidP="008F5322">
            <w:pPr>
              <w:widowControl w:val="0"/>
              <w:autoSpaceDE w:val="0"/>
              <w:autoSpaceDN w:val="0"/>
              <w:adjustRightInd w:val="0"/>
              <w:rPr>
                <w:sz w:val="18"/>
                <w:szCs w:val="18"/>
              </w:rPr>
            </w:pPr>
            <w:r w:rsidRPr="00FB3A9C">
              <w:rPr>
                <w:sz w:val="18"/>
                <w:szCs w:val="18"/>
              </w:rPr>
              <w:t>471</w:t>
            </w:r>
          </w:p>
        </w:tc>
        <w:tc>
          <w:tcPr>
            <w:tcW w:w="282" w:type="pct"/>
            <w:tcBorders>
              <w:top w:val="nil"/>
              <w:left w:val="nil"/>
              <w:bottom w:val="nil"/>
              <w:right w:val="nil"/>
            </w:tcBorders>
          </w:tcPr>
          <w:p w14:paraId="72F0FC4E" w14:textId="77777777" w:rsidR="001631C6" w:rsidRPr="00FB3A9C" w:rsidRDefault="001631C6" w:rsidP="008F5322">
            <w:pPr>
              <w:widowControl w:val="0"/>
              <w:autoSpaceDE w:val="0"/>
              <w:autoSpaceDN w:val="0"/>
              <w:adjustRightInd w:val="0"/>
              <w:rPr>
                <w:sz w:val="18"/>
                <w:szCs w:val="18"/>
              </w:rPr>
            </w:pPr>
            <w:r w:rsidRPr="00FB3A9C">
              <w:rPr>
                <w:sz w:val="18"/>
                <w:szCs w:val="18"/>
              </w:rPr>
              <w:t>24.253</w:t>
            </w:r>
          </w:p>
        </w:tc>
        <w:tc>
          <w:tcPr>
            <w:tcW w:w="79" w:type="pct"/>
            <w:tcBorders>
              <w:top w:val="nil"/>
              <w:left w:val="nil"/>
              <w:bottom w:val="nil"/>
              <w:right w:val="nil"/>
            </w:tcBorders>
          </w:tcPr>
          <w:p w14:paraId="220C4216"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4B50024F"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57757301" w14:textId="77777777" w:rsidR="001631C6" w:rsidRPr="00FB3A9C" w:rsidRDefault="001631C6" w:rsidP="008F5322">
            <w:pPr>
              <w:widowControl w:val="0"/>
              <w:autoSpaceDE w:val="0"/>
              <w:autoSpaceDN w:val="0"/>
              <w:adjustRightInd w:val="0"/>
              <w:rPr>
                <w:sz w:val="18"/>
                <w:szCs w:val="18"/>
              </w:rPr>
            </w:pPr>
            <w:r w:rsidRPr="00FB3A9C">
              <w:rPr>
                <w:sz w:val="18"/>
                <w:szCs w:val="18"/>
              </w:rPr>
              <w:t>21.402</w:t>
            </w:r>
          </w:p>
        </w:tc>
        <w:tc>
          <w:tcPr>
            <w:tcW w:w="79" w:type="pct"/>
            <w:tcBorders>
              <w:top w:val="nil"/>
              <w:left w:val="nil"/>
              <w:bottom w:val="nil"/>
              <w:right w:val="nil"/>
            </w:tcBorders>
          </w:tcPr>
          <w:p w14:paraId="4FC9D331"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0CB7D2E0" w14:textId="77777777" w:rsidR="001631C6" w:rsidRPr="00FB3A9C" w:rsidRDefault="001631C6" w:rsidP="008F5322">
            <w:pPr>
              <w:widowControl w:val="0"/>
              <w:autoSpaceDE w:val="0"/>
              <w:autoSpaceDN w:val="0"/>
              <w:adjustRightInd w:val="0"/>
              <w:rPr>
                <w:sz w:val="18"/>
                <w:szCs w:val="18"/>
              </w:rPr>
            </w:pPr>
            <w:r w:rsidRPr="00FB3A9C">
              <w:rPr>
                <w:sz w:val="18"/>
                <w:szCs w:val="18"/>
              </w:rPr>
              <w:t>370</w:t>
            </w:r>
          </w:p>
        </w:tc>
        <w:tc>
          <w:tcPr>
            <w:tcW w:w="282" w:type="pct"/>
            <w:tcBorders>
              <w:top w:val="nil"/>
              <w:left w:val="nil"/>
              <w:bottom w:val="nil"/>
              <w:right w:val="nil"/>
            </w:tcBorders>
          </w:tcPr>
          <w:p w14:paraId="03218736" w14:textId="77777777" w:rsidR="001631C6" w:rsidRPr="00FB3A9C" w:rsidRDefault="001631C6" w:rsidP="008F5322">
            <w:pPr>
              <w:widowControl w:val="0"/>
              <w:autoSpaceDE w:val="0"/>
              <w:autoSpaceDN w:val="0"/>
              <w:adjustRightInd w:val="0"/>
              <w:rPr>
                <w:sz w:val="18"/>
                <w:szCs w:val="18"/>
              </w:rPr>
            </w:pPr>
            <w:r w:rsidRPr="00FB3A9C">
              <w:rPr>
                <w:sz w:val="18"/>
                <w:szCs w:val="18"/>
              </w:rPr>
              <w:t>14.900</w:t>
            </w:r>
          </w:p>
        </w:tc>
        <w:tc>
          <w:tcPr>
            <w:tcW w:w="79" w:type="pct"/>
            <w:tcBorders>
              <w:top w:val="nil"/>
              <w:left w:val="nil"/>
              <w:bottom w:val="nil"/>
              <w:right w:val="nil"/>
            </w:tcBorders>
          </w:tcPr>
          <w:p w14:paraId="384CE00F"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783C7731"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42B5782E" w14:textId="77777777" w:rsidR="001631C6" w:rsidRPr="00FB3A9C" w:rsidRDefault="001631C6" w:rsidP="008F5322">
            <w:pPr>
              <w:widowControl w:val="0"/>
              <w:autoSpaceDE w:val="0"/>
              <w:autoSpaceDN w:val="0"/>
              <w:adjustRightInd w:val="0"/>
              <w:rPr>
                <w:sz w:val="18"/>
                <w:szCs w:val="18"/>
              </w:rPr>
            </w:pPr>
            <w:r w:rsidRPr="00FB3A9C">
              <w:rPr>
                <w:sz w:val="18"/>
                <w:szCs w:val="18"/>
              </w:rPr>
              <w:t>13.955</w:t>
            </w:r>
          </w:p>
        </w:tc>
        <w:tc>
          <w:tcPr>
            <w:tcW w:w="79" w:type="pct"/>
            <w:tcBorders>
              <w:top w:val="nil"/>
              <w:left w:val="nil"/>
              <w:bottom w:val="nil"/>
              <w:right w:val="nil"/>
            </w:tcBorders>
          </w:tcPr>
          <w:p w14:paraId="46D04D69"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403680AC" w14:textId="77777777" w:rsidR="001631C6" w:rsidRPr="00FB3A9C" w:rsidRDefault="001631C6" w:rsidP="008F5322">
            <w:pPr>
              <w:widowControl w:val="0"/>
              <w:autoSpaceDE w:val="0"/>
              <w:autoSpaceDN w:val="0"/>
              <w:adjustRightInd w:val="0"/>
              <w:rPr>
                <w:sz w:val="18"/>
                <w:szCs w:val="18"/>
              </w:rPr>
            </w:pPr>
            <w:r w:rsidRPr="00FB3A9C">
              <w:rPr>
                <w:sz w:val="18"/>
                <w:szCs w:val="18"/>
              </w:rPr>
              <w:t>-2.851</w:t>
            </w:r>
          </w:p>
        </w:tc>
        <w:tc>
          <w:tcPr>
            <w:tcW w:w="390" w:type="pct"/>
            <w:tcBorders>
              <w:top w:val="nil"/>
              <w:left w:val="nil"/>
              <w:bottom w:val="nil"/>
              <w:right w:val="nil"/>
            </w:tcBorders>
          </w:tcPr>
          <w:p w14:paraId="05F323EC" w14:textId="77777777" w:rsidR="001631C6" w:rsidRPr="00FB3A9C" w:rsidRDefault="001631C6" w:rsidP="008F5322">
            <w:pPr>
              <w:widowControl w:val="0"/>
              <w:autoSpaceDE w:val="0"/>
              <w:autoSpaceDN w:val="0"/>
              <w:adjustRightInd w:val="0"/>
              <w:rPr>
                <w:sz w:val="18"/>
                <w:szCs w:val="18"/>
              </w:rPr>
            </w:pPr>
            <w:r>
              <w:rPr>
                <w:sz w:val="18"/>
                <w:szCs w:val="18"/>
              </w:rPr>
              <w:t>-</w:t>
            </w:r>
            <w:r w:rsidRPr="00954009">
              <w:rPr>
                <w:sz w:val="18"/>
                <w:szCs w:val="18"/>
              </w:rPr>
              <w:t>9.353</w:t>
            </w:r>
            <w:r>
              <w:rPr>
                <w:sz w:val="18"/>
                <w:szCs w:val="18"/>
              </w:rPr>
              <w:t>***</w:t>
            </w:r>
          </w:p>
        </w:tc>
        <w:tc>
          <w:tcPr>
            <w:tcW w:w="327" w:type="pct"/>
            <w:tcBorders>
              <w:top w:val="nil"/>
              <w:left w:val="nil"/>
              <w:bottom w:val="nil"/>
              <w:right w:val="nil"/>
            </w:tcBorders>
          </w:tcPr>
          <w:p w14:paraId="5BB5DB9D" w14:textId="77777777" w:rsidR="001631C6" w:rsidRPr="00FB3A9C" w:rsidRDefault="001631C6" w:rsidP="008F5322">
            <w:pPr>
              <w:widowControl w:val="0"/>
              <w:autoSpaceDE w:val="0"/>
              <w:autoSpaceDN w:val="0"/>
              <w:adjustRightInd w:val="0"/>
              <w:rPr>
                <w:sz w:val="18"/>
                <w:szCs w:val="18"/>
              </w:rPr>
            </w:pPr>
            <w:r w:rsidRPr="00910D07">
              <w:rPr>
                <w:sz w:val="18"/>
                <w:szCs w:val="18"/>
              </w:rPr>
              <w:t>0.945</w:t>
            </w:r>
          </w:p>
        </w:tc>
        <w:tc>
          <w:tcPr>
            <w:tcW w:w="377" w:type="pct"/>
            <w:tcBorders>
              <w:top w:val="nil"/>
              <w:left w:val="nil"/>
              <w:bottom w:val="nil"/>
              <w:right w:val="nil"/>
            </w:tcBorders>
          </w:tcPr>
          <w:p w14:paraId="6AB70FCB" w14:textId="77777777" w:rsidR="001631C6" w:rsidRPr="00FB3A9C" w:rsidRDefault="001631C6" w:rsidP="008F5322">
            <w:pPr>
              <w:widowControl w:val="0"/>
              <w:autoSpaceDE w:val="0"/>
              <w:autoSpaceDN w:val="0"/>
              <w:adjustRightInd w:val="0"/>
              <w:rPr>
                <w:sz w:val="18"/>
                <w:szCs w:val="18"/>
              </w:rPr>
            </w:pPr>
            <w:r w:rsidRPr="00954009">
              <w:rPr>
                <w:sz w:val="18"/>
                <w:szCs w:val="18"/>
              </w:rPr>
              <w:t>7.447</w:t>
            </w:r>
            <w:r>
              <w:rPr>
                <w:sz w:val="18"/>
                <w:szCs w:val="18"/>
              </w:rPr>
              <w:t>**</w:t>
            </w:r>
          </w:p>
        </w:tc>
        <w:tc>
          <w:tcPr>
            <w:tcW w:w="475" w:type="pct"/>
            <w:tcBorders>
              <w:top w:val="nil"/>
              <w:left w:val="nil"/>
              <w:bottom w:val="nil"/>
              <w:right w:val="nil"/>
            </w:tcBorders>
          </w:tcPr>
          <w:p w14:paraId="0BE5BEF5" w14:textId="77777777" w:rsidR="001631C6" w:rsidRPr="00FB3A9C" w:rsidRDefault="001631C6" w:rsidP="008F5322">
            <w:pPr>
              <w:widowControl w:val="0"/>
              <w:autoSpaceDE w:val="0"/>
              <w:autoSpaceDN w:val="0"/>
              <w:adjustRightInd w:val="0"/>
              <w:rPr>
                <w:sz w:val="18"/>
                <w:szCs w:val="18"/>
              </w:rPr>
            </w:pPr>
            <w:r w:rsidRPr="00954009">
              <w:rPr>
                <w:sz w:val="18"/>
                <w:szCs w:val="18"/>
              </w:rPr>
              <w:t>-10.298</w:t>
            </w:r>
            <w:r>
              <w:rPr>
                <w:sz w:val="18"/>
                <w:szCs w:val="18"/>
              </w:rPr>
              <w:t>***</w:t>
            </w:r>
          </w:p>
        </w:tc>
      </w:tr>
      <w:tr w:rsidR="001631C6" w:rsidRPr="00FB3A9C" w14:paraId="057896A6" w14:textId="77777777" w:rsidTr="008F5322">
        <w:tc>
          <w:tcPr>
            <w:tcW w:w="825" w:type="pct"/>
            <w:tcBorders>
              <w:top w:val="nil"/>
              <w:left w:val="nil"/>
              <w:bottom w:val="nil"/>
              <w:right w:val="nil"/>
            </w:tcBorders>
          </w:tcPr>
          <w:p w14:paraId="09C4615B" w14:textId="77777777" w:rsidR="001631C6" w:rsidRPr="00FB3A9C" w:rsidRDefault="001631C6" w:rsidP="008F5322">
            <w:pPr>
              <w:widowControl w:val="0"/>
              <w:autoSpaceDE w:val="0"/>
              <w:autoSpaceDN w:val="0"/>
              <w:adjustRightInd w:val="0"/>
              <w:rPr>
                <w:sz w:val="18"/>
                <w:szCs w:val="18"/>
              </w:rPr>
            </w:pPr>
            <w:r w:rsidRPr="00FB3A9C">
              <w:rPr>
                <w:sz w:val="18"/>
                <w:szCs w:val="18"/>
              </w:rPr>
              <w:t>Credit Rating</w:t>
            </w:r>
          </w:p>
        </w:tc>
        <w:tc>
          <w:tcPr>
            <w:tcW w:w="195" w:type="pct"/>
            <w:tcBorders>
              <w:top w:val="nil"/>
              <w:left w:val="nil"/>
              <w:bottom w:val="nil"/>
              <w:right w:val="nil"/>
            </w:tcBorders>
          </w:tcPr>
          <w:p w14:paraId="4DD7A7C4"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654BDD85" w14:textId="77777777" w:rsidR="001631C6" w:rsidRPr="00FB3A9C" w:rsidRDefault="001631C6" w:rsidP="008F5322">
            <w:pPr>
              <w:widowControl w:val="0"/>
              <w:autoSpaceDE w:val="0"/>
              <w:autoSpaceDN w:val="0"/>
              <w:adjustRightInd w:val="0"/>
              <w:rPr>
                <w:sz w:val="18"/>
                <w:szCs w:val="18"/>
              </w:rPr>
            </w:pPr>
            <w:r w:rsidRPr="00FB3A9C">
              <w:rPr>
                <w:sz w:val="18"/>
                <w:szCs w:val="18"/>
              </w:rPr>
              <w:t>6.825</w:t>
            </w:r>
          </w:p>
        </w:tc>
        <w:tc>
          <w:tcPr>
            <w:tcW w:w="79" w:type="pct"/>
            <w:tcBorders>
              <w:top w:val="nil"/>
              <w:left w:val="nil"/>
              <w:bottom w:val="nil"/>
              <w:right w:val="nil"/>
            </w:tcBorders>
          </w:tcPr>
          <w:p w14:paraId="2A7E36EC"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470DBC06"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74F3062C" w14:textId="77777777" w:rsidR="001631C6" w:rsidRPr="00FB3A9C" w:rsidRDefault="001631C6" w:rsidP="008F5322">
            <w:pPr>
              <w:widowControl w:val="0"/>
              <w:autoSpaceDE w:val="0"/>
              <w:autoSpaceDN w:val="0"/>
              <w:adjustRightInd w:val="0"/>
              <w:rPr>
                <w:sz w:val="18"/>
                <w:szCs w:val="18"/>
              </w:rPr>
            </w:pPr>
            <w:r w:rsidRPr="00FB3A9C">
              <w:rPr>
                <w:sz w:val="18"/>
                <w:szCs w:val="18"/>
              </w:rPr>
              <w:t>6.882</w:t>
            </w:r>
          </w:p>
        </w:tc>
        <w:tc>
          <w:tcPr>
            <w:tcW w:w="79" w:type="pct"/>
            <w:tcBorders>
              <w:top w:val="nil"/>
              <w:left w:val="nil"/>
              <w:bottom w:val="nil"/>
              <w:right w:val="nil"/>
            </w:tcBorders>
          </w:tcPr>
          <w:p w14:paraId="2A40B794"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0FCF6A55"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232EEFE2" w14:textId="77777777" w:rsidR="001631C6" w:rsidRPr="00FB3A9C" w:rsidRDefault="001631C6" w:rsidP="008F5322">
            <w:pPr>
              <w:widowControl w:val="0"/>
              <w:autoSpaceDE w:val="0"/>
              <w:autoSpaceDN w:val="0"/>
              <w:adjustRightInd w:val="0"/>
              <w:rPr>
                <w:sz w:val="18"/>
                <w:szCs w:val="18"/>
              </w:rPr>
            </w:pPr>
            <w:r w:rsidRPr="00FB3A9C">
              <w:rPr>
                <w:sz w:val="18"/>
                <w:szCs w:val="18"/>
              </w:rPr>
              <w:t>7.946</w:t>
            </w:r>
          </w:p>
        </w:tc>
        <w:tc>
          <w:tcPr>
            <w:tcW w:w="79" w:type="pct"/>
            <w:tcBorders>
              <w:top w:val="nil"/>
              <w:left w:val="nil"/>
              <w:bottom w:val="nil"/>
              <w:right w:val="nil"/>
            </w:tcBorders>
          </w:tcPr>
          <w:p w14:paraId="5AB582FF"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006F5EEF"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4B99B8B0" w14:textId="77777777" w:rsidR="001631C6" w:rsidRPr="00FB3A9C" w:rsidRDefault="001631C6" w:rsidP="008F5322">
            <w:pPr>
              <w:widowControl w:val="0"/>
              <w:autoSpaceDE w:val="0"/>
              <w:autoSpaceDN w:val="0"/>
              <w:adjustRightInd w:val="0"/>
              <w:rPr>
                <w:sz w:val="18"/>
                <w:szCs w:val="18"/>
              </w:rPr>
            </w:pPr>
            <w:r w:rsidRPr="00FB3A9C">
              <w:rPr>
                <w:sz w:val="18"/>
                <w:szCs w:val="18"/>
              </w:rPr>
              <w:t>8.086</w:t>
            </w:r>
          </w:p>
        </w:tc>
        <w:tc>
          <w:tcPr>
            <w:tcW w:w="79" w:type="pct"/>
            <w:tcBorders>
              <w:top w:val="nil"/>
              <w:left w:val="nil"/>
              <w:bottom w:val="nil"/>
              <w:right w:val="nil"/>
            </w:tcBorders>
          </w:tcPr>
          <w:p w14:paraId="634F04D0"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697892CD" w14:textId="77777777" w:rsidR="001631C6" w:rsidRPr="00FB3A9C" w:rsidRDefault="001631C6" w:rsidP="008F5322">
            <w:pPr>
              <w:widowControl w:val="0"/>
              <w:autoSpaceDE w:val="0"/>
              <w:autoSpaceDN w:val="0"/>
              <w:adjustRightInd w:val="0"/>
              <w:rPr>
                <w:sz w:val="18"/>
                <w:szCs w:val="18"/>
              </w:rPr>
            </w:pPr>
            <w:r w:rsidRPr="00FB3A9C">
              <w:rPr>
                <w:sz w:val="18"/>
                <w:szCs w:val="18"/>
              </w:rPr>
              <w:t>0.057</w:t>
            </w:r>
          </w:p>
        </w:tc>
        <w:tc>
          <w:tcPr>
            <w:tcW w:w="390" w:type="pct"/>
            <w:tcBorders>
              <w:top w:val="nil"/>
              <w:left w:val="nil"/>
              <w:bottom w:val="nil"/>
              <w:right w:val="nil"/>
            </w:tcBorders>
          </w:tcPr>
          <w:p w14:paraId="51A4AA3F" w14:textId="77777777" w:rsidR="001631C6" w:rsidRPr="00FB3A9C" w:rsidRDefault="001631C6" w:rsidP="008F5322">
            <w:pPr>
              <w:widowControl w:val="0"/>
              <w:autoSpaceDE w:val="0"/>
              <w:autoSpaceDN w:val="0"/>
              <w:adjustRightInd w:val="0"/>
              <w:rPr>
                <w:sz w:val="18"/>
                <w:szCs w:val="18"/>
              </w:rPr>
            </w:pPr>
            <w:r w:rsidRPr="00954009">
              <w:rPr>
                <w:sz w:val="18"/>
                <w:szCs w:val="18"/>
              </w:rPr>
              <w:t>1.121</w:t>
            </w:r>
            <w:r>
              <w:rPr>
                <w:sz w:val="18"/>
                <w:szCs w:val="18"/>
              </w:rPr>
              <w:t>***</w:t>
            </w:r>
          </w:p>
        </w:tc>
        <w:tc>
          <w:tcPr>
            <w:tcW w:w="327" w:type="pct"/>
            <w:tcBorders>
              <w:top w:val="nil"/>
              <w:left w:val="nil"/>
              <w:bottom w:val="nil"/>
              <w:right w:val="nil"/>
            </w:tcBorders>
          </w:tcPr>
          <w:p w14:paraId="352422AE"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0.140</w:t>
            </w:r>
          </w:p>
        </w:tc>
        <w:tc>
          <w:tcPr>
            <w:tcW w:w="377" w:type="pct"/>
            <w:tcBorders>
              <w:top w:val="nil"/>
              <w:left w:val="nil"/>
              <w:bottom w:val="nil"/>
              <w:right w:val="nil"/>
            </w:tcBorders>
          </w:tcPr>
          <w:p w14:paraId="4653475A" w14:textId="77777777" w:rsidR="001631C6" w:rsidRPr="00FB3A9C" w:rsidRDefault="001631C6" w:rsidP="008F5322">
            <w:pPr>
              <w:widowControl w:val="0"/>
              <w:autoSpaceDE w:val="0"/>
              <w:autoSpaceDN w:val="0"/>
              <w:adjustRightInd w:val="0"/>
              <w:rPr>
                <w:sz w:val="18"/>
                <w:szCs w:val="18"/>
              </w:rPr>
            </w:pPr>
            <w:r w:rsidRPr="00954009">
              <w:rPr>
                <w:sz w:val="18"/>
                <w:szCs w:val="18"/>
              </w:rPr>
              <w:t>-1.204</w:t>
            </w:r>
            <w:r>
              <w:rPr>
                <w:sz w:val="18"/>
                <w:szCs w:val="18"/>
              </w:rPr>
              <w:t>***</w:t>
            </w:r>
          </w:p>
        </w:tc>
        <w:tc>
          <w:tcPr>
            <w:tcW w:w="475" w:type="pct"/>
            <w:tcBorders>
              <w:top w:val="nil"/>
              <w:left w:val="nil"/>
              <w:bottom w:val="nil"/>
              <w:right w:val="nil"/>
            </w:tcBorders>
          </w:tcPr>
          <w:p w14:paraId="03E50EE2" w14:textId="77777777" w:rsidR="001631C6" w:rsidRPr="00FB3A9C" w:rsidRDefault="001631C6" w:rsidP="008F5322">
            <w:pPr>
              <w:widowControl w:val="0"/>
              <w:autoSpaceDE w:val="0"/>
              <w:autoSpaceDN w:val="0"/>
              <w:adjustRightInd w:val="0"/>
              <w:rPr>
                <w:sz w:val="18"/>
                <w:szCs w:val="18"/>
              </w:rPr>
            </w:pPr>
            <w:r w:rsidRPr="00954009">
              <w:rPr>
                <w:sz w:val="18"/>
                <w:szCs w:val="18"/>
              </w:rPr>
              <w:t>1.261</w:t>
            </w:r>
            <w:r>
              <w:rPr>
                <w:sz w:val="18"/>
                <w:szCs w:val="18"/>
              </w:rPr>
              <w:t>***</w:t>
            </w:r>
          </w:p>
        </w:tc>
      </w:tr>
      <w:tr w:rsidR="001631C6" w:rsidRPr="00FB3A9C" w14:paraId="0DFDB42C" w14:textId="77777777" w:rsidTr="008F5322">
        <w:tc>
          <w:tcPr>
            <w:tcW w:w="825" w:type="pct"/>
            <w:tcBorders>
              <w:top w:val="nil"/>
              <w:left w:val="nil"/>
              <w:bottom w:val="nil"/>
              <w:right w:val="nil"/>
            </w:tcBorders>
          </w:tcPr>
          <w:p w14:paraId="7E3807A9" w14:textId="77777777" w:rsidR="001631C6" w:rsidRPr="00FB3A9C" w:rsidRDefault="001631C6" w:rsidP="008F5322">
            <w:pPr>
              <w:widowControl w:val="0"/>
              <w:autoSpaceDE w:val="0"/>
              <w:autoSpaceDN w:val="0"/>
              <w:adjustRightInd w:val="0"/>
              <w:rPr>
                <w:sz w:val="18"/>
                <w:szCs w:val="18"/>
              </w:rPr>
            </w:pPr>
            <w:r w:rsidRPr="00FB3A9C">
              <w:rPr>
                <w:sz w:val="18"/>
                <w:szCs w:val="18"/>
              </w:rPr>
              <w:t>Maturity</w:t>
            </w:r>
          </w:p>
        </w:tc>
        <w:tc>
          <w:tcPr>
            <w:tcW w:w="195" w:type="pct"/>
            <w:tcBorders>
              <w:top w:val="nil"/>
              <w:left w:val="nil"/>
              <w:bottom w:val="nil"/>
              <w:right w:val="nil"/>
            </w:tcBorders>
          </w:tcPr>
          <w:p w14:paraId="468AE8C9"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5A1153BD" w14:textId="77777777" w:rsidR="001631C6" w:rsidRPr="00FB3A9C" w:rsidRDefault="001631C6" w:rsidP="008F5322">
            <w:pPr>
              <w:widowControl w:val="0"/>
              <w:autoSpaceDE w:val="0"/>
              <w:autoSpaceDN w:val="0"/>
              <w:adjustRightInd w:val="0"/>
              <w:rPr>
                <w:sz w:val="18"/>
                <w:szCs w:val="18"/>
              </w:rPr>
            </w:pPr>
            <w:r w:rsidRPr="00FB3A9C">
              <w:rPr>
                <w:sz w:val="18"/>
                <w:szCs w:val="18"/>
              </w:rPr>
              <w:t>7.606</w:t>
            </w:r>
          </w:p>
        </w:tc>
        <w:tc>
          <w:tcPr>
            <w:tcW w:w="79" w:type="pct"/>
            <w:tcBorders>
              <w:top w:val="nil"/>
              <w:left w:val="nil"/>
              <w:bottom w:val="nil"/>
              <w:right w:val="nil"/>
            </w:tcBorders>
          </w:tcPr>
          <w:p w14:paraId="65C66900"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07B7220F"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17A252FF" w14:textId="77777777" w:rsidR="001631C6" w:rsidRPr="00FB3A9C" w:rsidRDefault="001631C6" w:rsidP="008F5322">
            <w:pPr>
              <w:widowControl w:val="0"/>
              <w:autoSpaceDE w:val="0"/>
              <w:autoSpaceDN w:val="0"/>
              <w:adjustRightInd w:val="0"/>
              <w:rPr>
                <w:sz w:val="18"/>
                <w:szCs w:val="18"/>
              </w:rPr>
            </w:pPr>
            <w:r w:rsidRPr="00FB3A9C">
              <w:rPr>
                <w:sz w:val="18"/>
                <w:szCs w:val="18"/>
              </w:rPr>
              <w:t>6.653</w:t>
            </w:r>
          </w:p>
        </w:tc>
        <w:tc>
          <w:tcPr>
            <w:tcW w:w="79" w:type="pct"/>
            <w:tcBorders>
              <w:top w:val="nil"/>
              <w:left w:val="nil"/>
              <w:bottom w:val="nil"/>
              <w:right w:val="nil"/>
            </w:tcBorders>
          </w:tcPr>
          <w:p w14:paraId="4956C74B"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21286D1A"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26EE44A8" w14:textId="77777777" w:rsidR="001631C6" w:rsidRPr="00FB3A9C" w:rsidRDefault="001631C6" w:rsidP="008F5322">
            <w:pPr>
              <w:widowControl w:val="0"/>
              <w:autoSpaceDE w:val="0"/>
              <w:autoSpaceDN w:val="0"/>
              <w:adjustRightInd w:val="0"/>
              <w:rPr>
                <w:sz w:val="18"/>
                <w:szCs w:val="18"/>
              </w:rPr>
            </w:pPr>
            <w:r w:rsidRPr="00FB3A9C">
              <w:rPr>
                <w:sz w:val="18"/>
                <w:szCs w:val="18"/>
              </w:rPr>
              <w:t>7.545</w:t>
            </w:r>
          </w:p>
        </w:tc>
        <w:tc>
          <w:tcPr>
            <w:tcW w:w="79" w:type="pct"/>
            <w:tcBorders>
              <w:top w:val="nil"/>
              <w:left w:val="nil"/>
              <w:bottom w:val="nil"/>
              <w:right w:val="nil"/>
            </w:tcBorders>
          </w:tcPr>
          <w:p w14:paraId="1DCC9C14"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4D8C63D6" w14:textId="77777777" w:rsidR="001631C6" w:rsidRPr="00FB3A9C" w:rsidRDefault="001631C6" w:rsidP="008F5322">
            <w:pPr>
              <w:widowControl w:val="0"/>
              <w:autoSpaceDE w:val="0"/>
              <w:autoSpaceDN w:val="0"/>
              <w:adjustRightInd w:val="0"/>
              <w:rPr>
                <w:sz w:val="18"/>
                <w:szCs w:val="18"/>
              </w:rPr>
            </w:pPr>
            <w:r w:rsidRPr="00FB3A9C">
              <w:rPr>
                <w:sz w:val="18"/>
                <w:szCs w:val="18"/>
              </w:rPr>
              <w:t>1996</w:t>
            </w:r>
          </w:p>
        </w:tc>
        <w:tc>
          <w:tcPr>
            <w:tcW w:w="282" w:type="pct"/>
            <w:tcBorders>
              <w:top w:val="nil"/>
              <w:left w:val="nil"/>
              <w:bottom w:val="nil"/>
              <w:right w:val="nil"/>
            </w:tcBorders>
          </w:tcPr>
          <w:p w14:paraId="1DDEE7E7" w14:textId="77777777" w:rsidR="001631C6" w:rsidRPr="00FB3A9C" w:rsidRDefault="001631C6" w:rsidP="008F5322">
            <w:pPr>
              <w:widowControl w:val="0"/>
              <w:autoSpaceDE w:val="0"/>
              <w:autoSpaceDN w:val="0"/>
              <w:adjustRightInd w:val="0"/>
              <w:rPr>
                <w:sz w:val="18"/>
                <w:szCs w:val="18"/>
              </w:rPr>
            </w:pPr>
            <w:r w:rsidRPr="00FB3A9C">
              <w:rPr>
                <w:sz w:val="18"/>
                <w:szCs w:val="18"/>
              </w:rPr>
              <w:t>8.353</w:t>
            </w:r>
          </w:p>
        </w:tc>
        <w:tc>
          <w:tcPr>
            <w:tcW w:w="79" w:type="pct"/>
            <w:tcBorders>
              <w:top w:val="nil"/>
              <w:left w:val="nil"/>
              <w:bottom w:val="nil"/>
              <w:right w:val="nil"/>
            </w:tcBorders>
          </w:tcPr>
          <w:p w14:paraId="0B73569F"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62CED319" w14:textId="77777777" w:rsidR="001631C6" w:rsidRPr="00FB3A9C" w:rsidRDefault="001631C6" w:rsidP="008F5322">
            <w:pPr>
              <w:widowControl w:val="0"/>
              <w:autoSpaceDE w:val="0"/>
              <w:autoSpaceDN w:val="0"/>
              <w:adjustRightInd w:val="0"/>
              <w:rPr>
                <w:sz w:val="18"/>
                <w:szCs w:val="18"/>
              </w:rPr>
            </w:pPr>
            <w:r w:rsidRPr="00FB3A9C">
              <w:rPr>
                <w:sz w:val="18"/>
                <w:szCs w:val="18"/>
              </w:rPr>
              <w:t>-0.953***</w:t>
            </w:r>
          </w:p>
        </w:tc>
        <w:tc>
          <w:tcPr>
            <w:tcW w:w="390" w:type="pct"/>
            <w:tcBorders>
              <w:top w:val="nil"/>
              <w:left w:val="nil"/>
              <w:bottom w:val="nil"/>
              <w:right w:val="nil"/>
            </w:tcBorders>
          </w:tcPr>
          <w:p w14:paraId="33854EE8" w14:textId="77777777" w:rsidR="001631C6" w:rsidRPr="00FB3A9C" w:rsidRDefault="001631C6" w:rsidP="008F5322">
            <w:pPr>
              <w:widowControl w:val="0"/>
              <w:autoSpaceDE w:val="0"/>
              <w:autoSpaceDN w:val="0"/>
              <w:adjustRightInd w:val="0"/>
              <w:rPr>
                <w:sz w:val="18"/>
                <w:szCs w:val="18"/>
              </w:rPr>
            </w:pPr>
            <w:r>
              <w:rPr>
                <w:sz w:val="18"/>
                <w:szCs w:val="18"/>
              </w:rPr>
              <w:t>-</w:t>
            </w:r>
            <w:r w:rsidRPr="00954009">
              <w:rPr>
                <w:sz w:val="18"/>
                <w:szCs w:val="18"/>
              </w:rPr>
              <w:t>0.061</w:t>
            </w:r>
          </w:p>
        </w:tc>
        <w:tc>
          <w:tcPr>
            <w:tcW w:w="327" w:type="pct"/>
            <w:tcBorders>
              <w:top w:val="nil"/>
              <w:left w:val="nil"/>
              <w:bottom w:val="nil"/>
              <w:right w:val="nil"/>
            </w:tcBorders>
          </w:tcPr>
          <w:p w14:paraId="1C30F88B"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0.809</w:t>
            </w:r>
            <w:r>
              <w:rPr>
                <w:sz w:val="18"/>
                <w:szCs w:val="18"/>
              </w:rPr>
              <w:t>**</w:t>
            </w:r>
          </w:p>
        </w:tc>
        <w:tc>
          <w:tcPr>
            <w:tcW w:w="377" w:type="pct"/>
            <w:tcBorders>
              <w:top w:val="nil"/>
              <w:left w:val="nil"/>
              <w:bottom w:val="nil"/>
              <w:right w:val="nil"/>
            </w:tcBorders>
          </w:tcPr>
          <w:p w14:paraId="1DBBB34E" w14:textId="77777777" w:rsidR="001631C6" w:rsidRPr="00FB3A9C" w:rsidRDefault="001631C6" w:rsidP="008F5322">
            <w:pPr>
              <w:widowControl w:val="0"/>
              <w:autoSpaceDE w:val="0"/>
              <w:autoSpaceDN w:val="0"/>
              <w:adjustRightInd w:val="0"/>
              <w:rPr>
                <w:sz w:val="18"/>
                <w:szCs w:val="18"/>
              </w:rPr>
            </w:pPr>
            <w:r w:rsidRPr="00954009">
              <w:rPr>
                <w:sz w:val="18"/>
                <w:szCs w:val="18"/>
              </w:rPr>
              <w:t>-1.700</w:t>
            </w:r>
            <w:r>
              <w:rPr>
                <w:sz w:val="18"/>
                <w:szCs w:val="18"/>
              </w:rPr>
              <w:t>***</w:t>
            </w:r>
          </w:p>
        </w:tc>
        <w:tc>
          <w:tcPr>
            <w:tcW w:w="475" w:type="pct"/>
            <w:tcBorders>
              <w:top w:val="nil"/>
              <w:left w:val="nil"/>
              <w:bottom w:val="nil"/>
              <w:right w:val="nil"/>
            </w:tcBorders>
          </w:tcPr>
          <w:p w14:paraId="44DA83C3" w14:textId="77777777" w:rsidR="001631C6" w:rsidRPr="00FB3A9C" w:rsidRDefault="001631C6" w:rsidP="008F5322">
            <w:pPr>
              <w:widowControl w:val="0"/>
              <w:autoSpaceDE w:val="0"/>
              <w:autoSpaceDN w:val="0"/>
              <w:adjustRightInd w:val="0"/>
              <w:rPr>
                <w:sz w:val="18"/>
                <w:szCs w:val="18"/>
              </w:rPr>
            </w:pPr>
            <w:r w:rsidRPr="00954009">
              <w:rPr>
                <w:sz w:val="18"/>
                <w:szCs w:val="18"/>
              </w:rPr>
              <w:t>0.747</w:t>
            </w:r>
            <w:r>
              <w:rPr>
                <w:sz w:val="18"/>
                <w:szCs w:val="18"/>
              </w:rPr>
              <w:t>***</w:t>
            </w:r>
          </w:p>
        </w:tc>
      </w:tr>
      <w:tr w:rsidR="001631C6" w:rsidRPr="00FB3A9C" w14:paraId="088180C2" w14:textId="77777777" w:rsidTr="008F5322">
        <w:tc>
          <w:tcPr>
            <w:tcW w:w="825" w:type="pct"/>
            <w:tcBorders>
              <w:top w:val="nil"/>
              <w:left w:val="nil"/>
              <w:bottom w:val="nil"/>
              <w:right w:val="nil"/>
            </w:tcBorders>
          </w:tcPr>
          <w:p w14:paraId="58F5B7C7" w14:textId="77777777" w:rsidR="001631C6" w:rsidRPr="00FB3A9C" w:rsidRDefault="001631C6" w:rsidP="008F5322">
            <w:pPr>
              <w:widowControl w:val="0"/>
              <w:autoSpaceDE w:val="0"/>
              <w:autoSpaceDN w:val="0"/>
              <w:adjustRightInd w:val="0"/>
              <w:rPr>
                <w:sz w:val="18"/>
                <w:szCs w:val="18"/>
              </w:rPr>
            </w:pPr>
            <w:r w:rsidRPr="00FB3A9C">
              <w:rPr>
                <w:sz w:val="18"/>
                <w:szCs w:val="18"/>
              </w:rPr>
              <w:t>Tranche Size</w:t>
            </w:r>
          </w:p>
        </w:tc>
        <w:tc>
          <w:tcPr>
            <w:tcW w:w="195" w:type="pct"/>
            <w:tcBorders>
              <w:top w:val="nil"/>
              <w:left w:val="nil"/>
              <w:bottom w:val="nil"/>
              <w:right w:val="nil"/>
            </w:tcBorders>
          </w:tcPr>
          <w:p w14:paraId="6598252F"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nil"/>
              <w:right w:val="nil"/>
            </w:tcBorders>
          </w:tcPr>
          <w:p w14:paraId="18D75863" w14:textId="77777777" w:rsidR="001631C6" w:rsidRPr="00FB3A9C" w:rsidRDefault="001631C6" w:rsidP="008F5322">
            <w:pPr>
              <w:widowControl w:val="0"/>
              <w:autoSpaceDE w:val="0"/>
              <w:autoSpaceDN w:val="0"/>
              <w:adjustRightInd w:val="0"/>
              <w:rPr>
                <w:sz w:val="18"/>
                <w:szCs w:val="18"/>
              </w:rPr>
            </w:pPr>
            <w:r w:rsidRPr="00FB3A9C">
              <w:rPr>
                <w:sz w:val="18"/>
                <w:szCs w:val="18"/>
              </w:rPr>
              <w:t>838.470</w:t>
            </w:r>
          </w:p>
        </w:tc>
        <w:tc>
          <w:tcPr>
            <w:tcW w:w="79" w:type="pct"/>
            <w:tcBorders>
              <w:top w:val="nil"/>
              <w:left w:val="nil"/>
              <w:bottom w:val="nil"/>
              <w:right w:val="nil"/>
            </w:tcBorders>
          </w:tcPr>
          <w:p w14:paraId="18669F6A"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33FE69FE"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nil"/>
              <w:right w:val="nil"/>
            </w:tcBorders>
          </w:tcPr>
          <w:p w14:paraId="42350FDD" w14:textId="77777777" w:rsidR="001631C6" w:rsidRPr="00FB3A9C" w:rsidRDefault="001631C6" w:rsidP="008F5322">
            <w:pPr>
              <w:widowControl w:val="0"/>
              <w:autoSpaceDE w:val="0"/>
              <w:autoSpaceDN w:val="0"/>
              <w:adjustRightInd w:val="0"/>
              <w:rPr>
                <w:sz w:val="18"/>
                <w:szCs w:val="18"/>
              </w:rPr>
            </w:pPr>
            <w:r w:rsidRPr="00FB3A9C">
              <w:rPr>
                <w:sz w:val="18"/>
                <w:szCs w:val="18"/>
              </w:rPr>
              <w:t>960.312</w:t>
            </w:r>
          </w:p>
        </w:tc>
        <w:tc>
          <w:tcPr>
            <w:tcW w:w="79" w:type="pct"/>
            <w:tcBorders>
              <w:top w:val="nil"/>
              <w:left w:val="nil"/>
              <w:bottom w:val="nil"/>
              <w:right w:val="nil"/>
            </w:tcBorders>
          </w:tcPr>
          <w:p w14:paraId="08AE5BEB"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nil"/>
              <w:right w:val="nil"/>
            </w:tcBorders>
          </w:tcPr>
          <w:p w14:paraId="2408F68D"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nil"/>
              <w:right w:val="nil"/>
            </w:tcBorders>
          </w:tcPr>
          <w:p w14:paraId="06E75133" w14:textId="77777777" w:rsidR="001631C6" w:rsidRPr="00FB3A9C" w:rsidRDefault="001631C6" w:rsidP="008F5322">
            <w:pPr>
              <w:widowControl w:val="0"/>
              <w:autoSpaceDE w:val="0"/>
              <w:autoSpaceDN w:val="0"/>
              <w:adjustRightInd w:val="0"/>
              <w:rPr>
                <w:sz w:val="18"/>
                <w:szCs w:val="18"/>
              </w:rPr>
            </w:pPr>
            <w:r w:rsidRPr="00FB3A9C">
              <w:rPr>
                <w:sz w:val="18"/>
                <w:szCs w:val="18"/>
              </w:rPr>
              <w:t>686.623</w:t>
            </w:r>
          </w:p>
        </w:tc>
        <w:tc>
          <w:tcPr>
            <w:tcW w:w="79" w:type="pct"/>
            <w:tcBorders>
              <w:top w:val="nil"/>
              <w:left w:val="nil"/>
              <w:bottom w:val="nil"/>
              <w:right w:val="nil"/>
            </w:tcBorders>
          </w:tcPr>
          <w:p w14:paraId="7322BA10"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nil"/>
              <w:right w:val="nil"/>
            </w:tcBorders>
          </w:tcPr>
          <w:p w14:paraId="1648DBEB"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nil"/>
              <w:right w:val="nil"/>
            </w:tcBorders>
          </w:tcPr>
          <w:p w14:paraId="042993A0" w14:textId="77777777" w:rsidR="001631C6" w:rsidRPr="00FB3A9C" w:rsidRDefault="001631C6" w:rsidP="008F5322">
            <w:pPr>
              <w:widowControl w:val="0"/>
              <w:autoSpaceDE w:val="0"/>
              <w:autoSpaceDN w:val="0"/>
              <w:adjustRightInd w:val="0"/>
              <w:rPr>
                <w:sz w:val="18"/>
                <w:szCs w:val="18"/>
              </w:rPr>
            </w:pPr>
            <w:r w:rsidRPr="00FB3A9C">
              <w:rPr>
                <w:sz w:val="18"/>
                <w:szCs w:val="18"/>
              </w:rPr>
              <w:t>694.387</w:t>
            </w:r>
          </w:p>
        </w:tc>
        <w:tc>
          <w:tcPr>
            <w:tcW w:w="79" w:type="pct"/>
            <w:tcBorders>
              <w:top w:val="nil"/>
              <w:left w:val="nil"/>
              <w:bottom w:val="nil"/>
              <w:right w:val="nil"/>
            </w:tcBorders>
          </w:tcPr>
          <w:p w14:paraId="4A111F04"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nil"/>
              <w:right w:val="nil"/>
            </w:tcBorders>
          </w:tcPr>
          <w:p w14:paraId="0DDFB7A5" w14:textId="77777777" w:rsidR="001631C6" w:rsidRPr="00FB3A9C" w:rsidRDefault="001631C6" w:rsidP="008F5322">
            <w:pPr>
              <w:widowControl w:val="0"/>
              <w:autoSpaceDE w:val="0"/>
              <w:autoSpaceDN w:val="0"/>
              <w:adjustRightInd w:val="0"/>
              <w:rPr>
                <w:sz w:val="18"/>
                <w:szCs w:val="18"/>
              </w:rPr>
            </w:pPr>
            <w:r w:rsidRPr="00FB3A9C">
              <w:rPr>
                <w:sz w:val="18"/>
                <w:szCs w:val="18"/>
              </w:rPr>
              <w:t>121.841***</w:t>
            </w:r>
          </w:p>
        </w:tc>
        <w:tc>
          <w:tcPr>
            <w:tcW w:w="390" w:type="pct"/>
            <w:tcBorders>
              <w:top w:val="nil"/>
              <w:left w:val="nil"/>
              <w:bottom w:val="nil"/>
              <w:right w:val="nil"/>
            </w:tcBorders>
          </w:tcPr>
          <w:p w14:paraId="5A94EA97" w14:textId="77777777" w:rsidR="001631C6" w:rsidRPr="00FB3A9C" w:rsidRDefault="001631C6" w:rsidP="008F5322">
            <w:pPr>
              <w:widowControl w:val="0"/>
              <w:autoSpaceDE w:val="0"/>
              <w:autoSpaceDN w:val="0"/>
              <w:adjustRightInd w:val="0"/>
              <w:rPr>
                <w:sz w:val="18"/>
                <w:szCs w:val="18"/>
              </w:rPr>
            </w:pPr>
            <w:r>
              <w:rPr>
                <w:sz w:val="18"/>
                <w:szCs w:val="18"/>
              </w:rPr>
              <w:t>-</w:t>
            </w:r>
            <w:r w:rsidRPr="00954009">
              <w:rPr>
                <w:sz w:val="18"/>
                <w:szCs w:val="18"/>
              </w:rPr>
              <w:t>151.848</w:t>
            </w:r>
            <w:r>
              <w:rPr>
                <w:sz w:val="18"/>
                <w:szCs w:val="18"/>
              </w:rPr>
              <w:t>***</w:t>
            </w:r>
          </w:p>
        </w:tc>
        <w:tc>
          <w:tcPr>
            <w:tcW w:w="327" w:type="pct"/>
            <w:tcBorders>
              <w:top w:val="nil"/>
              <w:left w:val="nil"/>
              <w:bottom w:val="nil"/>
              <w:right w:val="nil"/>
            </w:tcBorders>
          </w:tcPr>
          <w:p w14:paraId="1DF87ECB"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7.764</w:t>
            </w:r>
          </w:p>
        </w:tc>
        <w:tc>
          <w:tcPr>
            <w:tcW w:w="377" w:type="pct"/>
            <w:tcBorders>
              <w:top w:val="nil"/>
              <w:left w:val="nil"/>
              <w:bottom w:val="nil"/>
              <w:right w:val="nil"/>
            </w:tcBorders>
          </w:tcPr>
          <w:p w14:paraId="612506B7" w14:textId="77777777" w:rsidR="001631C6" w:rsidRPr="00FB3A9C" w:rsidRDefault="001631C6" w:rsidP="008F5322">
            <w:pPr>
              <w:widowControl w:val="0"/>
              <w:autoSpaceDE w:val="0"/>
              <w:autoSpaceDN w:val="0"/>
              <w:adjustRightInd w:val="0"/>
              <w:rPr>
                <w:sz w:val="18"/>
                <w:szCs w:val="18"/>
              </w:rPr>
            </w:pPr>
            <w:r w:rsidRPr="00954009">
              <w:rPr>
                <w:sz w:val="18"/>
                <w:szCs w:val="18"/>
              </w:rPr>
              <w:t>265.925</w:t>
            </w:r>
            <w:r>
              <w:rPr>
                <w:sz w:val="18"/>
                <w:szCs w:val="18"/>
              </w:rPr>
              <w:t>***</w:t>
            </w:r>
          </w:p>
        </w:tc>
        <w:tc>
          <w:tcPr>
            <w:tcW w:w="475" w:type="pct"/>
            <w:tcBorders>
              <w:top w:val="nil"/>
              <w:left w:val="nil"/>
              <w:bottom w:val="nil"/>
              <w:right w:val="nil"/>
            </w:tcBorders>
          </w:tcPr>
          <w:p w14:paraId="647F7391" w14:textId="77777777" w:rsidR="001631C6" w:rsidRPr="00FB3A9C" w:rsidRDefault="001631C6" w:rsidP="008F5322">
            <w:pPr>
              <w:widowControl w:val="0"/>
              <w:autoSpaceDE w:val="0"/>
              <w:autoSpaceDN w:val="0"/>
              <w:adjustRightInd w:val="0"/>
              <w:rPr>
                <w:sz w:val="18"/>
                <w:szCs w:val="18"/>
              </w:rPr>
            </w:pPr>
            <w:r w:rsidRPr="00954009">
              <w:rPr>
                <w:sz w:val="18"/>
                <w:szCs w:val="18"/>
              </w:rPr>
              <w:t>-144.084</w:t>
            </w:r>
            <w:r>
              <w:rPr>
                <w:sz w:val="18"/>
                <w:szCs w:val="18"/>
              </w:rPr>
              <w:t>***</w:t>
            </w:r>
          </w:p>
        </w:tc>
      </w:tr>
      <w:tr w:rsidR="001631C6" w:rsidRPr="00FB3A9C" w14:paraId="3E74F4C2" w14:textId="77777777" w:rsidTr="008F5322">
        <w:tc>
          <w:tcPr>
            <w:tcW w:w="825" w:type="pct"/>
            <w:tcBorders>
              <w:top w:val="nil"/>
              <w:left w:val="nil"/>
              <w:bottom w:val="single" w:sz="4" w:space="0" w:color="auto"/>
              <w:right w:val="nil"/>
            </w:tcBorders>
          </w:tcPr>
          <w:p w14:paraId="6B354859" w14:textId="77777777" w:rsidR="001631C6" w:rsidRPr="00FB3A9C" w:rsidRDefault="001631C6" w:rsidP="008F5322">
            <w:pPr>
              <w:widowControl w:val="0"/>
              <w:autoSpaceDE w:val="0"/>
              <w:autoSpaceDN w:val="0"/>
              <w:adjustRightInd w:val="0"/>
              <w:rPr>
                <w:sz w:val="18"/>
                <w:szCs w:val="18"/>
              </w:rPr>
            </w:pPr>
            <w:r w:rsidRPr="00FB3A9C">
              <w:rPr>
                <w:sz w:val="18"/>
                <w:szCs w:val="18"/>
              </w:rPr>
              <w:t>Multi-tranche</w:t>
            </w:r>
          </w:p>
        </w:tc>
        <w:tc>
          <w:tcPr>
            <w:tcW w:w="195" w:type="pct"/>
            <w:tcBorders>
              <w:top w:val="nil"/>
              <w:left w:val="nil"/>
              <w:bottom w:val="single" w:sz="4" w:space="0" w:color="auto"/>
              <w:right w:val="nil"/>
            </w:tcBorders>
          </w:tcPr>
          <w:p w14:paraId="76256F2C" w14:textId="77777777" w:rsidR="001631C6" w:rsidRPr="00FB3A9C" w:rsidRDefault="001631C6" w:rsidP="008F5322">
            <w:pPr>
              <w:widowControl w:val="0"/>
              <w:autoSpaceDE w:val="0"/>
              <w:autoSpaceDN w:val="0"/>
              <w:adjustRightInd w:val="0"/>
              <w:rPr>
                <w:sz w:val="18"/>
                <w:szCs w:val="18"/>
              </w:rPr>
            </w:pPr>
            <w:r w:rsidRPr="00FB3A9C">
              <w:rPr>
                <w:sz w:val="18"/>
                <w:szCs w:val="18"/>
              </w:rPr>
              <w:t>474</w:t>
            </w:r>
          </w:p>
        </w:tc>
        <w:tc>
          <w:tcPr>
            <w:tcW w:w="282" w:type="pct"/>
            <w:tcBorders>
              <w:top w:val="nil"/>
              <w:left w:val="nil"/>
              <w:bottom w:val="single" w:sz="4" w:space="0" w:color="auto"/>
              <w:right w:val="nil"/>
            </w:tcBorders>
          </w:tcPr>
          <w:p w14:paraId="1526DA1B" w14:textId="77777777" w:rsidR="001631C6" w:rsidRPr="00FB3A9C" w:rsidRDefault="001631C6" w:rsidP="008F5322">
            <w:pPr>
              <w:widowControl w:val="0"/>
              <w:autoSpaceDE w:val="0"/>
              <w:autoSpaceDN w:val="0"/>
              <w:adjustRightInd w:val="0"/>
              <w:rPr>
                <w:sz w:val="18"/>
                <w:szCs w:val="18"/>
              </w:rPr>
            </w:pPr>
            <w:r w:rsidRPr="00FB3A9C">
              <w:rPr>
                <w:sz w:val="18"/>
                <w:szCs w:val="18"/>
              </w:rPr>
              <w:t>0.338</w:t>
            </w:r>
          </w:p>
        </w:tc>
        <w:tc>
          <w:tcPr>
            <w:tcW w:w="79" w:type="pct"/>
            <w:tcBorders>
              <w:top w:val="nil"/>
              <w:left w:val="nil"/>
              <w:bottom w:val="single" w:sz="4" w:space="0" w:color="auto"/>
              <w:right w:val="nil"/>
            </w:tcBorders>
          </w:tcPr>
          <w:p w14:paraId="0E89FFAD"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single" w:sz="4" w:space="0" w:color="auto"/>
              <w:right w:val="nil"/>
            </w:tcBorders>
          </w:tcPr>
          <w:p w14:paraId="5F22365C" w14:textId="77777777" w:rsidR="001631C6" w:rsidRPr="00FB3A9C" w:rsidRDefault="001631C6" w:rsidP="008F5322">
            <w:pPr>
              <w:widowControl w:val="0"/>
              <w:autoSpaceDE w:val="0"/>
              <w:autoSpaceDN w:val="0"/>
              <w:adjustRightInd w:val="0"/>
              <w:rPr>
                <w:sz w:val="18"/>
                <w:szCs w:val="18"/>
              </w:rPr>
            </w:pPr>
            <w:r w:rsidRPr="00FB3A9C">
              <w:rPr>
                <w:sz w:val="18"/>
                <w:szCs w:val="18"/>
              </w:rPr>
              <w:t>321</w:t>
            </w:r>
          </w:p>
        </w:tc>
        <w:tc>
          <w:tcPr>
            <w:tcW w:w="282" w:type="pct"/>
            <w:tcBorders>
              <w:top w:val="nil"/>
              <w:left w:val="nil"/>
              <w:bottom w:val="single" w:sz="4" w:space="0" w:color="auto"/>
              <w:right w:val="nil"/>
            </w:tcBorders>
          </w:tcPr>
          <w:p w14:paraId="3E8C4F33" w14:textId="77777777" w:rsidR="001631C6" w:rsidRPr="00FB3A9C" w:rsidRDefault="001631C6" w:rsidP="008F5322">
            <w:pPr>
              <w:widowControl w:val="0"/>
              <w:autoSpaceDE w:val="0"/>
              <w:autoSpaceDN w:val="0"/>
              <w:adjustRightInd w:val="0"/>
              <w:rPr>
                <w:sz w:val="18"/>
                <w:szCs w:val="18"/>
              </w:rPr>
            </w:pPr>
            <w:r w:rsidRPr="00FB3A9C">
              <w:rPr>
                <w:sz w:val="18"/>
                <w:szCs w:val="18"/>
              </w:rPr>
              <w:t>0.333</w:t>
            </w:r>
          </w:p>
        </w:tc>
        <w:tc>
          <w:tcPr>
            <w:tcW w:w="79" w:type="pct"/>
            <w:tcBorders>
              <w:top w:val="nil"/>
              <w:left w:val="nil"/>
              <w:bottom w:val="single" w:sz="4" w:space="0" w:color="auto"/>
              <w:right w:val="nil"/>
            </w:tcBorders>
          </w:tcPr>
          <w:p w14:paraId="27C720F5" w14:textId="77777777" w:rsidR="001631C6" w:rsidRPr="00FB3A9C" w:rsidRDefault="001631C6" w:rsidP="008F5322">
            <w:pPr>
              <w:widowControl w:val="0"/>
              <w:autoSpaceDE w:val="0"/>
              <w:autoSpaceDN w:val="0"/>
              <w:adjustRightInd w:val="0"/>
              <w:rPr>
                <w:sz w:val="18"/>
                <w:szCs w:val="18"/>
              </w:rPr>
            </w:pPr>
          </w:p>
        </w:tc>
        <w:tc>
          <w:tcPr>
            <w:tcW w:w="195" w:type="pct"/>
            <w:tcBorders>
              <w:top w:val="nil"/>
              <w:left w:val="nil"/>
              <w:bottom w:val="single" w:sz="4" w:space="0" w:color="auto"/>
              <w:right w:val="nil"/>
            </w:tcBorders>
          </w:tcPr>
          <w:p w14:paraId="1D483125" w14:textId="77777777" w:rsidR="001631C6" w:rsidRPr="00FB3A9C" w:rsidRDefault="001631C6" w:rsidP="008F5322">
            <w:pPr>
              <w:widowControl w:val="0"/>
              <w:autoSpaceDE w:val="0"/>
              <w:autoSpaceDN w:val="0"/>
              <w:adjustRightInd w:val="0"/>
              <w:rPr>
                <w:sz w:val="18"/>
                <w:szCs w:val="18"/>
              </w:rPr>
            </w:pPr>
            <w:r w:rsidRPr="00FB3A9C">
              <w:rPr>
                <w:sz w:val="18"/>
                <w:szCs w:val="18"/>
              </w:rPr>
              <w:t>371</w:t>
            </w:r>
          </w:p>
        </w:tc>
        <w:tc>
          <w:tcPr>
            <w:tcW w:w="282" w:type="pct"/>
            <w:tcBorders>
              <w:top w:val="nil"/>
              <w:left w:val="nil"/>
              <w:bottom w:val="single" w:sz="4" w:space="0" w:color="auto"/>
              <w:right w:val="nil"/>
            </w:tcBorders>
          </w:tcPr>
          <w:p w14:paraId="75921F9F" w14:textId="77777777" w:rsidR="001631C6" w:rsidRPr="00FB3A9C" w:rsidRDefault="001631C6" w:rsidP="008F5322">
            <w:pPr>
              <w:widowControl w:val="0"/>
              <w:autoSpaceDE w:val="0"/>
              <w:autoSpaceDN w:val="0"/>
              <w:adjustRightInd w:val="0"/>
              <w:rPr>
                <w:sz w:val="18"/>
                <w:szCs w:val="18"/>
              </w:rPr>
            </w:pPr>
            <w:r w:rsidRPr="00FB3A9C">
              <w:rPr>
                <w:sz w:val="18"/>
                <w:szCs w:val="18"/>
              </w:rPr>
              <w:t>0.224</w:t>
            </w:r>
          </w:p>
        </w:tc>
        <w:tc>
          <w:tcPr>
            <w:tcW w:w="79" w:type="pct"/>
            <w:tcBorders>
              <w:top w:val="nil"/>
              <w:left w:val="nil"/>
              <w:bottom w:val="single" w:sz="4" w:space="0" w:color="auto"/>
              <w:right w:val="nil"/>
            </w:tcBorders>
          </w:tcPr>
          <w:p w14:paraId="01D40609" w14:textId="77777777" w:rsidR="001631C6" w:rsidRPr="00FB3A9C" w:rsidRDefault="001631C6" w:rsidP="008F5322">
            <w:pPr>
              <w:widowControl w:val="0"/>
              <w:autoSpaceDE w:val="0"/>
              <w:autoSpaceDN w:val="0"/>
              <w:adjustRightInd w:val="0"/>
              <w:rPr>
                <w:sz w:val="18"/>
                <w:szCs w:val="18"/>
              </w:rPr>
            </w:pPr>
          </w:p>
        </w:tc>
        <w:tc>
          <w:tcPr>
            <w:tcW w:w="202" w:type="pct"/>
            <w:tcBorders>
              <w:top w:val="nil"/>
              <w:left w:val="nil"/>
              <w:bottom w:val="single" w:sz="4" w:space="0" w:color="auto"/>
              <w:right w:val="nil"/>
            </w:tcBorders>
          </w:tcPr>
          <w:p w14:paraId="3DF830B5" w14:textId="77777777" w:rsidR="001631C6" w:rsidRPr="00FB3A9C" w:rsidRDefault="001631C6" w:rsidP="008F5322">
            <w:pPr>
              <w:widowControl w:val="0"/>
              <w:autoSpaceDE w:val="0"/>
              <w:autoSpaceDN w:val="0"/>
              <w:adjustRightInd w:val="0"/>
              <w:rPr>
                <w:sz w:val="18"/>
                <w:szCs w:val="18"/>
              </w:rPr>
            </w:pPr>
            <w:r w:rsidRPr="00FB3A9C">
              <w:rPr>
                <w:sz w:val="18"/>
                <w:szCs w:val="18"/>
              </w:rPr>
              <w:t>2002</w:t>
            </w:r>
          </w:p>
        </w:tc>
        <w:tc>
          <w:tcPr>
            <w:tcW w:w="282" w:type="pct"/>
            <w:tcBorders>
              <w:top w:val="nil"/>
              <w:left w:val="nil"/>
              <w:bottom w:val="single" w:sz="4" w:space="0" w:color="auto"/>
              <w:right w:val="nil"/>
            </w:tcBorders>
          </w:tcPr>
          <w:p w14:paraId="75715463" w14:textId="77777777" w:rsidR="001631C6" w:rsidRPr="00FB3A9C" w:rsidRDefault="001631C6" w:rsidP="008F5322">
            <w:pPr>
              <w:widowControl w:val="0"/>
              <w:autoSpaceDE w:val="0"/>
              <w:autoSpaceDN w:val="0"/>
              <w:adjustRightInd w:val="0"/>
              <w:rPr>
                <w:sz w:val="18"/>
                <w:szCs w:val="18"/>
              </w:rPr>
            </w:pPr>
            <w:r w:rsidRPr="00FB3A9C">
              <w:rPr>
                <w:sz w:val="18"/>
                <w:szCs w:val="18"/>
              </w:rPr>
              <w:t>0.505</w:t>
            </w:r>
          </w:p>
        </w:tc>
        <w:tc>
          <w:tcPr>
            <w:tcW w:w="79" w:type="pct"/>
            <w:tcBorders>
              <w:top w:val="nil"/>
              <w:left w:val="nil"/>
              <w:bottom w:val="single" w:sz="4" w:space="0" w:color="auto"/>
              <w:right w:val="nil"/>
            </w:tcBorders>
          </w:tcPr>
          <w:p w14:paraId="17BF597F" w14:textId="77777777" w:rsidR="001631C6" w:rsidRPr="00FB3A9C" w:rsidRDefault="001631C6" w:rsidP="008F5322">
            <w:pPr>
              <w:widowControl w:val="0"/>
              <w:autoSpaceDE w:val="0"/>
              <w:autoSpaceDN w:val="0"/>
              <w:adjustRightInd w:val="0"/>
              <w:rPr>
                <w:sz w:val="18"/>
                <w:szCs w:val="18"/>
              </w:rPr>
            </w:pPr>
          </w:p>
        </w:tc>
        <w:tc>
          <w:tcPr>
            <w:tcW w:w="377" w:type="pct"/>
            <w:tcBorders>
              <w:top w:val="nil"/>
              <w:left w:val="nil"/>
              <w:bottom w:val="single" w:sz="4" w:space="0" w:color="auto"/>
              <w:right w:val="nil"/>
            </w:tcBorders>
          </w:tcPr>
          <w:p w14:paraId="22D9169C" w14:textId="77777777" w:rsidR="001631C6" w:rsidRPr="00FB3A9C" w:rsidRDefault="001631C6" w:rsidP="008F5322">
            <w:pPr>
              <w:widowControl w:val="0"/>
              <w:autoSpaceDE w:val="0"/>
              <w:autoSpaceDN w:val="0"/>
              <w:adjustRightInd w:val="0"/>
              <w:rPr>
                <w:sz w:val="18"/>
                <w:szCs w:val="18"/>
              </w:rPr>
            </w:pPr>
            <w:r w:rsidRPr="00FB3A9C">
              <w:rPr>
                <w:sz w:val="18"/>
                <w:szCs w:val="18"/>
              </w:rPr>
              <w:t>-0.004</w:t>
            </w:r>
          </w:p>
        </w:tc>
        <w:tc>
          <w:tcPr>
            <w:tcW w:w="390" w:type="pct"/>
            <w:tcBorders>
              <w:top w:val="nil"/>
              <w:left w:val="nil"/>
              <w:bottom w:val="single" w:sz="4" w:space="0" w:color="auto"/>
              <w:right w:val="nil"/>
            </w:tcBorders>
          </w:tcPr>
          <w:p w14:paraId="7D451E5C" w14:textId="77777777" w:rsidR="001631C6" w:rsidRPr="00FB3A9C" w:rsidRDefault="001631C6" w:rsidP="008F5322">
            <w:pPr>
              <w:widowControl w:val="0"/>
              <w:autoSpaceDE w:val="0"/>
              <w:autoSpaceDN w:val="0"/>
              <w:adjustRightInd w:val="0"/>
              <w:rPr>
                <w:sz w:val="18"/>
                <w:szCs w:val="18"/>
              </w:rPr>
            </w:pPr>
            <w:r>
              <w:rPr>
                <w:sz w:val="18"/>
                <w:szCs w:val="18"/>
              </w:rPr>
              <w:t>-</w:t>
            </w:r>
            <w:r w:rsidRPr="00954009">
              <w:rPr>
                <w:sz w:val="18"/>
                <w:szCs w:val="18"/>
              </w:rPr>
              <w:t>0.114</w:t>
            </w:r>
            <w:r>
              <w:rPr>
                <w:sz w:val="18"/>
                <w:szCs w:val="18"/>
              </w:rPr>
              <w:t>***</w:t>
            </w:r>
          </w:p>
        </w:tc>
        <w:tc>
          <w:tcPr>
            <w:tcW w:w="327" w:type="pct"/>
            <w:tcBorders>
              <w:top w:val="nil"/>
              <w:left w:val="nil"/>
              <w:bottom w:val="single" w:sz="4" w:space="0" w:color="auto"/>
              <w:right w:val="nil"/>
            </w:tcBorders>
          </w:tcPr>
          <w:p w14:paraId="5FAA9865" w14:textId="77777777" w:rsidR="001631C6" w:rsidRPr="00FB3A9C" w:rsidRDefault="001631C6" w:rsidP="008F5322">
            <w:pPr>
              <w:widowControl w:val="0"/>
              <w:autoSpaceDE w:val="0"/>
              <w:autoSpaceDN w:val="0"/>
              <w:adjustRightInd w:val="0"/>
              <w:rPr>
                <w:sz w:val="18"/>
                <w:szCs w:val="18"/>
              </w:rPr>
            </w:pPr>
            <w:r>
              <w:rPr>
                <w:sz w:val="18"/>
                <w:szCs w:val="18"/>
              </w:rPr>
              <w:t>-</w:t>
            </w:r>
            <w:r w:rsidRPr="00910D07">
              <w:rPr>
                <w:sz w:val="18"/>
                <w:szCs w:val="18"/>
              </w:rPr>
              <w:t>0.282</w:t>
            </w:r>
            <w:r>
              <w:rPr>
                <w:sz w:val="18"/>
                <w:szCs w:val="18"/>
              </w:rPr>
              <w:t>***</w:t>
            </w:r>
          </w:p>
        </w:tc>
        <w:tc>
          <w:tcPr>
            <w:tcW w:w="377" w:type="pct"/>
            <w:tcBorders>
              <w:top w:val="nil"/>
              <w:left w:val="nil"/>
              <w:bottom w:val="single" w:sz="4" w:space="0" w:color="auto"/>
              <w:right w:val="nil"/>
            </w:tcBorders>
          </w:tcPr>
          <w:p w14:paraId="2EA546F7" w14:textId="77777777" w:rsidR="001631C6" w:rsidRPr="00FB3A9C" w:rsidRDefault="001631C6" w:rsidP="008F5322">
            <w:pPr>
              <w:widowControl w:val="0"/>
              <w:autoSpaceDE w:val="0"/>
              <w:autoSpaceDN w:val="0"/>
              <w:adjustRightInd w:val="0"/>
              <w:rPr>
                <w:sz w:val="18"/>
                <w:szCs w:val="18"/>
              </w:rPr>
            </w:pPr>
            <w:r w:rsidRPr="00954009">
              <w:rPr>
                <w:sz w:val="18"/>
                <w:szCs w:val="18"/>
              </w:rPr>
              <w:t>-0.172</w:t>
            </w:r>
            <w:r>
              <w:rPr>
                <w:sz w:val="18"/>
                <w:szCs w:val="18"/>
              </w:rPr>
              <w:t>***</w:t>
            </w:r>
          </w:p>
        </w:tc>
        <w:tc>
          <w:tcPr>
            <w:tcW w:w="475" w:type="pct"/>
            <w:tcBorders>
              <w:top w:val="nil"/>
              <w:left w:val="nil"/>
              <w:bottom w:val="single" w:sz="4" w:space="0" w:color="auto"/>
              <w:right w:val="nil"/>
            </w:tcBorders>
          </w:tcPr>
          <w:p w14:paraId="15A03744" w14:textId="77777777" w:rsidR="001631C6" w:rsidRPr="00FB3A9C" w:rsidRDefault="001631C6" w:rsidP="008F5322">
            <w:pPr>
              <w:widowControl w:val="0"/>
              <w:autoSpaceDE w:val="0"/>
              <w:autoSpaceDN w:val="0"/>
              <w:adjustRightInd w:val="0"/>
              <w:rPr>
                <w:sz w:val="18"/>
                <w:szCs w:val="18"/>
              </w:rPr>
            </w:pPr>
            <w:r w:rsidRPr="00954009">
              <w:rPr>
                <w:sz w:val="18"/>
                <w:szCs w:val="18"/>
              </w:rPr>
              <w:t>0.168</w:t>
            </w:r>
            <w:r>
              <w:rPr>
                <w:sz w:val="18"/>
                <w:szCs w:val="18"/>
              </w:rPr>
              <w:t>***</w:t>
            </w:r>
          </w:p>
        </w:tc>
      </w:tr>
    </w:tbl>
    <w:p w14:paraId="27DE9424" w14:textId="77777777" w:rsidR="001631C6" w:rsidRDefault="001631C6" w:rsidP="001631C6">
      <w:pPr>
        <w:rPr>
          <w:i/>
          <w:iCs/>
          <w:sz w:val="18"/>
          <w:szCs w:val="18"/>
        </w:rPr>
      </w:pPr>
    </w:p>
    <w:p w14:paraId="20E5DE81" w14:textId="77777777" w:rsidR="001631C6" w:rsidRDefault="001631C6" w:rsidP="001631C6">
      <w:pPr>
        <w:rPr>
          <w:i/>
          <w:iCs/>
          <w:sz w:val="18"/>
          <w:szCs w:val="18"/>
        </w:rPr>
      </w:pPr>
      <w:r>
        <w:rPr>
          <w:i/>
          <w:iCs/>
          <w:sz w:val="18"/>
          <w:szCs w:val="18"/>
        </w:rPr>
        <w:br w:type="page"/>
      </w:r>
    </w:p>
    <w:p w14:paraId="2D95C1E6" w14:textId="77777777" w:rsidR="001631C6" w:rsidRPr="00207BB5" w:rsidRDefault="001631C6" w:rsidP="001631C6">
      <w:pPr>
        <w:rPr>
          <w:b/>
          <w:bCs/>
        </w:rPr>
      </w:pPr>
      <w:r w:rsidRPr="00207BB5">
        <w:rPr>
          <w:b/>
          <w:bCs/>
        </w:rPr>
        <w:lastRenderedPageBreak/>
        <w:t>Table 8</w:t>
      </w:r>
    </w:p>
    <w:p w14:paraId="55C39FA5" w14:textId="25EE8267" w:rsidR="001631C6" w:rsidRPr="00F14EF8" w:rsidRDefault="001631C6" w:rsidP="00F14EF8">
      <w:pPr>
        <w:pStyle w:val="Heading2"/>
        <w:spacing w:before="0" w:after="0"/>
        <w:rPr>
          <w:szCs w:val="28"/>
        </w:rPr>
      </w:pPr>
      <w:r w:rsidRPr="00F14EF8">
        <w:rPr>
          <w:sz w:val="20"/>
          <w:szCs w:val="20"/>
        </w:rPr>
        <w:t>Impact of bookrunner geography on at-issue credit spread surrounding financial crisis</w:t>
      </w:r>
      <w:r w:rsidRPr="00207BB5">
        <w:rPr>
          <w:szCs w:val="28"/>
        </w:rPr>
        <w:t>.</w:t>
      </w:r>
    </w:p>
    <w:p w14:paraId="635A7620" w14:textId="720AAE22" w:rsidR="001631C6" w:rsidRPr="00F14EF8" w:rsidRDefault="001631C6" w:rsidP="00F14EF8">
      <w:pPr>
        <w:jc w:val="both"/>
        <w:rPr>
          <w:sz w:val="18"/>
          <w:szCs w:val="18"/>
          <w:lang w:val="en-US"/>
        </w:rPr>
      </w:pPr>
      <w:r w:rsidRPr="00F14EF8">
        <w:rPr>
          <w:sz w:val="18"/>
          <w:szCs w:val="18"/>
          <w:lang w:val="en-US"/>
        </w:rPr>
        <w:t>The table reports second stage regression for instrumental variable two-stage least squares (IV-2SLS) regressions</w:t>
      </w:r>
      <w:r w:rsidRPr="00F14EF8" w:rsidDel="00125C74">
        <w:rPr>
          <w:sz w:val="18"/>
          <w:szCs w:val="18"/>
          <w:lang w:val="en-US"/>
        </w:rPr>
        <w:t xml:space="preserve"> </w:t>
      </w:r>
      <w:r w:rsidRPr="00F14EF8">
        <w:rPr>
          <w:sz w:val="18"/>
          <w:szCs w:val="18"/>
          <w:lang w:val="en-US"/>
        </w:rPr>
        <w:t>predicting the at-issue credit spread of 2,409 euro-denominated public bond tranches issued by 356 Western European firms during 2001-2020. Unreported first stage selection models examine the determinants of bookrunner syndicate structure. Second stage outcome regressions examine the determinants of at-issue credit spreads against predicted bookrunner characteristics from the first stage selection model. Pre-</w:t>
      </w:r>
      <w:r w:rsidR="0003252C" w:rsidRPr="00F14EF8">
        <w:rPr>
          <w:sz w:val="18"/>
          <w:szCs w:val="18"/>
          <w:lang w:val="en-US"/>
        </w:rPr>
        <w:t>Financial C</w:t>
      </w:r>
      <w:r w:rsidRPr="00F14EF8">
        <w:rPr>
          <w:sz w:val="18"/>
          <w:szCs w:val="18"/>
          <w:lang w:val="en-US"/>
        </w:rPr>
        <w:t>risis is a dummy variable that takes value of 1 for periods between January 2001 – November 2006 and 0 otherwise,</w:t>
      </w:r>
      <w:r w:rsidR="0003252C" w:rsidRPr="00F14EF8">
        <w:rPr>
          <w:sz w:val="18"/>
          <w:szCs w:val="18"/>
          <w:lang w:val="en-US"/>
        </w:rPr>
        <w:t xml:space="preserve"> Financial</w:t>
      </w:r>
      <w:r w:rsidRPr="00F14EF8">
        <w:rPr>
          <w:sz w:val="18"/>
          <w:szCs w:val="18"/>
          <w:lang w:val="en-US"/>
        </w:rPr>
        <w:t xml:space="preserve"> Crisis is a dummy variable that takes value of 1 for periods between December 2006 – October 2009 and 0 otherwise, Euro</w:t>
      </w:r>
      <w:r w:rsidR="0003252C" w:rsidRPr="00F14EF8">
        <w:rPr>
          <w:sz w:val="18"/>
          <w:szCs w:val="18"/>
          <w:lang w:val="en-US"/>
        </w:rPr>
        <w:t>zone</w:t>
      </w:r>
      <w:r w:rsidRPr="00F14EF8">
        <w:rPr>
          <w:sz w:val="18"/>
          <w:szCs w:val="18"/>
          <w:lang w:val="en-US"/>
        </w:rPr>
        <w:t xml:space="preserve"> </w:t>
      </w:r>
      <w:r w:rsidR="0003252C" w:rsidRPr="00F14EF8">
        <w:rPr>
          <w:sz w:val="18"/>
          <w:szCs w:val="18"/>
          <w:lang w:val="en-US"/>
        </w:rPr>
        <w:t>C</w:t>
      </w:r>
      <w:r w:rsidRPr="00F14EF8">
        <w:rPr>
          <w:sz w:val="18"/>
          <w:szCs w:val="18"/>
          <w:lang w:val="en-US"/>
        </w:rPr>
        <w:t>risis is a dummy variable that takes value of 1 for periods between November 2009 – September 2012 and 0 otherwise, and Post-</w:t>
      </w:r>
      <w:r w:rsidR="0003252C" w:rsidRPr="00F14EF8">
        <w:rPr>
          <w:sz w:val="18"/>
          <w:szCs w:val="18"/>
          <w:lang w:val="en-US"/>
        </w:rPr>
        <w:t>Financial &amp; Eurozone C</w:t>
      </w:r>
      <w:r w:rsidRPr="00F14EF8">
        <w:rPr>
          <w:sz w:val="18"/>
          <w:szCs w:val="18"/>
          <w:lang w:val="en-US"/>
        </w:rPr>
        <w:t xml:space="preserve">risis is a dummy variable that takes value of 1 for periods between October 2012 – December 2020 and 0 otherwise. All variables are defined in Table 1. Standard errors clustered at the firm and year level are reported in parenthesis. </w:t>
      </w:r>
      <w:r w:rsidRPr="00F14EF8">
        <w:rPr>
          <w:color w:val="000000"/>
          <w:sz w:val="18"/>
          <w:szCs w:val="18"/>
          <w:lang w:val="en-US" w:eastAsia="en-GB"/>
        </w:rPr>
        <w:t>***</w:t>
      </w:r>
      <w:r w:rsidRPr="00F14EF8">
        <w:rPr>
          <w:color w:val="000000"/>
          <w:sz w:val="18"/>
          <w:szCs w:val="18"/>
          <w:lang w:val="en-US"/>
        </w:rPr>
        <w:t>, **, and * denote significance at the 1%, 5%, and 10% levels respectively.</w:t>
      </w:r>
    </w:p>
    <w:tbl>
      <w:tblPr>
        <w:tblW w:w="5000" w:type="pct"/>
        <w:jc w:val="center"/>
        <w:tblCellMar>
          <w:left w:w="75" w:type="dxa"/>
          <w:right w:w="75" w:type="dxa"/>
        </w:tblCellMar>
        <w:tblLook w:val="0000" w:firstRow="0" w:lastRow="0" w:firstColumn="0" w:lastColumn="0" w:noHBand="0" w:noVBand="0"/>
      </w:tblPr>
      <w:tblGrid>
        <w:gridCol w:w="3659"/>
        <w:gridCol w:w="1140"/>
        <w:gridCol w:w="1140"/>
        <w:gridCol w:w="1139"/>
        <w:gridCol w:w="1139"/>
        <w:gridCol w:w="1770"/>
        <w:gridCol w:w="1434"/>
        <w:gridCol w:w="1073"/>
        <w:gridCol w:w="1850"/>
      </w:tblGrid>
      <w:tr w:rsidR="001631C6" w:rsidRPr="00F14EF8" w14:paraId="476564FB" w14:textId="77777777" w:rsidTr="008F5322">
        <w:trPr>
          <w:jc w:val="center"/>
        </w:trPr>
        <w:tc>
          <w:tcPr>
            <w:tcW w:w="1275" w:type="pct"/>
            <w:tcBorders>
              <w:top w:val="single" w:sz="6" w:space="0" w:color="auto"/>
              <w:left w:val="nil"/>
              <w:bottom w:val="nil"/>
              <w:right w:val="nil"/>
            </w:tcBorders>
          </w:tcPr>
          <w:p w14:paraId="2072A722" w14:textId="77777777" w:rsidR="001631C6" w:rsidRPr="00F14EF8" w:rsidRDefault="001631C6" w:rsidP="008F5322">
            <w:pPr>
              <w:widowControl w:val="0"/>
              <w:autoSpaceDE w:val="0"/>
              <w:autoSpaceDN w:val="0"/>
              <w:adjustRightInd w:val="0"/>
              <w:rPr>
                <w:sz w:val="16"/>
                <w:szCs w:val="16"/>
              </w:rPr>
            </w:pPr>
          </w:p>
        </w:tc>
        <w:tc>
          <w:tcPr>
            <w:tcW w:w="397" w:type="pct"/>
            <w:tcBorders>
              <w:top w:val="single" w:sz="6" w:space="0" w:color="auto"/>
              <w:left w:val="nil"/>
              <w:bottom w:val="nil"/>
              <w:right w:val="nil"/>
            </w:tcBorders>
          </w:tcPr>
          <w:p w14:paraId="69828057"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1</w:t>
            </w:r>
          </w:p>
        </w:tc>
        <w:tc>
          <w:tcPr>
            <w:tcW w:w="397" w:type="pct"/>
            <w:tcBorders>
              <w:top w:val="single" w:sz="6" w:space="0" w:color="auto"/>
              <w:left w:val="nil"/>
              <w:bottom w:val="nil"/>
              <w:right w:val="nil"/>
            </w:tcBorders>
          </w:tcPr>
          <w:p w14:paraId="4E828443"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2</w:t>
            </w:r>
          </w:p>
        </w:tc>
        <w:tc>
          <w:tcPr>
            <w:tcW w:w="397" w:type="pct"/>
            <w:tcBorders>
              <w:top w:val="single" w:sz="6" w:space="0" w:color="auto"/>
              <w:left w:val="nil"/>
              <w:bottom w:val="nil"/>
              <w:right w:val="nil"/>
            </w:tcBorders>
          </w:tcPr>
          <w:p w14:paraId="0018E572"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3</w:t>
            </w:r>
          </w:p>
        </w:tc>
        <w:tc>
          <w:tcPr>
            <w:tcW w:w="397" w:type="pct"/>
            <w:tcBorders>
              <w:top w:val="single" w:sz="6" w:space="0" w:color="auto"/>
              <w:left w:val="nil"/>
              <w:bottom w:val="nil"/>
              <w:right w:val="nil"/>
            </w:tcBorders>
          </w:tcPr>
          <w:p w14:paraId="5626F77E"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4</w:t>
            </w:r>
          </w:p>
        </w:tc>
        <w:tc>
          <w:tcPr>
            <w:tcW w:w="617" w:type="pct"/>
            <w:tcBorders>
              <w:top w:val="single" w:sz="6" w:space="0" w:color="auto"/>
              <w:left w:val="nil"/>
              <w:bottom w:val="nil"/>
              <w:right w:val="nil"/>
            </w:tcBorders>
          </w:tcPr>
          <w:p w14:paraId="2FF175A4"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5</w:t>
            </w:r>
          </w:p>
        </w:tc>
        <w:tc>
          <w:tcPr>
            <w:tcW w:w="500" w:type="pct"/>
            <w:tcBorders>
              <w:top w:val="single" w:sz="6" w:space="0" w:color="auto"/>
              <w:left w:val="nil"/>
              <w:bottom w:val="nil"/>
              <w:right w:val="nil"/>
            </w:tcBorders>
          </w:tcPr>
          <w:p w14:paraId="5D3AE606"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6</w:t>
            </w:r>
          </w:p>
        </w:tc>
        <w:tc>
          <w:tcPr>
            <w:tcW w:w="374" w:type="pct"/>
            <w:tcBorders>
              <w:top w:val="single" w:sz="6" w:space="0" w:color="auto"/>
              <w:left w:val="nil"/>
              <w:bottom w:val="nil"/>
              <w:right w:val="nil"/>
            </w:tcBorders>
          </w:tcPr>
          <w:p w14:paraId="37975F07"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7</w:t>
            </w:r>
          </w:p>
        </w:tc>
        <w:tc>
          <w:tcPr>
            <w:tcW w:w="645" w:type="pct"/>
            <w:tcBorders>
              <w:top w:val="single" w:sz="6" w:space="0" w:color="auto"/>
              <w:left w:val="nil"/>
              <w:bottom w:val="nil"/>
              <w:right w:val="nil"/>
            </w:tcBorders>
          </w:tcPr>
          <w:p w14:paraId="45256A22"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Model 8</w:t>
            </w:r>
          </w:p>
        </w:tc>
      </w:tr>
      <w:tr w:rsidR="001631C6" w:rsidRPr="00F14EF8" w14:paraId="2465E4D3" w14:textId="77777777" w:rsidTr="008F5322">
        <w:trPr>
          <w:jc w:val="center"/>
        </w:trPr>
        <w:tc>
          <w:tcPr>
            <w:tcW w:w="1275" w:type="pct"/>
            <w:tcBorders>
              <w:top w:val="nil"/>
              <w:left w:val="nil"/>
              <w:bottom w:val="single" w:sz="6" w:space="0" w:color="auto"/>
              <w:right w:val="nil"/>
            </w:tcBorders>
          </w:tcPr>
          <w:p w14:paraId="17DFC7BB" w14:textId="77777777" w:rsidR="001631C6" w:rsidRPr="00F14EF8" w:rsidRDefault="001631C6" w:rsidP="008F5322">
            <w:pPr>
              <w:widowControl w:val="0"/>
              <w:autoSpaceDE w:val="0"/>
              <w:autoSpaceDN w:val="0"/>
              <w:adjustRightInd w:val="0"/>
              <w:rPr>
                <w:sz w:val="16"/>
                <w:szCs w:val="16"/>
              </w:rPr>
            </w:pPr>
          </w:p>
        </w:tc>
        <w:tc>
          <w:tcPr>
            <w:tcW w:w="397" w:type="pct"/>
            <w:tcBorders>
              <w:top w:val="nil"/>
              <w:left w:val="nil"/>
              <w:bottom w:val="single" w:sz="6" w:space="0" w:color="auto"/>
              <w:right w:val="nil"/>
            </w:tcBorders>
          </w:tcPr>
          <w:p w14:paraId="7EFDFC8A"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Full Sample</w:t>
            </w:r>
          </w:p>
        </w:tc>
        <w:tc>
          <w:tcPr>
            <w:tcW w:w="397" w:type="pct"/>
            <w:tcBorders>
              <w:top w:val="nil"/>
              <w:left w:val="nil"/>
              <w:bottom w:val="single" w:sz="6" w:space="0" w:color="auto"/>
              <w:right w:val="nil"/>
            </w:tcBorders>
          </w:tcPr>
          <w:p w14:paraId="70CE2F65"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Full Sample</w:t>
            </w:r>
          </w:p>
        </w:tc>
        <w:tc>
          <w:tcPr>
            <w:tcW w:w="397" w:type="pct"/>
            <w:tcBorders>
              <w:top w:val="nil"/>
              <w:left w:val="nil"/>
              <w:bottom w:val="single" w:sz="6" w:space="0" w:color="auto"/>
              <w:right w:val="nil"/>
            </w:tcBorders>
          </w:tcPr>
          <w:p w14:paraId="30FD19DF"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Full Sample</w:t>
            </w:r>
          </w:p>
        </w:tc>
        <w:tc>
          <w:tcPr>
            <w:tcW w:w="397" w:type="pct"/>
            <w:tcBorders>
              <w:top w:val="nil"/>
              <w:left w:val="nil"/>
              <w:bottom w:val="single" w:sz="6" w:space="0" w:color="auto"/>
              <w:right w:val="nil"/>
            </w:tcBorders>
          </w:tcPr>
          <w:p w14:paraId="78D6544E"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Full Sample</w:t>
            </w:r>
          </w:p>
        </w:tc>
        <w:tc>
          <w:tcPr>
            <w:tcW w:w="617" w:type="pct"/>
            <w:tcBorders>
              <w:top w:val="nil"/>
              <w:left w:val="nil"/>
              <w:bottom w:val="single" w:sz="6" w:space="0" w:color="auto"/>
              <w:right w:val="nil"/>
            </w:tcBorders>
          </w:tcPr>
          <w:p w14:paraId="516D1B70"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Pre-Financial Crisis</w:t>
            </w:r>
          </w:p>
        </w:tc>
        <w:tc>
          <w:tcPr>
            <w:tcW w:w="500" w:type="pct"/>
            <w:tcBorders>
              <w:top w:val="nil"/>
              <w:left w:val="nil"/>
              <w:bottom w:val="single" w:sz="6" w:space="0" w:color="auto"/>
              <w:right w:val="nil"/>
            </w:tcBorders>
          </w:tcPr>
          <w:p w14:paraId="61C26F21" w14:textId="77777777" w:rsidR="001631C6" w:rsidRPr="00F14EF8" w:rsidRDefault="001631C6" w:rsidP="008F5322">
            <w:pPr>
              <w:widowControl w:val="0"/>
              <w:autoSpaceDE w:val="0"/>
              <w:autoSpaceDN w:val="0"/>
              <w:adjustRightInd w:val="0"/>
              <w:jc w:val="center"/>
              <w:rPr>
                <w:sz w:val="16"/>
                <w:szCs w:val="16"/>
              </w:rPr>
            </w:pPr>
            <w:r w:rsidRPr="00F14EF8">
              <w:rPr>
                <w:sz w:val="16"/>
                <w:szCs w:val="16"/>
              </w:rPr>
              <w:t>Financial Crisis</w:t>
            </w:r>
          </w:p>
        </w:tc>
        <w:tc>
          <w:tcPr>
            <w:tcW w:w="374" w:type="pct"/>
            <w:tcBorders>
              <w:top w:val="nil"/>
              <w:left w:val="nil"/>
              <w:bottom w:val="single" w:sz="6" w:space="0" w:color="auto"/>
              <w:right w:val="nil"/>
            </w:tcBorders>
          </w:tcPr>
          <w:p w14:paraId="7B2E1DDA" w14:textId="3E9FB737" w:rsidR="001631C6" w:rsidRPr="00F14EF8" w:rsidRDefault="001631C6" w:rsidP="008F5322">
            <w:pPr>
              <w:widowControl w:val="0"/>
              <w:autoSpaceDE w:val="0"/>
              <w:autoSpaceDN w:val="0"/>
              <w:adjustRightInd w:val="0"/>
              <w:jc w:val="center"/>
              <w:rPr>
                <w:sz w:val="16"/>
                <w:szCs w:val="16"/>
              </w:rPr>
            </w:pPr>
            <w:r w:rsidRPr="00F14EF8">
              <w:rPr>
                <w:sz w:val="16"/>
                <w:szCs w:val="16"/>
              </w:rPr>
              <w:t>Euro</w:t>
            </w:r>
            <w:r w:rsidR="0003252C" w:rsidRPr="00F14EF8">
              <w:rPr>
                <w:sz w:val="16"/>
                <w:szCs w:val="16"/>
              </w:rPr>
              <w:t>zone</w:t>
            </w:r>
            <w:r w:rsidRPr="00F14EF8">
              <w:rPr>
                <w:sz w:val="16"/>
                <w:szCs w:val="16"/>
              </w:rPr>
              <w:t xml:space="preserve"> Crisis</w:t>
            </w:r>
          </w:p>
        </w:tc>
        <w:tc>
          <w:tcPr>
            <w:tcW w:w="645" w:type="pct"/>
            <w:tcBorders>
              <w:top w:val="nil"/>
              <w:left w:val="nil"/>
              <w:bottom w:val="single" w:sz="6" w:space="0" w:color="auto"/>
              <w:right w:val="nil"/>
            </w:tcBorders>
          </w:tcPr>
          <w:p w14:paraId="333C1E5F" w14:textId="220A6B45" w:rsidR="001631C6" w:rsidRPr="00F14EF8" w:rsidRDefault="001631C6" w:rsidP="008F5322">
            <w:pPr>
              <w:widowControl w:val="0"/>
              <w:autoSpaceDE w:val="0"/>
              <w:autoSpaceDN w:val="0"/>
              <w:adjustRightInd w:val="0"/>
              <w:jc w:val="center"/>
              <w:rPr>
                <w:sz w:val="16"/>
                <w:szCs w:val="16"/>
              </w:rPr>
            </w:pPr>
            <w:r w:rsidRPr="00F14EF8">
              <w:rPr>
                <w:sz w:val="16"/>
                <w:szCs w:val="16"/>
              </w:rPr>
              <w:t xml:space="preserve">Post-Financial </w:t>
            </w:r>
            <w:r w:rsidR="0003252C" w:rsidRPr="00F14EF8">
              <w:rPr>
                <w:sz w:val="16"/>
                <w:szCs w:val="16"/>
              </w:rPr>
              <w:t xml:space="preserve">&amp; Eurozone </w:t>
            </w:r>
            <w:r w:rsidRPr="00F14EF8">
              <w:rPr>
                <w:sz w:val="16"/>
                <w:szCs w:val="16"/>
              </w:rPr>
              <w:t>Crisis</w:t>
            </w:r>
          </w:p>
        </w:tc>
      </w:tr>
      <w:tr w:rsidR="001631C6" w:rsidRPr="00F14EF8" w14:paraId="78E6CB2D" w14:textId="77777777" w:rsidTr="008F5322">
        <w:trPr>
          <w:jc w:val="center"/>
        </w:trPr>
        <w:tc>
          <w:tcPr>
            <w:tcW w:w="1275" w:type="pct"/>
            <w:tcBorders>
              <w:top w:val="nil"/>
              <w:left w:val="nil"/>
              <w:bottom w:val="nil"/>
              <w:right w:val="nil"/>
            </w:tcBorders>
          </w:tcPr>
          <w:p w14:paraId="740842F9" w14:textId="77777777" w:rsidR="001631C6" w:rsidRPr="00F14EF8" w:rsidRDefault="001631C6" w:rsidP="008F5322">
            <w:pPr>
              <w:widowControl w:val="0"/>
              <w:autoSpaceDE w:val="0"/>
              <w:autoSpaceDN w:val="0"/>
              <w:adjustRightInd w:val="0"/>
              <w:rPr>
                <w:sz w:val="14"/>
                <w:szCs w:val="14"/>
              </w:rPr>
            </w:pPr>
            <w:r w:rsidRPr="00F14EF8">
              <w:rPr>
                <w:sz w:val="14"/>
                <w:szCs w:val="14"/>
              </w:rPr>
              <w:t>% of Non-Domestic BRs</w:t>
            </w:r>
          </w:p>
        </w:tc>
        <w:tc>
          <w:tcPr>
            <w:tcW w:w="397" w:type="pct"/>
            <w:tcBorders>
              <w:top w:val="nil"/>
              <w:left w:val="nil"/>
              <w:bottom w:val="nil"/>
              <w:right w:val="nil"/>
            </w:tcBorders>
          </w:tcPr>
          <w:p w14:paraId="7BFE3FD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1.618***</w:t>
            </w:r>
          </w:p>
        </w:tc>
        <w:tc>
          <w:tcPr>
            <w:tcW w:w="397" w:type="pct"/>
            <w:tcBorders>
              <w:top w:val="nil"/>
              <w:left w:val="nil"/>
              <w:bottom w:val="nil"/>
              <w:right w:val="nil"/>
            </w:tcBorders>
          </w:tcPr>
          <w:p w14:paraId="63E519C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1.704***</w:t>
            </w:r>
          </w:p>
        </w:tc>
        <w:tc>
          <w:tcPr>
            <w:tcW w:w="397" w:type="pct"/>
            <w:tcBorders>
              <w:top w:val="nil"/>
              <w:left w:val="nil"/>
              <w:bottom w:val="nil"/>
              <w:right w:val="nil"/>
            </w:tcBorders>
          </w:tcPr>
          <w:p w14:paraId="671A404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1.733***</w:t>
            </w:r>
          </w:p>
        </w:tc>
        <w:tc>
          <w:tcPr>
            <w:tcW w:w="397" w:type="pct"/>
            <w:tcBorders>
              <w:top w:val="nil"/>
              <w:left w:val="nil"/>
              <w:bottom w:val="nil"/>
              <w:right w:val="nil"/>
            </w:tcBorders>
          </w:tcPr>
          <w:p w14:paraId="751FE57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1.747***</w:t>
            </w:r>
          </w:p>
        </w:tc>
        <w:tc>
          <w:tcPr>
            <w:tcW w:w="617" w:type="pct"/>
            <w:tcBorders>
              <w:top w:val="nil"/>
              <w:left w:val="nil"/>
              <w:bottom w:val="nil"/>
              <w:right w:val="nil"/>
            </w:tcBorders>
          </w:tcPr>
          <w:p w14:paraId="63B2D6A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-0.262</w:t>
            </w:r>
          </w:p>
        </w:tc>
        <w:tc>
          <w:tcPr>
            <w:tcW w:w="500" w:type="pct"/>
            <w:tcBorders>
              <w:top w:val="nil"/>
              <w:left w:val="nil"/>
              <w:bottom w:val="nil"/>
              <w:right w:val="nil"/>
            </w:tcBorders>
          </w:tcPr>
          <w:p w14:paraId="5EE0B49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5.151**</w:t>
            </w:r>
          </w:p>
        </w:tc>
        <w:tc>
          <w:tcPr>
            <w:tcW w:w="374" w:type="pct"/>
            <w:tcBorders>
              <w:top w:val="nil"/>
              <w:left w:val="nil"/>
              <w:bottom w:val="nil"/>
              <w:right w:val="nil"/>
            </w:tcBorders>
          </w:tcPr>
          <w:p w14:paraId="6D7C86A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1.256*</w:t>
            </w:r>
          </w:p>
        </w:tc>
        <w:tc>
          <w:tcPr>
            <w:tcW w:w="645" w:type="pct"/>
            <w:tcBorders>
              <w:top w:val="nil"/>
              <w:left w:val="nil"/>
              <w:bottom w:val="nil"/>
              <w:right w:val="nil"/>
            </w:tcBorders>
          </w:tcPr>
          <w:p w14:paraId="5D469C4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-0.355</w:t>
            </w:r>
          </w:p>
        </w:tc>
      </w:tr>
      <w:tr w:rsidR="001631C6" w:rsidRPr="00F14EF8" w14:paraId="065B858E" w14:textId="77777777" w:rsidTr="008F5322">
        <w:trPr>
          <w:jc w:val="center"/>
        </w:trPr>
        <w:tc>
          <w:tcPr>
            <w:tcW w:w="1275" w:type="pct"/>
            <w:tcBorders>
              <w:top w:val="nil"/>
              <w:left w:val="nil"/>
              <w:bottom w:val="nil"/>
              <w:right w:val="nil"/>
            </w:tcBorders>
          </w:tcPr>
          <w:p w14:paraId="490D66B2"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2229A37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(0.567)</w:t>
            </w:r>
          </w:p>
        </w:tc>
        <w:tc>
          <w:tcPr>
            <w:tcW w:w="397" w:type="pct"/>
            <w:tcBorders>
              <w:top w:val="nil"/>
              <w:left w:val="nil"/>
              <w:bottom w:val="nil"/>
              <w:right w:val="nil"/>
            </w:tcBorders>
          </w:tcPr>
          <w:p w14:paraId="3271D0A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(0.591)</w:t>
            </w:r>
          </w:p>
        </w:tc>
        <w:tc>
          <w:tcPr>
            <w:tcW w:w="397" w:type="pct"/>
            <w:tcBorders>
              <w:top w:val="nil"/>
              <w:left w:val="nil"/>
              <w:bottom w:val="nil"/>
              <w:right w:val="nil"/>
            </w:tcBorders>
          </w:tcPr>
          <w:p w14:paraId="535F1D4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(0.597)</w:t>
            </w:r>
          </w:p>
        </w:tc>
        <w:tc>
          <w:tcPr>
            <w:tcW w:w="397" w:type="pct"/>
            <w:tcBorders>
              <w:top w:val="nil"/>
              <w:left w:val="nil"/>
              <w:bottom w:val="nil"/>
              <w:right w:val="nil"/>
            </w:tcBorders>
          </w:tcPr>
          <w:p w14:paraId="02F392A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(0.596)</w:t>
            </w:r>
          </w:p>
        </w:tc>
        <w:tc>
          <w:tcPr>
            <w:tcW w:w="617" w:type="pct"/>
            <w:tcBorders>
              <w:top w:val="nil"/>
              <w:left w:val="nil"/>
              <w:bottom w:val="nil"/>
              <w:right w:val="nil"/>
            </w:tcBorders>
          </w:tcPr>
          <w:p w14:paraId="554EB4D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(0.390)</w:t>
            </w:r>
          </w:p>
        </w:tc>
        <w:tc>
          <w:tcPr>
            <w:tcW w:w="500" w:type="pct"/>
            <w:tcBorders>
              <w:top w:val="nil"/>
              <w:left w:val="nil"/>
              <w:bottom w:val="nil"/>
              <w:right w:val="nil"/>
            </w:tcBorders>
          </w:tcPr>
          <w:p w14:paraId="477B71B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(2.002)</w:t>
            </w:r>
          </w:p>
        </w:tc>
        <w:tc>
          <w:tcPr>
            <w:tcW w:w="374" w:type="pct"/>
            <w:tcBorders>
              <w:top w:val="nil"/>
              <w:left w:val="nil"/>
              <w:bottom w:val="nil"/>
              <w:right w:val="nil"/>
            </w:tcBorders>
          </w:tcPr>
          <w:p w14:paraId="65C68EB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(0.649)</w:t>
            </w:r>
          </w:p>
        </w:tc>
        <w:tc>
          <w:tcPr>
            <w:tcW w:w="645" w:type="pct"/>
            <w:tcBorders>
              <w:top w:val="nil"/>
              <w:left w:val="nil"/>
              <w:bottom w:val="nil"/>
              <w:right w:val="nil"/>
            </w:tcBorders>
          </w:tcPr>
          <w:p w14:paraId="0D5EBBE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(2.573)</w:t>
            </w:r>
          </w:p>
        </w:tc>
      </w:tr>
      <w:tr w:rsidR="001631C6" w:rsidRPr="00F14EF8" w14:paraId="3BA71F66" w14:textId="77777777" w:rsidTr="008F5322">
        <w:trPr>
          <w:jc w:val="center"/>
        </w:trPr>
        <w:tc>
          <w:tcPr>
            <w:tcW w:w="1275" w:type="pct"/>
            <w:tcBorders>
              <w:top w:val="nil"/>
              <w:left w:val="nil"/>
              <w:bottom w:val="nil"/>
              <w:right w:val="nil"/>
            </w:tcBorders>
          </w:tcPr>
          <w:p w14:paraId="001F5D00" w14:textId="771AA181" w:rsidR="001631C6" w:rsidRPr="00F14EF8" w:rsidRDefault="001631C6" w:rsidP="008F5322">
            <w:pPr>
              <w:widowControl w:val="0"/>
              <w:autoSpaceDE w:val="0"/>
              <w:autoSpaceDN w:val="0"/>
              <w:adjustRightInd w:val="0"/>
              <w:rPr>
                <w:sz w:val="14"/>
                <w:szCs w:val="14"/>
              </w:rPr>
            </w:pPr>
            <w:r w:rsidRPr="00F14EF8">
              <w:rPr>
                <w:sz w:val="14"/>
                <w:szCs w:val="14"/>
              </w:rPr>
              <w:t>Pre-</w:t>
            </w:r>
            <w:r w:rsidR="0003252C" w:rsidRPr="00F14EF8">
              <w:rPr>
                <w:sz w:val="14"/>
                <w:szCs w:val="14"/>
              </w:rPr>
              <w:t xml:space="preserve">Financial </w:t>
            </w:r>
            <w:r w:rsidRPr="00F14EF8">
              <w:rPr>
                <w:sz w:val="14"/>
                <w:szCs w:val="14"/>
              </w:rPr>
              <w:t>Crisis</w:t>
            </w:r>
          </w:p>
        </w:tc>
        <w:tc>
          <w:tcPr>
            <w:tcW w:w="397" w:type="pct"/>
            <w:tcBorders>
              <w:top w:val="nil"/>
              <w:left w:val="nil"/>
              <w:bottom w:val="nil"/>
              <w:right w:val="nil"/>
            </w:tcBorders>
          </w:tcPr>
          <w:p w14:paraId="4E3F764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-0.663***</w:t>
            </w:r>
          </w:p>
        </w:tc>
        <w:tc>
          <w:tcPr>
            <w:tcW w:w="397" w:type="pct"/>
            <w:tcBorders>
              <w:top w:val="nil"/>
              <w:left w:val="nil"/>
              <w:bottom w:val="nil"/>
              <w:right w:val="nil"/>
            </w:tcBorders>
          </w:tcPr>
          <w:p w14:paraId="73A890BA"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24C51420"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37A1E079" w14:textId="77777777" w:rsidR="001631C6" w:rsidRPr="00F14EF8" w:rsidRDefault="001631C6" w:rsidP="008F5322">
            <w:pPr>
              <w:widowControl w:val="0"/>
              <w:autoSpaceDE w:val="0"/>
              <w:autoSpaceDN w:val="0"/>
              <w:adjustRightInd w:val="0"/>
              <w:jc w:val="center"/>
              <w:rPr>
                <w:sz w:val="14"/>
                <w:szCs w:val="14"/>
              </w:rPr>
            </w:pPr>
          </w:p>
        </w:tc>
        <w:tc>
          <w:tcPr>
            <w:tcW w:w="617" w:type="pct"/>
            <w:tcBorders>
              <w:top w:val="nil"/>
              <w:left w:val="nil"/>
              <w:bottom w:val="nil"/>
              <w:right w:val="nil"/>
            </w:tcBorders>
          </w:tcPr>
          <w:p w14:paraId="582D5B6C"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5F19136D"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600B2A97"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276DD593"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05BE6492" w14:textId="77777777" w:rsidTr="008F5322">
        <w:trPr>
          <w:jc w:val="center"/>
        </w:trPr>
        <w:tc>
          <w:tcPr>
            <w:tcW w:w="1275" w:type="pct"/>
            <w:tcBorders>
              <w:top w:val="nil"/>
              <w:left w:val="nil"/>
              <w:bottom w:val="nil"/>
              <w:right w:val="nil"/>
            </w:tcBorders>
          </w:tcPr>
          <w:p w14:paraId="156C7256"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7C6AFE6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(0.069)</w:t>
            </w:r>
          </w:p>
        </w:tc>
        <w:tc>
          <w:tcPr>
            <w:tcW w:w="397" w:type="pct"/>
            <w:tcBorders>
              <w:top w:val="nil"/>
              <w:left w:val="nil"/>
              <w:bottom w:val="nil"/>
              <w:right w:val="nil"/>
            </w:tcBorders>
          </w:tcPr>
          <w:p w14:paraId="2FAE4887"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4C2122CE"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2E4128C8" w14:textId="77777777" w:rsidR="001631C6" w:rsidRPr="00F14EF8" w:rsidRDefault="001631C6" w:rsidP="008F5322">
            <w:pPr>
              <w:widowControl w:val="0"/>
              <w:autoSpaceDE w:val="0"/>
              <w:autoSpaceDN w:val="0"/>
              <w:adjustRightInd w:val="0"/>
              <w:jc w:val="center"/>
              <w:rPr>
                <w:sz w:val="14"/>
                <w:szCs w:val="14"/>
              </w:rPr>
            </w:pPr>
          </w:p>
        </w:tc>
        <w:tc>
          <w:tcPr>
            <w:tcW w:w="617" w:type="pct"/>
            <w:tcBorders>
              <w:top w:val="nil"/>
              <w:left w:val="nil"/>
              <w:bottom w:val="nil"/>
              <w:right w:val="nil"/>
            </w:tcBorders>
          </w:tcPr>
          <w:p w14:paraId="14C6425F"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14ECF574"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61912CCB"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197056CB"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672F47B3" w14:textId="77777777" w:rsidTr="008F5322">
        <w:trPr>
          <w:jc w:val="center"/>
        </w:trPr>
        <w:tc>
          <w:tcPr>
            <w:tcW w:w="1275" w:type="pct"/>
            <w:tcBorders>
              <w:top w:val="nil"/>
              <w:left w:val="nil"/>
              <w:bottom w:val="nil"/>
              <w:right w:val="nil"/>
            </w:tcBorders>
          </w:tcPr>
          <w:p w14:paraId="7424D8B4" w14:textId="5F7E55FD" w:rsidR="001631C6" w:rsidRPr="00F14EF8" w:rsidRDefault="0003252C" w:rsidP="008F5322">
            <w:pPr>
              <w:widowControl w:val="0"/>
              <w:autoSpaceDE w:val="0"/>
              <w:autoSpaceDN w:val="0"/>
              <w:adjustRightInd w:val="0"/>
              <w:rPr>
                <w:sz w:val="14"/>
                <w:szCs w:val="14"/>
              </w:rPr>
            </w:pPr>
            <w:r w:rsidRPr="00F14EF8">
              <w:rPr>
                <w:sz w:val="14"/>
                <w:szCs w:val="14"/>
              </w:rPr>
              <w:t xml:space="preserve">Financial </w:t>
            </w:r>
            <w:r w:rsidR="001631C6" w:rsidRPr="00F14EF8">
              <w:rPr>
                <w:sz w:val="14"/>
                <w:szCs w:val="14"/>
              </w:rPr>
              <w:t>Crisis</w:t>
            </w:r>
          </w:p>
        </w:tc>
        <w:tc>
          <w:tcPr>
            <w:tcW w:w="397" w:type="pct"/>
            <w:tcBorders>
              <w:top w:val="nil"/>
              <w:left w:val="nil"/>
              <w:bottom w:val="nil"/>
              <w:right w:val="nil"/>
            </w:tcBorders>
          </w:tcPr>
          <w:p w14:paraId="449A5CEA"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70EB49A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0.621***</w:t>
            </w:r>
          </w:p>
        </w:tc>
        <w:tc>
          <w:tcPr>
            <w:tcW w:w="397" w:type="pct"/>
            <w:tcBorders>
              <w:top w:val="nil"/>
              <w:left w:val="nil"/>
              <w:bottom w:val="nil"/>
              <w:right w:val="nil"/>
            </w:tcBorders>
          </w:tcPr>
          <w:p w14:paraId="0D75AB45"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763825A5" w14:textId="77777777" w:rsidR="001631C6" w:rsidRPr="00F14EF8" w:rsidRDefault="001631C6" w:rsidP="008F5322">
            <w:pPr>
              <w:widowControl w:val="0"/>
              <w:autoSpaceDE w:val="0"/>
              <w:autoSpaceDN w:val="0"/>
              <w:adjustRightInd w:val="0"/>
              <w:jc w:val="center"/>
              <w:rPr>
                <w:sz w:val="14"/>
                <w:szCs w:val="14"/>
              </w:rPr>
            </w:pPr>
          </w:p>
        </w:tc>
        <w:tc>
          <w:tcPr>
            <w:tcW w:w="617" w:type="pct"/>
            <w:tcBorders>
              <w:top w:val="nil"/>
              <w:left w:val="nil"/>
              <w:bottom w:val="nil"/>
              <w:right w:val="nil"/>
            </w:tcBorders>
          </w:tcPr>
          <w:p w14:paraId="630911E4"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6E0047D8"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1BD11884"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3FA63AEC"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48B66CF8" w14:textId="77777777" w:rsidTr="008F5322">
        <w:trPr>
          <w:jc w:val="center"/>
        </w:trPr>
        <w:tc>
          <w:tcPr>
            <w:tcW w:w="1275" w:type="pct"/>
            <w:tcBorders>
              <w:top w:val="nil"/>
              <w:left w:val="nil"/>
              <w:bottom w:val="nil"/>
              <w:right w:val="nil"/>
            </w:tcBorders>
          </w:tcPr>
          <w:p w14:paraId="1BDE814F"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42138107"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0149AE6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(0.119)</w:t>
            </w:r>
          </w:p>
        </w:tc>
        <w:tc>
          <w:tcPr>
            <w:tcW w:w="397" w:type="pct"/>
            <w:tcBorders>
              <w:top w:val="nil"/>
              <w:left w:val="nil"/>
              <w:bottom w:val="nil"/>
              <w:right w:val="nil"/>
            </w:tcBorders>
          </w:tcPr>
          <w:p w14:paraId="02B47C7D"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61187D6F" w14:textId="77777777" w:rsidR="001631C6" w:rsidRPr="00F14EF8" w:rsidRDefault="001631C6" w:rsidP="008F5322">
            <w:pPr>
              <w:widowControl w:val="0"/>
              <w:autoSpaceDE w:val="0"/>
              <w:autoSpaceDN w:val="0"/>
              <w:adjustRightInd w:val="0"/>
              <w:jc w:val="center"/>
              <w:rPr>
                <w:sz w:val="14"/>
                <w:szCs w:val="14"/>
              </w:rPr>
            </w:pPr>
          </w:p>
        </w:tc>
        <w:tc>
          <w:tcPr>
            <w:tcW w:w="617" w:type="pct"/>
            <w:tcBorders>
              <w:top w:val="nil"/>
              <w:left w:val="nil"/>
              <w:bottom w:val="nil"/>
              <w:right w:val="nil"/>
            </w:tcBorders>
          </w:tcPr>
          <w:p w14:paraId="0390EF3E"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6A36D591"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54AC16C8"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68F2E134"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42BA4B70" w14:textId="77777777" w:rsidTr="008F5322">
        <w:trPr>
          <w:jc w:val="center"/>
        </w:trPr>
        <w:tc>
          <w:tcPr>
            <w:tcW w:w="1275" w:type="pct"/>
            <w:tcBorders>
              <w:top w:val="nil"/>
              <w:left w:val="nil"/>
              <w:bottom w:val="nil"/>
              <w:right w:val="nil"/>
            </w:tcBorders>
          </w:tcPr>
          <w:p w14:paraId="197F4136" w14:textId="09E9D3A1" w:rsidR="001631C6" w:rsidRPr="00F14EF8" w:rsidRDefault="001631C6" w:rsidP="008F5322">
            <w:pPr>
              <w:widowControl w:val="0"/>
              <w:autoSpaceDE w:val="0"/>
              <w:autoSpaceDN w:val="0"/>
              <w:adjustRightInd w:val="0"/>
              <w:rPr>
                <w:sz w:val="14"/>
                <w:szCs w:val="14"/>
              </w:rPr>
            </w:pPr>
            <w:r w:rsidRPr="00F14EF8">
              <w:rPr>
                <w:sz w:val="14"/>
                <w:szCs w:val="14"/>
              </w:rPr>
              <w:t>Euro</w:t>
            </w:r>
            <w:r w:rsidR="0003252C" w:rsidRPr="00F14EF8">
              <w:rPr>
                <w:sz w:val="14"/>
                <w:szCs w:val="14"/>
              </w:rPr>
              <w:t>zone</w:t>
            </w:r>
            <w:r w:rsidRPr="00F14EF8">
              <w:rPr>
                <w:sz w:val="14"/>
                <w:szCs w:val="14"/>
              </w:rPr>
              <w:t xml:space="preserve"> Crisis</w:t>
            </w:r>
          </w:p>
        </w:tc>
        <w:tc>
          <w:tcPr>
            <w:tcW w:w="397" w:type="pct"/>
            <w:tcBorders>
              <w:top w:val="nil"/>
              <w:left w:val="nil"/>
              <w:bottom w:val="nil"/>
              <w:right w:val="nil"/>
            </w:tcBorders>
          </w:tcPr>
          <w:p w14:paraId="41F5634C"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7DEF3AAA"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5DAA86B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0.221**</w:t>
            </w:r>
          </w:p>
        </w:tc>
        <w:tc>
          <w:tcPr>
            <w:tcW w:w="397" w:type="pct"/>
            <w:tcBorders>
              <w:top w:val="nil"/>
              <w:left w:val="nil"/>
              <w:bottom w:val="nil"/>
              <w:right w:val="nil"/>
            </w:tcBorders>
          </w:tcPr>
          <w:p w14:paraId="71FEF72A" w14:textId="77777777" w:rsidR="001631C6" w:rsidRPr="00F14EF8" w:rsidRDefault="001631C6" w:rsidP="008F5322">
            <w:pPr>
              <w:widowControl w:val="0"/>
              <w:autoSpaceDE w:val="0"/>
              <w:autoSpaceDN w:val="0"/>
              <w:adjustRightInd w:val="0"/>
              <w:jc w:val="center"/>
              <w:rPr>
                <w:sz w:val="14"/>
                <w:szCs w:val="14"/>
              </w:rPr>
            </w:pPr>
          </w:p>
        </w:tc>
        <w:tc>
          <w:tcPr>
            <w:tcW w:w="617" w:type="pct"/>
            <w:tcBorders>
              <w:top w:val="nil"/>
              <w:left w:val="nil"/>
              <w:bottom w:val="nil"/>
              <w:right w:val="nil"/>
            </w:tcBorders>
          </w:tcPr>
          <w:p w14:paraId="5D5CFA8C"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5304A31A"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73F1F8E7"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24E6BBAB"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4ED28A3D" w14:textId="77777777" w:rsidTr="008F5322">
        <w:trPr>
          <w:jc w:val="center"/>
        </w:trPr>
        <w:tc>
          <w:tcPr>
            <w:tcW w:w="1275" w:type="pct"/>
            <w:tcBorders>
              <w:top w:val="nil"/>
              <w:left w:val="nil"/>
              <w:bottom w:val="nil"/>
              <w:right w:val="nil"/>
            </w:tcBorders>
          </w:tcPr>
          <w:p w14:paraId="7FECE9FD"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3ED99B1A"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3D200897"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10F6620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(0.098)</w:t>
            </w:r>
          </w:p>
        </w:tc>
        <w:tc>
          <w:tcPr>
            <w:tcW w:w="397" w:type="pct"/>
            <w:tcBorders>
              <w:top w:val="nil"/>
              <w:left w:val="nil"/>
              <w:bottom w:val="nil"/>
              <w:right w:val="nil"/>
            </w:tcBorders>
          </w:tcPr>
          <w:p w14:paraId="571B3980" w14:textId="77777777" w:rsidR="001631C6" w:rsidRPr="00F14EF8" w:rsidRDefault="001631C6" w:rsidP="008F5322">
            <w:pPr>
              <w:widowControl w:val="0"/>
              <w:autoSpaceDE w:val="0"/>
              <w:autoSpaceDN w:val="0"/>
              <w:adjustRightInd w:val="0"/>
              <w:jc w:val="center"/>
              <w:rPr>
                <w:sz w:val="14"/>
                <w:szCs w:val="14"/>
              </w:rPr>
            </w:pPr>
          </w:p>
        </w:tc>
        <w:tc>
          <w:tcPr>
            <w:tcW w:w="617" w:type="pct"/>
            <w:tcBorders>
              <w:top w:val="nil"/>
              <w:left w:val="nil"/>
              <w:bottom w:val="nil"/>
              <w:right w:val="nil"/>
            </w:tcBorders>
          </w:tcPr>
          <w:p w14:paraId="4A79BB9E"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3B1F6741"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3EC8EDB3"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3D53B1A3"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0687A56E" w14:textId="77777777" w:rsidTr="008F5322">
        <w:trPr>
          <w:jc w:val="center"/>
        </w:trPr>
        <w:tc>
          <w:tcPr>
            <w:tcW w:w="1275" w:type="pct"/>
            <w:tcBorders>
              <w:top w:val="nil"/>
              <w:left w:val="nil"/>
              <w:bottom w:val="nil"/>
              <w:right w:val="nil"/>
            </w:tcBorders>
          </w:tcPr>
          <w:p w14:paraId="7E0E1FB2" w14:textId="133B437E" w:rsidR="001631C6" w:rsidRPr="00F14EF8" w:rsidRDefault="001631C6" w:rsidP="008F5322">
            <w:pPr>
              <w:widowControl w:val="0"/>
              <w:autoSpaceDE w:val="0"/>
              <w:autoSpaceDN w:val="0"/>
              <w:adjustRightInd w:val="0"/>
              <w:rPr>
                <w:sz w:val="14"/>
                <w:szCs w:val="14"/>
              </w:rPr>
            </w:pPr>
            <w:r w:rsidRPr="00F14EF8">
              <w:rPr>
                <w:sz w:val="14"/>
                <w:szCs w:val="14"/>
              </w:rPr>
              <w:t>Post-</w:t>
            </w:r>
            <w:r w:rsidR="0003252C" w:rsidRPr="00F14EF8">
              <w:rPr>
                <w:sz w:val="14"/>
                <w:szCs w:val="14"/>
              </w:rPr>
              <w:t xml:space="preserve">Financial &amp; Eurozone </w:t>
            </w:r>
            <w:r w:rsidRPr="00F14EF8">
              <w:rPr>
                <w:sz w:val="14"/>
                <w:szCs w:val="14"/>
              </w:rPr>
              <w:t>Crisis</w:t>
            </w:r>
          </w:p>
        </w:tc>
        <w:tc>
          <w:tcPr>
            <w:tcW w:w="397" w:type="pct"/>
            <w:tcBorders>
              <w:top w:val="nil"/>
              <w:left w:val="nil"/>
              <w:bottom w:val="nil"/>
              <w:right w:val="nil"/>
            </w:tcBorders>
          </w:tcPr>
          <w:p w14:paraId="7EE2F230"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63720576"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28485A9B"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7AC8C4DF"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-0.543***</w:t>
            </w:r>
          </w:p>
        </w:tc>
        <w:tc>
          <w:tcPr>
            <w:tcW w:w="617" w:type="pct"/>
            <w:tcBorders>
              <w:top w:val="nil"/>
              <w:left w:val="nil"/>
              <w:bottom w:val="nil"/>
              <w:right w:val="nil"/>
            </w:tcBorders>
          </w:tcPr>
          <w:p w14:paraId="033593AE"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396F26A5"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782A56C4"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0B4F9158"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5A331950" w14:textId="77777777" w:rsidTr="008F5322">
        <w:trPr>
          <w:jc w:val="center"/>
        </w:trPr>
        <w:tc>
          <w:tcPr>
            <w:tcW w:w="1275" w:type="pct"/>
            <w:tcBorders>
              <w:top w:val="nil"/>
              <w:left w:val="nil"/>
              <w:bottom w:val="nil"/>
              <w:right w:val="nil"/>
            </w:tcBorders>
          </w:tcPr>
          <w:p w14:paraId="1CE212E1"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27FAF1C5"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6119D699"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374AA916" w14:textId="77777777" w:rsidR="001631C6" w:rsidRPr="00F14EF8" w:rsidRDefault="001631C6" w:rsidP="008F5322">
            <w:pPr>
              <w:widowControl w:val="0"/>
              <w:autoSpaceDE w:val="0"/>
              <w:autoSpaceDN w:val="0"/>
              <w:adjustRightInd w:val="0"/>
              <w:jc w:val="center"/>
              <w:rPr>
                <w:sz w:val="14"/>
                <w:szCs w:val="14"/>
              </w:rPr>
            </w:pPr>
          </w:p>
        </w:tc>
        <w:tc>
          <w:tcPr>
            <w:tcW w:w="397" w:type="pct"/>
            <w:tcBorders>
              <w:top w:val="nil"/>
              <w:left w:val="nil"/>
              <w:bottom w:val="nil"/>
              <w:right w:val="nil"/>
            </w:tcBorders>
          </w:tcPr>
          <w:p w14:paraId="4645945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(0.160)</w:t>
            </w:r>
          </w:p>
        </w:tc>
        <w:tc>
          <w:tcPr>
            <w:tcW w:w="617" w:type="pct"/>
            <w:tcBorders>
              <w:top w:val="nil"/>
              <w:left w:val="nil"/>
              <w:bottom w:val="nil"/>
              <w:right w:val="nil"/>
            </w:tcBorders>
          </w:tcPr>
          <w:p w14:paraId="7658EEA0" w14:textId="77777777" w:rsidR="001631C6" w:rsidRPr="00F14EF8" w:rsidRDefault="001631C6" w:rsidP="008F5322">
            <w:pPr>
              <w:widowControl w:val="0"/>
              <w:autoSpaceDE w:val="0"/>
              <w:autoSpaceDN w:val="0"/>
              <w:adjustRightInd w:val="0"/>
              <w:jc w:val="center"/>
              <w:rPr>
                <w:sz w:val="14"/>
                <w:szCs w:val="14"/>
              </w:rPr>
            </w:pPr>
          </w:p>
        </w:tc>
        <w:tc>
          <w:tcPr>
            <w:tcW w:w="500" w:type="pct"/>
            <w:tcBorders>
              <w:top w:val="nil"/>
              <w:left w:val="nil"/>
              <w:bottom w:val="nil"/>
              <w:right w:val="nil"/>
            </w:tcBorders>
          </w:tcPr>
          <w:p w14:paraId="4CC7573A" w14:textId="77777777" w:rsidR="001631C6" w:rsidRPr="00F14EF8" w:rsidRDefault="001631C6" w:rsidP="008F5322">
            <w:pPr>
              <w:widowControl w:val="0"/>
              <w:autoSpaceDE w:val="0"/>
              <w:autoSpaceDN w:val="0"/>
              <w:adjustRightInd w:val="0"/>
              <w:jc w:val="center"/>
              <w:rPr>
                <w:sz w:val="14"/>
                <w:szCs w:val="14"/>
              </w:rPr>
            </w:pPr>
          </w:p>
        </w:tc>
        <w:tc>
          <w:tcPr>
            <w:tcW w:w="374" w:type="pct"/>
            <w:tcBorders>
              <w:top w:val="nil"/>
              <w:left w:val="nil"/>
              <w:bottom w:val="nil"/>
              <w:right w:val="nil"/>
            </w:tcBorders>
          </w:tcPr>
          <w:p w14:paraId="166A2384" w14:textId="77777777" w:rsidR="001631C6" w:rsidRPr="00F14EF8" w:rsidRDefault="001631C6" w:rsidP="008F5322">
            <w:pPr>
              <w:widowControl w:val="0"/>
              <w:autoSpaceDE w:val="0"/>
              <w:autoSpaceDN w:val="0"/>
              <w:adjustRightInd w:val="0"/>
              <w:jc w:val="center"/>
              <w:rPr>
                <w:sz w:val="14"/>
                <w:szCs w:val="14"/>
              </w:rPr>
            </w:pPr>
          </w:p>
        </w:tc>
        <w:tc>
          <w:tcPr>
            <w:tcW w:w="645" w:type="pct"/>
            <w:tcBorders>
              <w:top w:val="nil"/>
              <w:left w:val="nil"/>
              <w:bottom w:val="nil"/>
              <w:right w:val="nil"/>
            </w:tcBorders>
          </w:tcPr>
          <w:p w14:paraId="00E13175" w14:textId="77777777" w:rsidR="001631C6" w:rsidRPr="00F14EF8" w:rsidRDefault="001631C6" w:rsidP="008F5322">
            <w:pPr>
              <w:widowControl w:val="0"/>
              <w:autoSpaceDE w:val="0"/>
              <w:autoSpaceDN w:val="0"/>
              <w:adjustRightInd w:val="0"/>
              <w:jc w:val="center"/>
              <w:rPr>
                <w:sz w:val="14"/>
                <w:szCs w:val="14"/>
              </w:rPr>
            </w:pPr>
          </w:p>
        </w:tc>
      </w:tr>
      <w:tr w:rsidR="001631C6" w:rsidRPr="00F14EF8" w14:paraId="17CCBA61" w14:textId="77777777" w:rsidTr="008F5322">
        <w:trPr>
          <w:jc w:val="center"/>
        </w:trPr>
        <w:tc>
          <w:tcPr>
            <w:tcW w:w="1275" w:type="pct"/>
            <w:tcBorders>
              <w:top w:val="nil"/>
              <w:left w:val="nil"/>
              <w:bottom w:val="nil"/>
              <w:right w:val="nil"/>
            </w:tcBorders>
            <w:vAlign w:val="center"/>
          </w:tcPr>
          <w:p w14:paraId="755EFAA9" w14:textId="77777777" w:rsidR="001631C6" w:rsidRPr="00F14EF8" w:rsidRDefault="001631C6" w:rsidP="008F5322">
            <w:pPr>
              <w:widowControl w:val="0"/>
              <w:autoSpaceDE w:val="0"/>
              <w:autoSpaceDN w:val="0"/>
              <w:adjustRightInd w:val="0"/>
              <w:rPr>
                <w:sz w:val="14"/>
                <w:szCs w:val="14"/>
              </w:rPr>
            </w:pPr>
            <w:r w:rsidRPr="00F14EF8">
              <w:rPr>
                <w:bCs/>
                <w:color w:val="000000"/>
                <w:sz w:val="14"/>
                <w:szCs w:val="14"/>
                <w:lang w:val="en-US" w:eastAsia="en-GB"/>
              </w:rPr>
              <w:t>% of BRs prior lender</w:t>
            </w:r>
          </w:p>
        </w:tc>
        <w:tc>
          <w:tcPr>
            <w:tcW w:w="397" w:type="pct"/>
            <w:tcBorders>
              <w:top w:val="nil"/>
              <w:left w:val="nil"/>
              <w:bottom w:val="nil"/>
              <w:right w:val="nil"/>
            </w:tcBorders>
          </w:tcPr>
          <w:p w14:paraId="57C3209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-0.046</w:t>
            </w:r>
          </w:p>
        </w:tc>
        <w:tc>
          <w:tcPr>
            <w:tcW w:w="397" w:type="pct"/>
            <w:tcBorders>
              <w:top w:val="nil"/>
              <w:left w:val="nil"/>
              <w:bottom w:val="nil"/>
              <w:right w:val="nil"/>
            </w:tcBorders>
          </w:tcPr>
          <w:p w14:paraId="73C598E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0.013</w:t>
            </w:r>
          </w:p>
        </w:tc>
        <w:tc>
          <w:tcPr>
            <w:tcW w:w="397" w:type="pct"/>
            <w:tcBorders>
              <w:top w:val="nil"/>
              <w:left w:val="nil"/>
              <w:bottom w:val="nil"/>
              <w:right w:val="nil"/>
            </w:tcBorders>
          </w:tcPr>
          <w:p w14:paraId="7E88505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-0.015</w:t>
            </w:r>
          </w:p>
        </w:tc>
        <w:tc>
          <w:tcPr>
            <w:tcW w:w="397" w:type="pct"/>
            <w:tcBorders>
              <w:top w:val="nil"/>
              <w:left w:val="nil"/>
              <w:bottom w:val="nil"/>
              <w:right w:val="nil"/>
            </w:tcBorders>
          </w:tcPr>
          <w:p w14:paraId="4E7E822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0.012</w:t>
            </w:r>
          </w:p>
        </w:tc>
        <w:tc>
          <w:tcPr>
            <w:tcW w:w="617" w:type="pct"/>
            <w:tcBorders>
              <w:top w:val="nil"/>
              <w:left w:val="nil"/>
              <w:bottom w:val="nil"/>
              <w:right w:val="nil"/>
            </w:tcBorders>
          </w:tcPr>
          <w:p w14:paraId="6653F1B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0.041</w:t>
            </w:r>
          </w:p>
        </w:tc>
        <w:tc>
          <w:tcPr>
            <w:tcW w:w="500" w:type="pct"/>
            <w:tcBorders>
              <w:top w:val="nil"/>
              <w:left w:val="nil"/>
              <w:bottom w:val="nil"/>
              <w:right w:val="nil"/>
            </w:tcBorders>
          </w:tcPr>
          <w:p w14:paraId="3D6C509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0.071</w:t>
            </w:r>
          </w:p>
        </w:tc>
        <w:tc>
          <w:tcPr>
            <w:tcW w:w="374" w:type="pct"/>
            <w:tcBorders>
              <w:top w:val="nil"/>
              <w:left w:val="nil"/>
              <w:bottom w:val="nil"/>
              <w:right w:val="nil"/>
            </w:tcBorders>
          </w:tcPr>
          <w:p w14:paraId="7F5BC42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-0.189</w:t>
            </w:r>
          </w:p>
        </w:tc>
        <w:tc>
          <w:tcPr>
            <w:tcW w:w="645" w:type="pct"/>
            <w:tcBorders>
              <w:top w:val="nil"/>
              <w:left w:val="nil"/>
              <w:bottom w:val="nil"/>
              <w:right w:val="nil"/>
            </w:tcBorders>
          </w:tcPr>
          <w:p w14:paraId="7E80370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0.022</w:t>
            </w:r>
          </w:p>
        </w:tc>
      </w:tr>
      <w:tr w:rsidR="001631C6" w:rsidRPr="00F14EF8" w14:paraId="0D63DA30" w14:textId="77777777" w:rsidTr="008F5322">
        <w:trPr>
          <w:jc w:val="center"/>
        </w:trPr>
        <w:tc>
          <w:tcPr>
            <w:tcW w:w="1275" w:type="pct"/>
            <w:tcBorders>
              <w:top w:val="nil"/>
              <w:left w:val="nil"/>
              <w:bottom w:val="nil"/>
              <w:right w:val="nil"/>
            </w:tcBorders>
            <w:vAlign w:val="center"/>
          </w:tcPr>
          <w:p w14:paraId="2416C7D3"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18FCA00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(0.062)</w:t>
            </w:r>
          </w:p>
        </w:tc>
        <w:tc>
          <w:tcPr>
            <w:tcW w:w="397" w:type="pct"/>
            <w:tcBorders>
              <w:top w:val="nil"/>
              <w:left w:val="nil"/>
              <w:bottom w:val="nil"/>
              <w:right w:val="nil"/>
            </w:tcBorders>
          </w:tcPr>
          <w:p w14:paraId="2E94E79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(0.062)</w:t>
            </w:r>
          </w:p>
        </w:tc>
        <w:tc>
          <w:tcPr>
            <w:tcW w:w="397" w:type="pct"/>
            <w:tcBorders>
              <w:top w:val="nil"/>
              <w:left w:val="nil"/>
              <w:bottom w:val="nil"/>
              <w:right w:val="nil"/>
            </w:tcBorders>
          </w:tcPr>
          <w:p w14:paraId="21866A8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(0.063)</w:t>
            </w:r>
          </w:p>
        </w:tc>
        <w:tc>
          <w:tcPr>
            <w:tcW w:w="397" w:type="pct"/>
            <w:tcBorders>
              <w:top w:val="nil"/>
              <w:left w:val="nil"/>
              <w:bottom w:val="nil"/>
              <w:right w:val="nil"/>
            </w:tcBorders>
          </w:tcPr>
          <w:p w14:paraId="3CB14D2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(0.063)</w:t>
            </w:r>
          </w:p>
        </w:tc>
        <w:tc>
          <w:tcPr>
            <w:tcW w:w="617" w:type="pct"/>
            <w:tcBorders>
              <w:top w:val="nil"/>
              <w:left w:val="nil"/>
              <w:bottom w:val="nil"/>
              <w:right w:val="nil"/>
            </w:tcBorders>
          </w:tcPr>
          <w:p w14:paraId="78E9AD0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(0.062)</w:t>
            </w:r>
          </w:p>
        </w:tc>
        <w:tc>
          <w:tcPr>
            <w:tcW w:w="500" w:type="pct"/>
            <w:tcBorders>
              <w:top w:val="nil"/>
              <w:left w:val="nil"/>
              <w:bottom w:val="nil"/>
              <w:right w:val="nil"/>
            </w:tcBorders>
          </w:tcPr>
          <w:p w14:paraId="379FD9E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(0.295)</w:t>
            </w:r>
          </w:p>
        </w:tc>
        <w:tc>
          <w:tcPr>
            <w:tcW w:w="374" w:type="pct"/>
            <w:tcBorders>
              <w:top w:val="nil"/>
              <w:left w:val="nil"/>
              <w:bottom w:val="nil"/>
              <w:right w:val="nil"/>
            </w:tcBorders>
          </w:tcPr>
          <w:p w14:paraId="0A77769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(0.141)</w:t>
            </w:r>
          </w:p>
        </w:tc>
        <w:tc>
          <w:tcPr>
            <w:tcW w:w="645" w:type="pct"/>
            <w:tcBorders>
              <w:top w:val="nil"/>
              <w:left w:val="nil"/>
              <w:bottom w:val="nil"/>
              <w:right w:val="nil"/>
            </w:tcBorders>
          </w:tcPr>
          <w:p w14:paraId="240C77F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(0.046)</w:t>
            </w:r>
          </w:p>
        </w:tc>
      </w:tr>
      <w:tr w:rsidR="001631C6" w:rsidRPr="00F14EF8" w14:paraId="0D955C98" w14:textId="77777777" w:rsidTr="008F5322">
        <w:trPr>
          <w:jc w:val="center"/>
        </w:trPr>
        <w:tc>
          <w:tcPr>
            <w:tcW w:w="1275" w:type="pct"/>
            <w:tcBorders>
              <w:top w:val="nil"/>
              <w:left w:val="nil"/>
              <w:bottom w:val="nil"/>
              <w:right w:val="nil"/>
            </w:tcBorders>
            <w:vAlign w:val="center"/>
          </w:tcPr>
          <w:p w14:paraId="4AB61C88"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Firm size</w:t>
            </w:r>
          </w:p>
        </w:tc>
        <w:tc>
          <w:tcPr>
            <w:tcW w:w="397" w:type="pct"/>
            <w:tcBorders>
              <w:top w:val="nil"/>
              <w:left w:val="nil"/>
              <w:bottom w:val="nil"/>
              <w:right w:val="nil"/>
            </w:tcBorders>
          </w:tcPr>
          <w:p w14:paraId="477176F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-0.147***</w:t>
            </w:r>
          </w:p>
        </w:tc>
        <w:tc>
          <w:tcPr>
            <w:tcW w:w="397" w:type="pct"/>
            <w:tcBorders>
              <w:top w:val="nil"/>
              <w:left w:val="nil"/>
              <w:bottom w:val="nil"/>
              <w:right w:val="nil"/>
            </w:tcBorders>
          </w:tcPr>
          <w:p w14:paraId="66EE526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-0.129***</w:t>
            </w:r>
          </w:p>
        </w:tc>
        <w:tc>
          <w:tcPr>
            <w:tcW w:w="397" w:type="pct"/>
            <w:tcBorders>
              <w:top w:val="nil"/>
              <w:left w:val="nil"/>
              <w:bottom w:val="nil"/>
              <w:right w:val="nil"/>
            </w:tcBorders>
          </w:tcPr>
          <w:p w14:paraId="5FDBFD6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-0.130***</w:t>
            </w:r>
          </w:p>
        </w:tc>
        <w:tc>
          <w:tcPr>
            <w:tcW w:w="397" w:type="pct"/>
            <w:tcBorders>
              <w:top w:val="nil"/>
              <w:left w:val="nil"/>
              <w:bottom w:val="nil"/>
              <w:right w:val="nil"/>
            </w:tcBorders>
          </w:tcPr>
          <w:p w14:paraId="1594426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-0.119***</w:t>
            </w:r>
          </w:p>
        </w:tc>
        <w:tc>
          <w:tcPr>
            <w:tcW w:w="617" w:type="pct"/>
            <w:tcBorders>
              <w:top w:val="nil"/>
              <w:left w:val="nil"/>
              <w:bottom w:val="nil"/>
              <w:right w:val="nil"/>
            </w:tcBorders>
          </w:tcPr>
          <w:p w14:paraId="73C49D9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-0.028</w:t>
            </w:r>
          </w:p>
        </w:tc>
        <w:tc>
          <w:tcPr>
            <w:tcW w:w="500" w:type="pct"/>
            <w:tcBorders>
              <w:top w:val="nil"/>
              <w:left w:val="nil"/>
              <w:bottom w:val="nil"/>
              <w:right w:val="nil"/>
            </w:tcBorders>
          </w:tcPr>
          <w:p w14:paraId="58DFB0A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0.009</w:t>
            </w:r>
          </w:p>
        </w:tc>
        <w:tc>
          <w:tcPr>
            <w:tcW w:w="374" w:type="pct"/>
            <w:tcBorders>
              <w:top w:val="nil"/>
              <w:left w:val="nil"/>
              <w:bottom w:val="nil"/>
              <w:right w:val="nil"/>
            </w:tcBorders>
          </w:tcPr>
          <w:p w14:paraId="1889EDD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-0.174**</w:t>
            </w:r>
          </w:p>
        </w:tc>
        <w:tc>
          <w:tcPr>
            <w:tcW w:w="645" w:type="pct"/>
            <w:tcBorders>
              <w:top w:val="nil"/>
              <w:left w:val="nil"/>
              <w:bottom w:val="nil"/>
              <w:right w:val="nil"/>
            </w:tcBorders>
          </w:tcPr>
          <w:p w14:paraId="7E75F06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-0.107</w:t>
            </w:r>
          </w:p>
        </w:tc>
      </w:tr>
      <w:tr w:rsidR="001631C6" w:rsidRPr="00F14EF8" w14:paraId="4BDC2D62" w14:textId="77777777" w:rsidTr="008F5322">
        <w:trPr>
          <w:jc w:val="center"/>
        </w:trPr>
        <w:tc>
          <w:tcPr>
            <w:tcW w:w="1275" w:type="pct"/>
            <w:tcBorders>
              <w:top w:val="nil"/>
              <w:left w:val="nil"/>
              <w:bottom w:val="nil"/>
              <w:right w:val="nil"/>
            </w:tcBorders>
            <w:vAlign w:val="center"/>
          </w:tcPr>
          <w:p w14:paraId="360DE259"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4DB153D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(0.032)</w:t>
            </w:r>
          </w:p>
        </w:tc>
        <w:tc>
          <w:tcPr>
            <w:tcW w:w="397" w:type="pct"/>
            <w:tcBorders>
              <w:top w:val="nil"/>
              <w:left w:val="nil"/>
              <w:bottom w:val="nil"/>
              <w:right w:val="nil"/>
            </w:tcBorders>
          </w:tcPr>
          <w:p w14:paraId="26EA1AF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(0.037)</w:t>
            </w:r>
          </w:p>
        </w:tc>
        <w:tc>
          <w:tcPr>
            <w:tcW w:w="397" w:type="pct"/>
            <w:tcBorders>
              <w:top w:val="nil"/>
              <w:left w:val="nil"/>
              <w:bottom w:val="nil"/>
              <w:right w:val="nil"/>
            </w:tcBorders>
          </w:tcPr>
          <w:p w14:paraId="7E19A15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(0.037)</w:t>
            </w:r>
          </w:p>
        </w:tc>
        <w:tc>
          <w:tcPr>
            <w:tcW w:w="397" w:type="pct"/>
            <w:tcBorders>
              <w:top w:val="nil"/>
              <w:left w:val="nil"/>
              <w:bottom w:val="nil"/>
              <w:right w:val="nil"/>
            </w:tcBorders>
          </w:tcPr>
          <w:p w14:paraId="384E789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(0.038)</w:t>
            </w:r>
          </w:p>
        </w:tc>
        <w:tc>
          <w:tcPr>
            <w:tcW w:w="617" w:type="pct"/>
            <w:tcBorders>
              <w:top w:val="nil"/>
              <w:left w:val="nil"/>
              <w:bottom w:val="nil"/>
              <w:right w:val="nil"/>
            </w:tcBorders>
          </w:tcPr>
          <w:p w14:paraId="3576174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(0.027)</w:t>
            </w:r>
          </w:p>
        </w:tc>
        <w:tc>
          <w:tcPr>
            <w:tcW w:w="500" w:type="pct"/>
            <w:tcBorders>
              <w:top w:val="nil"/>
              <w:left w:val="nil"/>
              <w:bottom w:val="nil"/>
              <w:right w:val="nil"/>
            </w:tcBorders>
          </w:tcPr>
          <w:p w14:paraId="0E68868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(0.155)</w:t>
            </w:r>
          </w:p>
        </w:tc>
        <w:tc>
          <w:tcPr>
            <w:tcW w:w="374" w:type="pct"/>
            <w:tcBorders>
              <w:top w:val="nil"/>
              <w:left w:val="nil"/>
              <w:bottom w:val="nil"/>
              <w:right w:val="nil"/>
            </w:tcBorders>
          </w:tcPr>
          <w:p w14:paraId="5AFE445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(0.072)</w:t>
            </w:r>
          </w:p>
        </w:tc>
        <w:tc>
          <w:tcPr>
            <w:tcW w:w="645" w:type="pct"/>
            <w:tcBorders>
              <w:top w:val="nil"/>
              <w:left w:val="nil"/>
              <w:bottom w:val="nil"/>
              <w:right w:val="nil"/>
            </w:tcBorders>
          </w:tcPr>
          <w:p w14:paraId="67914A4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(0.152)</w:t>
            </w:r>
          </w:p>
        </w:tc>
      </w:tr>
      <w:tr w:rsidR="001631C6" w:rsidRPr="00F14EF8" w14:paraId="10C34822" w14:textId="77777777" w:rsidTr="008F5322">
        <w:trPr>
          <w:jc w:val="center"/>
        </w:trPr>
        <w:tc>
          <w:tcPr>
            <w:tcW w:w="1275" w:type="pct"/>
            <w:tcBorders>
              <w:top w:val="nil"/>
              <w:left w:val="nil"/>
              <w:bottom w:val="nil"/>
              <w:right w:val="nil"/>
            </w:tcBorders>
            <w:vAlign w:val="center"/>
          </w:tcPr>
          <w:p w14:paraId="58C5F865"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Profitability</w:t>
            </w:r>
          </w:p>
        </w:tc>
        <w:tc>
          <w:tcPr>
            <w:tcW w:w="397" w:type="pct"/>
            <w:tcBorders>
              <w:top w:val="nil"/>
              <w:left w:val="nil"/>
              <w:bottom w:val="nil"/>
              <w:right w:val="nil"/>
            </w:tcBorders>
          </w:tcPr>
          <w:p w14:paraId="3DD714D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-1.910***</w:t>
            </w:r>
          </w:p>
        </w:tc>
        <w:tc>
          <w:tcPr>
            <w:tcW w:w="397" w:type="pct"/>
            <w:tcBorders>
              <w:top w:val="nil"/>
              <w:left w:val="nil"/>
              <w:bottom w:val="nil"/>
              <w:right w:val="nil"/>
            </w:tcBorders>
          </w:tcPr>
          <w:p w14:paraId="7F46F68F"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-1.992***</w:t>
            </w:r>
          </w:p>
        </w:tc>
        <w:tc>
          <w:tcPr>
            <w:tcW w:w="397" w:type="pct"/>
            <w:tcBorders>
              <w:top w:val="nil"/>
              <w:left w:val="nil"/>
              <w:bottom w:val="nil"/>
              <w:right w:val="nil"/>
            </w:tcBorders>
          </w:tcPr>
          <w:p w14:paraId="606DBB3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-1.554**</w:t>
            </w:r>
          </w:p>
        </w:tc>
        <w:tc>
          <w:tcPr>
            <w:tcW w:w="397" w:type="pct"/>
            <w:tcBorders>
              <w:top w:val="nil"/>
              <w:left w:val="nil"/>
              <w:bottom w:val="nil"/>
              <w:right w:val="nil"/>
            </w:tcBorders>
          </w:tcPr>
          <w:p w14:paraId="6CB4232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-1.602**</w:t>
            </w:r>
          </w:p>
        </w:tc>
        <w:tc>
          <w:tcPr>
            <w:tcW w:w="617" w:type="pct"/>
            <w:tcBorders>
              <w:top w:val="nil"/>
              <w:left w:val="nil"/>
              <w:bottom w:val="nil"/>
              <w:right w:val="nil"/>
            </w:tcBorders>
          </w:tcPr>
          <w:p w14:paraId="55B5071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-1.215***</w:t>
            </w:r>
          </w:p>
        </w:tc>
        <w:tc>
          <w:tcPr>
            <w:tcW w:w="500" w:type="pct"/>
            <w:tcBorders>
              <w:top w:val="nil"/>
              <w:left w:val="nil"/>
              <w:bottom w:val="nil"/>
              <w:right w:val="nil"/>
            </w:tcBorders>
          </w:tcPr>
          <w:p w14:paraId="1CDD4C6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-0.458</w:t>
            </w:r>
          </w:p>
        </w:tc>
        <w:tc>
          <w:tcPr>
            <w:tcW w:w="374" w:type="pct"/>
            <w:tcBorders>
              <w:top w:val="nil"/>
              <w:left w:val="nil"/>
              <w:bottom w:val="nil"/>
              <w:right w:val="nil"/>
            </w:tcBorders>
          </w:tcPr>
          <w:p w14:paraId="70C9DA5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-0.390</w:t>
            </w:r>
          </w:p>
        </w:tc>
        <w:tc>
          <w:tcPr>
            <w:tcW w:w="645" w:type="pct"/>
            <w:tcBorders>
              <w:top w:val="nil"/>
              <w:left w:val="nil"/>
              <w:bottom w:val="nil"/>
              <w:right w:val="nil"/>
            </w:tcBorders>
          </w:tcPr>
          <w:p w14:paraId="0ACA5FA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-2.355***</w:t>
            </w:r>
          </w:p>
        </w:tc>
      </w:tr>
      <w:tr w:rsidR="001631C6" w:rsidRPr="00F14EF8" w14:paraId="52AB9693" w14:textId="77777777" w:rsidTr="008F5322">
        <w:trPr>
          <w:jc w:val="center"/>
        </w:trPr>
        <w:tc>
          <w:tcPr>
            <w:tcW w:w="1275" w:type="pct"/>
            <w:tcBorders>
              <w:top w:val="nil"/>
              <w:left w:val="nil"/>
              <w:bottom w:val="nil"/>
              <w:right w:val="nil"/>
            </w:tcBorders>
            <w:vAlign w:val="center"/>
          </w:tcPr>
          <w:p w14:paraId="2EB2ED03"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213B497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(0.622)</w:t>
            </w:r>
          </w:p>
        </w:tc>
        <w:tc>
          <w:tcPr>
            <w:tcW w:w="397" w:type="pct"/>
            <w:tcBorders>
              <w:top w:val="nil"/>
              <w:left w:val="nil"/>
              <w:bottom w:val="nil"/>
              <w:right w:val="nil"/>
            </w:tcBorders>
          </w:tcPr>
          <w:p w14:paraId="7A7DDE4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(0.663)</w:t>
            </w:r>
          </w:p>
        </w:tc>
        <w:tc>
          <w:tcPr>
            <w:tcW w:w="397" w:type="pct"/>
            <w:tcBorders>
              <w:top w:val="nil"/>
              <w:left w:val="nil"/>
              <w:bottom w:val="nil"/>
              <w:right w:val="nil"/>
            </w:tcBorders>
          </w:tcPr>
          <w:p w14:paraId="49C51C4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(0.661)</w:t>
            </w:r>
          </w:p>
        </w:tc>
        <w:tc>
          <w:tcPr>
            <w:tcW w:w="397" w:type="pct"/>
            <w:tcBorders>
              <w:top w:val="nil"/>
              <w:left w:val="nil"/>
              <w:bottom w:val="nil"/>
              <w:right w:val="nil"/>
            </w:tcBorders>
          </w:tcPr>
          <w:p w14:paraId="29DB1C4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(0.664)</w:t>
            </w:r>
          </w:p>
        </w:tc>
        <w:tc>
          <w:tcPr>
            <w:tcW w:w="617" w:type="pct"/>
            <w:tcBorders>
              <w:top w:val="nil"/>
              <w:left w:val="nil"/>
              <w:bottom w:val="nil"/>
              <w:right w:val="nil"/>
            </w:tcBorders>
          </w:tcPr>
          <w:p w14:paraId="55D877A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(0.444)</w:t>
            </w:r>
          </w:p>
        </w:tc>
        <w:tc>
          <w:tcPr>
            <w:tcW w:w="500" w:type="pct"/>
            <w:tcBorders>
              <w:top w:val="nil"/>
              <w:left w:val="nil"/>
              <w:bottom w:val="nil"/>
              <w:right w:val="nil"/>
            </w:tcBorders>
          </w:tcPr>
          <w:p w14:paraId="6C7333C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(3.571)</w:t>
            </w:r>
          </w:p>
        </w:tc>
        <w:tc>
          <w:tcPr>
            <w:tcW w:w="374" w:type="pct"/>
            <w:tcBorders>
              <w:top w:val="nil"/>
              <w:left w:val="nil"/>
              <w:bottom w:val="nil"/>
              <w:right w:val="nil"/>
            </w:tcBorders>
          </w:tcPr>
          <w:p w14:paraId="1A96720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(1.316)</w:t>
            </w:r>
          </w:p>
        </w:tc>
        <w:tc>
          <w:tcPr>
            <w:tcW w:w="645" w:type="pct"/>
            <w:tcBorders>
              <w:top w:val="nil"/>
              <w:left w:val="nil"/>
              <w:bottom w:val="nil"/>
              <w:right w:val="nil"/>
            </w:tcBorders>
          </w:tcPr>
          <w:p w14:paraId="18A024A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(0.600)</w:t>
            </w:r>
          </w:p>
        </w:tc>
      </w:tr>
      <w:tr w:rsidR="001631C6" w:rsidRPr="00F14EF8" w14:paraId="6DAE8840" w14:textId="77777777" w:rsidTr="008F5322">
        <w:trPr>
          <w:jc w:val="center"/>
        </w:trPr>
        <w:tc>
          <w:tcPr>
            <w:tcW w:w="1275" w:type="pct"/>
            <w:tcBorders>
              <w:top w:val="nil"/>
              <w:left w:val="nil"/>
              <w:bottom w:val="nil"/>
              <w:right w:val="nil"/>
            </w:tcBorders>
            <w:vAlign w:val="center"/>
          </w:tcPr>
          <w:p w14:paraId="1BBC792B"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Intangible assets</w:t>
            </w:r>
          </w:p>
        </w:tc>
        <w:tc>
          <w:tcPr>
            <w:tcW w:w="397" w:type="pct"/>
            <w:tcBorders>
              <w:top w:val="nil"/>
              <w:left w:val="nil"/>
              <w:bottom w:val="nil"/>
              <w:right w:val="nil"/>
            </w:tcBorders>
          </w:tcPr>
          <w:p w14:paraId="2881327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0.063</w:t>
            </w:r>
          </w:p>
        </w:tc>
        <w:tc>
          <w:tcPr>
            <w:tcW w:w="397" w:type="pct"/>
            <w:tcBorders>
              <w:top w:val="nil"/>
              <w:left w:val="nil"/>
              <w:bottom w:val="nil"/>
              <w:right w:val="nil"/>
            </w:tcBorders>
          </w:tcPr>
          <w:p w14:paraId="7F7938B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0.094</w:t>
            </w:r>
          </w:p>
        </w:tc>
        <w:tc>
          <w:tcPr>
            <w:tcW w:w="397" w:type="pct"/>
            <w:tcBorders>
              <w:top w:val="nil"/>
              <w:left w:val="nil"/>
              <w:bottom w:val="nil"/>
              <w:right w:val="nil"/>
            </w:tcBorders>
          </w:tcPr>
          <w:p w14:paraId="6881EDF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0.105</w:t>
            </w:r>
          </w:p>
        </w:tc>
        <w:tc>
          <w:tcPr>
            <w:tcW w:w="397" w:type="pct"/>
            <w:tcBorders>
              <w:top w:val="nil"/>
              <w:left w:val="nil"/>
              <w:bottom w:val="nil"/>
              <w:right w:val="nil"/>
            </w:tcBorders>
          </w:tcPr>
          <w:p w14:paraId="5B93182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0.106</w:t>
            </w:r>
          </w:p>
        </w:tc>
        <w:tc>
          <w:tcPr>
            <w:tcW w:w="617" w:type="pct"/>
            <w:tcBorders>
              <w:top w:val="nil"/>
              <w:left w:val="nil"/>
              <w:bottom w:val="nil"/>
              <w:right w:val="nil"/>
            </w:tcBorders>
          </w:tcPr>
          <w:p w14:paraId="3511D6C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0.066</w:t>
            </w:r>
          </w:p>
        </w:tc>
        <w:tc>
          <w:tcPr>
            <w:tcW w:w="500" w:type="pct"/>
            <w:tcBorders>
              <w:top w:val="nil"/>
              <w:left w:val="nil"/>
              <w:bottom w:val="nil"/>
              <w:right w:val="nil"/>
            </w:tcBorders>
          </w:tcPr>
          <w:p w14:paraId="08693E8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0.496</w:t>
            </w:r>
          </w:p>
        </w:tc>
        <w:tc>
          <w:tcPr>
            <w:tcW w:w="374" w:type="pct"/>
            <w:tcBorders>
              <w:top w:val="nil"/>
              <w:left w:val="nil"/>
              <w:bottom w:val="nil"/>
              <w:right w:val="nil"/>
            </w:tcBorders>
          </w:tcPr>
          <w:p w14:paraId="4890774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0.219</w:t>
            </w:r>
          </w:p>
        </w:tc>
        <w:tc>
          <w:tcPr>
            <w:tcW w:w="645" w:type="pct"/>
            <w:tcBorders>
              <w:top w:val="nil"/>
              <w:left w:val="nil"/>
              <w:bottom w:val="nil"/>
              <w:right w:val="nil"/>
            </w:tcBorders>
          </w:tcPr>
          <w:p w14:paraId="693D3F3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-0.054</w:t>
            </w:r>
          </w:p>
        </w:tc>
      </w:tr>
      <w:tr w:rsidR="001631C6" w:rsidRPr="00F14EF8" w14:paraId="72DBCC60" w14:textId="77777777" w:rsidTr="008F5322">
        <w:trPr>
          <w:jc w:val="center"/>
        </w:trPr>
        <w:tc>
          <w:tcPr>
            <w:tcW w:w="1275" w:type="pct"/>
            <w:tcBorders>
              <w:top w:val="nil"/>
              <w:left w:val="nil"/>
              <w:bottom w:val="nil"/>
              <w:right w:val="nil"/>
            </w:tcBorders>
            <w:vAlign w:val="center"/>
          </w:tcPr>
          <w:p w14:paraId="5BAE01B3"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3D84130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(0.124)</w:t>
            </w:r>
          </w:p>
        </w:tc>
        <w:tc>
          <w:tcPr>
            <w:tcW w:w="397" w:type="pct"/>
            <w:tcBorders>
              <w:top w:val="nil"/>
              <w:left w:val="nil"/>
              <w:bottom w:val="nil"/>
              <w:right w:val="nil"/>
            </w:tcBorders>
          </w:tcPr>
          <w:p w14:paraId="0EDA0B8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(0.135)</w:t>
            </w:r>
          </w:p>
        </w:tc>
        <w:tc>
          <w:tcPr>
            <w:tcW w:w="397" w:type="pct"/>
            <w:tcBorders>
              <w:top w:val="nil"/>
              <w:left w:val="nil"/>
              <w:bottom w:val="nil"/>
              <w:right w:val="nil"/>
            </w:tcBorders>
          </w:tcPr>
          <w:p w14:paraId="5DF9A8D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(0.133)</w:t>
            </w:r>
          </w:p>
        </w:tc>
        <w:tc>
          <w:tcPr>
            <w:tcW w:w="397" w:type="pct"/>
            <w:tcBorders>
              <w:top w:val="nil"/>
              <w:left w:val="nil"/>
              <w:bottom w:val="nil"/>
              <w:right w:val="nil"/>
            </w:tcBorders>
          </w:tcPr>
          <w:p w14:paraId="4DCF15A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(0.137)</w:t>
            </w:r>
          </w:p>
        </w:tc>
        <w:tc>
          <w:tcPr>
            <w:tcW w:w="617" w:type="pct"/>
            <w:tcBorders>
              <w:top w:val="nil"/>
              <w:left w:val="nil"/>
              <w:bottom w:val="nil"/>
              <w:right w:val="nil"/>
            </w:tcBorders>
          </w:tcPr>
          <w:p w14:paraId="1C7F51F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(0.113)</w:t>
            </w:r>
          </w:p>
        </w:tc>
        <w:tc>
          <w:tcPr>
            <w:tcW w:w="500" w:type="pct"/>
            <w:tcBorders>
              <w:top w:val="nil"/>
              <w:left w:val="nil"/>
              <w:bottom w:val="nil"/>
              <w:right w:val="nil"/>
            </w:tcBorders>
          </w:tcPr>
          <w:p w14:paraId="5B78021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(0.958)</w:t>
            </w:r>
          </w:p>
        </w:tc>
        <w:tc>
          <w:tcPr>
            <w:tcW w:w="374" w:type="pct"/>
            <w:tcBorders>
              <w:top w:val="nil"/>
              <w:left w:val="nil"/>
              <w:bottom w:val="nil"/>
              <w:right w:val="nil"/>
            </w:tcBorders>
          </w:tcPr>
          <w:p w14:paraId="25F5F1C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(0.322)</w:t>
            </w:r>
          </w:p>
        </w:tc>
        <w:tc>
          <w:tcPr>
            <w:tcW w:w="645" w:type="pct"/>
            <w:tcBorders>
              <w:top w:val="nil"/>
              <w:left w:val="nil"/>
              <w:bottom w:val="nil"/>
              <w:right w:val="nil"/>
            </w:tcBorders>
          </w:tcPr>
          <w:p w14:paraId="6748E73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(0.147)</w:t>
            </w:r>
          </w:p>
        </w:tc>
      </w:tr>
      <w:tr w:rsidR="001631C6" w:rsidRPr="00F14EF8" w14:paraId="04CF6D8D" w14:textId="77777777" w:rsidTr="008F5322">
        <w:trPr>
          <w:jc w:val="center"/>
        </w:trPr>
        <w:tc>
          <w:tcPr>
            <w:tcW w:w="1275" w:type="pct"/>
            <w:tcBorders>
              <w:top w:val="nil"/>
              <w:left w:val="nil"/>
              <w:bottom w:val="nil"/>
              <w:right w:val="nil"/>
            </w:tcBorders>
            <w:vAlign w:val="center"/>
          </w:tcPr>
          <w:p w14:paraId="753C6812"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Leverage</w:t>
            </w:r>
          </w:p>
        </w:tc>
        <w:tc>
          <w:tcPr>
            <w:tcW w:w="397" w:type="pct"/>
            <w:tcBorders>
              <w:top w:val="nil"/>
              <w:left w:val="nil"/>
              <w:bottom w:val="nil"/>
              <w:right w:val="nil"/>
            </w:tcBorders>
          </w:tcPr>
          <w:p w14:paraId="29717BA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0.401*</w:t>
            </w:r>
          </w:p>
        </w:tc>
        <w:tc>
          <w:tcPr>
            <w:tcW w:w="397" w:type="pct"/>
            <w:tcBorders>
              <w:top w:val="nil"/>
              <w:left w:val="nil"/>
              <w:bottom w:val="nil"/>
              <w:right w:val="nil"/>
            </w:tcBorders>
          </w:tcPr>
          <w:p w14:paraId="01A11B3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0.409*</w:t>
            </w:r>
          </w:p>
        </w:tc>
        <w:tc>
          <w:tcPr>
            <w:tcW w:w="397" w:type="pct"/>
            <w:tcBorders>
              <w:top w:val="nil"/>
              <w:left w:val="nil"/>
              <w:bottom w:val="nil"/>
              <w:right w:val="nil"/>
            </w:tcBorders>
          </w:tcPr>
          <w:p w14:paraId="1C9E089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0.359*</w:t>
            </w:r>
          </w:p>
        </w:tc>
        <w:tc>
          <w:tcPr>
            <w:tcW w:w="397" w:type="pct"/>
            <w:tcBorders>
              <w:top w:val="nil"/>
              <w:left w:val="nil"/>
              <w:bottom w:val="nil"/>
              <w:right w:val="nil"/>
            </w:tcBorders>
          </w:tcPr>
          <w:p w14:paraId="75BD3DA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0.363*</w:t>
            </w:r>
          </w:p>
        </w:tc>
        <w:tc>
          <w:tcPr>
            <w:tcW w:w="617" w:type="pct"/>
            <w:tcBorders>
              <w:top w:val="nil"/>
              <w:left w:val="nil"/>
              <w:bottom w:val="nil"/>
              <w:right w:val="nil"/>
            </w:tcBorders>
          </w:tcPr>
          <w:p w14:paraId="77F269F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0.397**</w:t>
            </w:r>
          </w:p>
        </w:tc>
        <w:tc>
          <w:tcPr>
            <w:tcW w:w="500" w:type="pct"/>
            <w:tcBorders>
              <w:top w:val="nil"/>
              <w:left w:val="nil"/>
              <w:bottom w:val="nil"/>
              <w:right w:val="nil"/>
            </w:tcBorders>
          </w:tcPr>
          <w:p w14:paraId="29D7555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0.408</w:t>
            </w:r>
          </w:p>
        </w:tc>
        <w:tc>
          <w:tcPr>
            <w:tcW w:w="374" w:type="pct"/>
            <w:tcBorders>
              <w:top w:val="nil"/>
              <w:left w:val="nil"/>
              <w:bottom w:val="nil"/>
              <w:right w:val="nil"/>
            </w:tcBorders>
          </w:tcPr>
          <w:p w14:paraId="44F197C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0.834</w:t>
            </w:r>
          </w:p>
        </w:tc>
        <w:tc>
          <w:tcPr>
            <w:tcW w:w="645" w:type="pct"/>
            <w:tcBorders>
              <w:top w:val="nil"/>
              <w:left w:val="nil"/>
              <w:bottom w:val="nil"/>
              <w:right w:val="nil"/>
            </w:tcBorders>
          </w:tcPr>
          <w:p w14:paraId="0358E82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0.143</w:t>
            </w:r>
          </w:p>
        </w:tc>
      </w:tr>
      <w:tr w:rsidR="001631C6" w:rsidRPr="00F14EF8" w14:paraId="4B51DB20" w14:textId="77777777" w:rsidTr="008F5322">
        <w:trPr>
          <w:jc w:val="center"/>
        </w:trPr>
        <w:tc>
          <w:tcPr>
            <w:tcW w:w="1275" w:type="pct"/>
            <w:tcBorders>
              <w:top w:val="nil"/>
              <w:left w:val="nil"/>
              <w:bottom w:val="nil"/>
              <w:right w:val="nil"/>
            </w:tcBorders>
            <w:vAlign w:val="center"/>
          </w:tcPr>
          <w:p w14:paraId="24AA68FB"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388A25D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(0.210)</w:t>
            </w:r>
          </w:p>
        </w:tc>
        <w:tc>
          <w:tcPr>
            <w:tcW w:w="397" w:type="pct"/>
            <w:tcBorders>
              <w:top w:val="nil"/>
              <w:left w:val="nil"/>
              <w:bottom w:val="nil"/>
              <w:right w:val="nil"/>
            </w:tcBorders>
          </w:tcPr>
          <w:p w14:paraId="26DAC64F"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(0.215)</w:t>
            </w:r>
          </w:p>
        </w:tc>
        <w:tc>
          <w:tcPr>
            <w:tcW w:w="397" w:type="pct"/>
            <w:tcBorders>
              <w:top w:val="nil"/>
              <w:left w:val="nil"/>
              <w:bottom w:val="nil"/>
              <w:right w:val="nil"/>
            </w:tcBorders>
          </w:tcPr>
          <w:p w14:paraId="31F67B5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(0.213)</w:t>
            </w:r>
          </w:p>
        </w:tc>
        <w:tc>
          <w:tcPr>
            <w:tcW w:w="397" w:type="pct"/>
            <w:tcBorders>
              <w:top w:val="nil"/>
              <w:left w:val="nil"/>
              <w:bottom w:val="nil"/>
              <w:right w:val="nil"/>
            </w:tcBorders>
          </w:tcPr>
          <w:p w14:paraId="57E5E29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(0.215)</w:t>
            </w:r>
          </w:p>
        </w:tc>
        <w:tc>
          <w:tcPr>
            <w:tcW w:w="617" w:type="pct"/>
            <w:tcBorders>
              <w:top w:val="nil"/>
              <w:left w:val="nil"/>
              <w:bottom w:val="nil"/>
              <w:right w:val="nil"/>
            </w:tcBorders>
          </w:tcPr>
          <w:p w14:paraId="2932809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(0.170)</w:t>
            </w:r>
          </w:p>
        </w:tc>
        <w:tc>
          <w:tcPr>
            <w:tcW w:w="500" w:type="pct"/>
            <w:tcBorders>
              <w:top w:val="nil"/>
              <w:left w:val="nil"/>
              <w:bottom w:val="nil"/>
              <w:right w:val="nil"/>
            </w:tcBorders>
          </w:tcPr>
          <w:p w14:paraId="117CE50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(0.952)</w:t>
            </w:r>
          </w:p>
        </w:tc>
        <w:tc>
          <w:tcPr>
            <w:tcW w:w="374" w:type="pct"/>
            <w:tcBorders>
              <w:top w:val="nil"/>
              <w:left w:val="nil"/>
              <w:bottom w:val="nil"/>
              <w:right w:val="nil"/>
            </w:tcBorders>
          </w:tcPr>
          <w:p w14:paraId="7F69DBE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(0.538)</w:t>
            </w:r>
          </w:p>
        </w:tc>
        <w:tc>
          <w:tcPr>
            <w:tcW w:w="645" w:type="pct"/>
            <w:tcBorders>
              <w:top w:val="nil"/>
              <w:left w:val="nil"/>
              <w:bottom w:val="nil"/>
              <w:right w:val="nil"/>
            </w:tcBorders>
          </w:tcPr>
          <w:p w14:paraId="1B273CB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(0.171)</w:t>
            </w:r>
          </w:p>
        </w:tc>
      </w:tr>
      <w:tr w:rsidR="001631C6" w:rsidRPr="00F14EF8" w14:paraId="15836CEF" w14:textId="77777777" w:rsidTr="008F5322">
        <w:trPr>
          <w:jc w:val="center"/>
        </w:trPr>
        <w:tc>
          <w:tcPr>
            <w:tcW w:w="1275" w:type="pct"/>
            <w:tcBorders>
              <w:top w:val="nil"/>
              <w:left w:val="nil"/>
              <w:bottom w:val="nil"/>
              <w:right w:val="nil"/>
            </w:tcBorders>
            <w:vAlign w:val="center"/>
          </w:tcPr>
          <w:p w14:paraId="1E504ADF"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Growth opportunities</w:t>
            </w:r>
          </w:p>
        </w:tc>
        <w:tc>
          <w:tcPr>
            <w:tcW w:w="397" w:type="pct"/>
            <w:tcBorders>
              <w:top w:val="nil"/>
              <w:left w:val="nil"/>
              <w:bottom w:val="nil"/>
              <w:right w:val="nil"/>
            </w:tcBorders>
          </w:tcPr>
          <w:p w14:paraId="0955043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-0.137**</w:t>
            </w:r>
          </w:p>
        </w:tc>
        <w:tc>
          <w:tcPr>
            <w:tcW w:w="397" w:type="pct"/>
            <w:tcBorders>
              <w:top w:val="nil"/>
              <w:left w:val="nil"/>
              <w:bottom w:val="nil"/>
              <w:right w:val="nil"/>
            </w:tcBorders>
          </w:tcPr>
          <w:p w14:paraId="1D90469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-0.147***</w:t>
            </w:r>
          </w:p>
        </w:tc>
        <w:tc>
          <w:tcPr>
            <w:tcW w:w="397" w:type="pct"/>
            <w:tcBorders>
              <w:top w:val="nil"/>
              <w:left w:val="nil"/>
              <w:bottom w:val="nil"/>
              <w:right w:val="nil"/>
            </w:tcBorders>
          </w:tcPr>
          <w:p w14:paraId="42F1E68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-0.137**</w:t>
            </w:r>
          </w:p>
        </w:tc>
        <w:tc>
          <w:tcPr>
            <w:tcW w:w="397" w:type="pct"/>
            <w:tcBorders>
              <w:top w:val="nil"/>
              <w:left w:val="nil"/>
              <w:bottom w:val="nil"/>
              <w:right w:val="nil"/>
            </w:tcBorders>
          </w:tcPr>
          <w:p w14:paraId="5526902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-0.136**</w:t>
            </w:r>
          </w:p>
        </w:tc>
        <w:tc>
          <w:tcPr>
            <w:tcW w:w="617" w:type="pct"/>
            <w:tcBorders>
              <w:top w:val="nil"/>
              <w:left w:val="nil"/>
              <w:bottom w:val="nil"/>
              <w:right w:val="nil"/>
            </w:tcBorders>
          </w:tcPr>
          <w:p w14:paraId="4376103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-0.074</w:t>
            </w:r>
          </w:p>
        </w:tc>
        <w:tc>
          <w:tcPr>
            <w:tcW w:w="500" w:type="pct"/>
            <w:tcBorders>
              <w:top w:val="nil"/>
              <w:left w:val="nil"/>
              <w:bottom w:val="nil"/>
              <w:right w:val="nil"/>
            </w:tcBorders>
          </w:tcPr>
          <w:p w14:paraId="2358460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-0.250</w:t>
            </w:r>
          </w:p>
        </w:tc>
        <w:tc>
          <w:tcPr>
            <w:tcW w:w="374" w:type="pct"/>
            <w:tcBorders>
              <w:top w:val="nil"/>
              <w:left w:val="nil"/>
              <w:bottom w:val="nil"/>
              <w:right w:val="nil"/>
            </w:tcBorders>
          </w:tcPr>
          <w:p w14:paraId="0C842C2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-0.461**</w:t>
            </w:r>
          </w:p>
        </w:tc>
        <w:tc>
          <w:tcPr>
            <w:tcW w:w="645" w:type="pct"/>
            <w:tcBorders>
              <w:top w:val="nil"/>
              <w:left w:val="nil"/>
              <w:bottom w:val="nil"/>
              <w:right w:val="nil"/>
            </w:tcBorders>
          </w:tcPr>
          <w:p w14:paraId="459F90D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-0.085</w:t>
            </w:r>
          </w:p>
        </w:tc>
      </w:tr>
      <w:tr w:rsidR="001631C6" w:rsidRPr="00F14EF8" w14:paraId="0FCAAFAE" w14:textId="77777777" w:rsidTr="008F5322">
        <w:trPr>
          <w:jc w:val="center"/>
        </w:trPr>
        <w:tc>
          <w:tcPr>
            <w:tcW w:w="1275" w:type="pct"/>
            <w:tcBorders>
              <w:top w:val="nil"/>
              <w:left w:val="nil"/>
              <w:bottom w:val="nil"/>
              <w:right w:val="nil"/>
            </w:tcBorders>
            <w:vAlign w:val="center"/>
          </w:tcPr>
          <w:p w14:paraId="6DF6B97B"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2D36876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(0.056)</w:t>
            </w:r>
          </w:p>
        </w:tc>
        <w:tc>
          <w:tcPr>
            <w:tcW w:w="397" w:type="pct"/>
            <w:tcBorders>
              <w:top w:val="nil"/>
              <w:left w:val="nil"/>
              <w:bottom w:val="nil"/>
              <w:right w:val="nil"/>
            </w:tcBorders>
          </w:tcPr>
          <w:p w14:paraId="1FF5BE5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(0.056)</w:t>
            </w:r>
          </w:p>
        </w:tc>
        <w:tc>
          <w:tcPr>
            <w:tcW w:w="397" w:type="pct"/>
            <w:tcBorders>
              <w:top w:val="nil"/>
              <w:left w:val="nil"/>
              <w:bottom w:val="nil"/>
              <w:right w:val="nil"/>
            </w:tcBorders>
          </w:tcPr>
          <w:p w14:paraId="3194828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(0.057)</w:t>
            </w:r>
          </w:p>
        </w:tc>
        <w:tc>
          <w:tcPr>
            <w:tcW w:w="397" w:type="pct"/>
            <w:tcBorders>
              <w:top w:val="nil"/>
              <w:left w:val="nil"/>
              <w:bottom w:val="nil"/>
              <w:right w:val="nil"/>
            </w:tcBorders>
          </w:tcPr>
          <w:p w14:paraId="296023E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(0.056)</w:t>
            </w:r>
          </w:p>
        </w:tc>
        <w:tc>
          <w:tcPr>
            <w:tcW w:w="617" w:type="pct"/>
            <w:tcBorders>
              <w:top w:val="nil"/>
              <w:left w:val="nil"/>
              <w:bottom w:val="nil"/>
              <w:right w:val="nil"/>
            </w:tcBorders>
          </w:tcPr>
          <w:p w14:paraId="684D100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(0.057)</w:t>
            </w:r>
          </w:p>
        </w:tc>
        <w:tc>
          <w:tcPr>
            <w:tcW w:w="500" w:type="pct"/>
            <w:tcBorders>
              <w:top w:val="nil"/>
              <w:left w:val="nil"/>
              <w:bottom w:val="nil"/>
              <w:right w:val="nil"/>
            </w:tcBorders>
          </w:tcPr>
          <w:p w14:paraId="6F6BE91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(0.446)</w:t>
            </w:r>
          </w:p>
        </w:tc>
        <w:tc>
          <w:tcPr>
            <w:tcW w:w="374" w:type="pct"/>
            <w:tcBorders>
              <w:top w:val="nil"/>
              <w:left w:val="nil"/>
              <w:bottom w:val="nil"/>
              <w:right w:val="nil"/>
            </w:tcBorders>
          </w:tcPr>
          <w:p w14:paraId="19D981A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(0.187)</w:t>
            </w:r>
          </w:p>
        </w:tc>
        <w:tc>
          <w:tcPr>
            <w:tcW w:w="645" w:type="pct"/>
            <w:tcBorders>
              <w:top w:val="nil"/>
              <w:left w:val="nil"/>
              <w:bottom w:val="nil"/>
              <w:right w:val="nil"/>
            </w:tcBorders>
          </w:tcPr>
          <w:p w14:paraId="484EBD8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(0.074)</w:t>
            </w:r>
          </w:p>
        </w:tc>
      </w:tr>
      <w:tr w:rsidR="001631C6" w:rsidRPr="00F14EF8" w14:paraId="56DF2F2A" w14:textId="77777777" w:rsidTr="008F5322">
        <w:trPr>
          <w:jc w:val="center"/>
        </w:trPr>
        <w:tc>
          <w:tcPr>
            <w:tcW w:w="1275" w:type="pct"/>
            <w:tcBorders>
              <w:top w:val="nil"/>
              <w:left w:val="nil"/>
              <w:bottom w:val="nil"/>
              <w:right w:val="nil"/>
            </w:tcBorders>
            <w:vAlign w:val="center"/>
          </w:tcPr>
          <w:p w14:paraId="6DC25770"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Government owned</w:t>
            </w:r>
          </w:p>
        </w:tc>
        <w:tc>
          <w:tcPr>
            <w:tcW w:w="397" w:type="pct"/>
            <w:tcBorders>
              <w:top w:val="nil"/>
              <w:left w:val="nil"/>
              <w:bottom w:val="nil"/>
              <w:right w:val="nil"/>
            </w:tcBorders>
          </w:tcPr>
          <w:p w14:paraId="53A14A7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0.293</w:t>
            </w:r>
          </w:p>
        </w:tc>
        <w:tc>
          <w:tcPr>
            <w:tcW w:w="397" w:type="pct"/>
            <w:tcBorders>
              <w:top w:val="nil"/>
              <w:left w:val="nil"/>
              <w:bottom w:val="nil"/>
              <w:right w:val="nil"/>
            </w:tcBorders>
          </w:tcPr>
          <w:p w14:paraId="6DB37F5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0.350*</w:t>
            </w:r>
          </w:p>
        </w:tc>
        <w:tc>
          <w:tcPr>
            <w:tcW w:w="397" w:type="pct"/>
            <w:tcBorders>
              <w:top w:val="nil"/>
              <w:left w:val="nil"/>
              <w:bottom w:val="nil"/>
              <w:right w:val="nil"/>
            </w:tcBorders>
          </w:tcPr>
          <w:p w14:paraId="1A2915F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0.394**</w:t>
            </w:r>
          </w:p>
        </w:tc>
        <w:tc>
          <w:tcPr>
            <w:tcW w:w="397" w:type="pct"/>
            <w:tcBorders>
              <w:top w:val="nil"/>
              <w:left w:val="nil"/>
              <w:bottom w:val="nil"/>
              <w:right w:val="nil"/>
            </w:tcBorders>
          </w:tcPr>
          <w:p w14:paraId="353C1A7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0.400**</w:t>
            </w:r>
          </w:p>
        </w:tc>
        <w:tc>
          <w:tcPr>
            <w:tcW w:w="617" w:type="pct"/>
            <w:tcBorders>
              <w:top w:val="nil"/>
              <w:left w:val="nil"/>
              <w:bottom w:val="nil"/>
              <w:right w:val="nil"/>
            </w:tcBorders>
          </w:tcPr>
          <w:p w14:paraId="5DD0257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0.041</w:t>
            </w:r>
          </w:p>
        </w:tc>
        <w:tc>
          <w:tcPr>
            <w:tcW w:w="500" w:type="pct"/>
            <w:tcBorders>
              <w:top w:val="nil"/>
              <w:left w:val="nil"/>
              <w:bottom w:val="nil"/>
              <w:right w:val="nil"/>
            </w:tcBorders>
          </w:tcPr>
          <w:p w14:paraId="153B199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0.970*</w:t>
            </w:r>
          </w:p>
        </w:tc>
        <w:tc>
          <w:tcPr>
            <w:tcW w:w="374" w:type="pct"/>
            <w:tcBorders>
              <w:top w:val="nil"/>
              <w:left w:val="nil"/>
              <w:bottom w:val="nil"/>
              <w:right w:val="nil"/>
            </w:tcBorders>
          </w:tcPr>
          <w:p w14:paraId="1751358F"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-0.366</w:t>
            </w:r>
          </w:p>
        </w:tc>
        <w:tc>
          <w:tcPr>
            <w:tcW w:w="645" w:type="pct"/>
            <w:tcBorders>
              <w:top w:val="nil"/>
              <w:left w:val="nil"/>
              <w:bottom w:val="nil"/>
              <w:right w:val="nil"/>
            </w:tcBorders>
          </w:tcPr>
          <w:p w14:paraId="21806CE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0.319</w:t>
            </w:r>
          </w:p>
        </w:tc>
      </w:tr>
      <w:tr w:rsidR="001631C6" w:rsidRPr="00F14EF8" w14:paraId="7E3B9C18" w14:textId="77777777" w:rsidTr="008F5322">
        <w:trPr>
          <w:jc w:val="center"/>
        </w:trPr>
        <w:tc>
          <w:tcPr>
            <w:tcW w:w="1275" w:type="pct"/>
            <w:tcBorders>
              <w:top w:val="nil"/>
              <w:left w:val="nil"/>
              <w:bottom w:val="nil"/>
              <w:right w:val="nil"/>
            </w:tcBorders>
            <w:vAlign w:val="center"/>
          </w:tcPr>
          <w:p w14:paraId="4B213626"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54272C1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(0.179)</w:t>
            </w:r>
          </w:p>
        </w:tc>
        <w:tc>
          <w:tcPr>
            <w:tcW w:w="397" w:type="pct"/>
            <w:tcBorders>
              <w:top w:val="nil"/>
              <w:left w:val="nil"/>
              <w:bottom w:val="nil"/>
              <w:right w:val="nil"/>
            </w:tcBorders>
          </w:tcPr>
          <w:p w14:paraId="7DD44C5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(0.185)</w:t>
            </w:r>
          </w:p>
        </w:tc>
        <w:tc>
          <w:tcPr>
            <w:tcW w:w="397" w:type="pct"/>
            <w:tcBorders>
              <w:top w:val="nil"/>
              <w:left w:val="nil"/>
              <w:bottom w:val="nil"/>
              <w:right w:val="nil"/>
            </w:tcBorders>
          </w:tcPr>
          <w:p w14:paraId="5481B6D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(0.183)</w:t>
            </w:r>
          </w:p>
        </w:tc>
        <w:tc>
          <w:tcPr>
            <w:tcW w:w="397" w:type="pct"/>
            <w:tcBorders>
              <w:top w:val="nil"/>
              <w:left w:val="nil"/>
              <w:bottom w:val="nil"/>
              <w:right w:val="nil"/>
            </w:tcBorders>
          </w:tcPr>
          <w:p w14:paraId="0F4F4AA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(0.182)</w:t>
            </w:r>
          </w:p>
        </w:tc>
        <w:tc>
          <w:tcPr>
            <w:tcW w:w="617" w:type="pct"/>
            <w:tcBorders>
              <w:top w:val="nil"/>
              <w:left w:val="nil"/>
              <w:bottom w:val="nil"/>
              <w:right w:val="nil"/>
            </w:tcBorders>
          </w:tcPr>
          <w:p w14:paraId="6FF0345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(0.098)</w:t>
            </w:r>
          </w:p>
        </w:tc>
        <w:tc>
          <w:tcPr>
            <w:tcW w:w="500" w:type="pct"/>
            <w:tcBorders>
              <w:top w:val="nil"/>
              <w:left w:val="nil"/>
              <w:bottom w:val="nil"/>
              <w:right w:val="nil"/>
            </w:tcBorders>
          </w:tcPr>
          <w:p w14:paraId="6D14227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(0.495)</w:t>
            </w:r>
          </w:p>
        </w:tc>
        <w:tc>
          <w:tcPr>
            <w:tcW w:w="374" w:type="pct"/>
            <w:tcBorders>
              <w:top w:val="nil"/>
              <w:left w:val="nil"/>
              <w:bottom w:val="nil"/>
              <w:right w:val="nil"/>
            </w:tcBorders>
          </w:tcPr>
          <w:p w14:paraId="387A8EF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(0.344)</w:t>
            </w:r>
          </w:p>
        </w:tc>
        <w:tc>
          <w:tcPr>
            <w:tcW w:w="645" w:type="pct"/>
            <w:tcBorders>
              <w:top w:val="nil"/>
              <w:left w:val="nil"/>
              <w:bottom w:val="nil"/>
              <w:right w:val="nil"/>
            </w:tcBorders>
          </w:tcPr>
          <w:p w14:paraId="50CA5C1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(0.379)</w:t>
            </w:r>
          </w:p>
        </w:tc>
      </w:tr>
      <w:tr w:rsidR="001631C6" w:rsidRPr="00F14EF8" w14:paraId="1E1B220B" w14:textId="77777777" w:rsidTr="008F5322">
        <w:trPr>
          <w:jc w:val="center"/>
        </w:trPr>
        <w:tc>
          <w:tcPr>
            <w:tcW w:w="1275" w:type="pct"/>
            <w:tcBorders>
              <w:top w:val="nil"/>
              <w:left w:val="nil"/>
              <w:bottom w:val="nil"/>
              <w:right w:val="nil"/>
            </w:tcBorders>
            <w:vAlign w:val="center"/>
          </w:tcPr>
          <w:p w14:paraId="4FE03855"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Maturity</w:t>
            </w:r>
          </w:p>
        </w:tc>
        <w:tc>
          <w:tcPr>
            <w:tcW w:w="397" w:type="pct"/>
            <w:tcBorders>
              <w:top w:val="nil"/>
              <w:left w:val="nil"/>
              <w:bottom w:val="nil"/>
              <w:right w:val="nil"/>
            </w:tcBorders>
          </w:tcPr>
          <w:p w14:paraId="67DDF93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0.117***</w:t>
            </w:r>
          </w:p>
        </w:tc>
        <w:tc>
          <w:tcPr>
            <w:tcW w:w="397" w:type="pct"/>
            <w:tcBorders>
              <w:top w:val="nil"/>
              <w:left w:val="nil"/>
              <w:bottom w:val="nil"/>
              <w:right w:val="nil"/>
            </w:tcBorders>
          </w:tcPr>
          <w:p w14:paraId="49AE486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0.130***</w:t>
            </w:r>
          </w:p>
        </w:tc>
        <w:tc>
          <w:tcPr>
            <w:tcW w:w="397" w:type="pct"/>
            <w:tcBorders>
              <w:top w:val="nil"/>
              <w:left w:val="nil"/>
              <w:bottom w:val="nil"/>
              <w:right w:val="nil"/>
            </w:tcBorders>
          </w:tcPr>
          <w:p w14:paraId="3E1CBC0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0.097**</w:t>
            </w:r>
          </w:p>
        </w:tc>
        <w:tc>
          <w:tcPr>
            <w:tcW w:w="397" w:type="pct"/>
            <w:tcBorders>
              <w:top w:val="nil"/>
              <w:left w:val="nil"/>
              <w:bottom w:val="nil"/>
              <w:right w:val="nil"/>
            </w:tcBorders>
          </w:tcPr>
          <w:p w14:paraId="6F66819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0.105**</w:t>
            </w:r>
          </w:p>
        </w:tc>
        <w:tc>
          <w:tcPr>
            <w:tcW w:w="617" w:type="pct"/>
            <w:tcBorders>
              <w:top w:val="nil"/>
              <w:left w:val="nil"/>
              <w:bottom w:val="nil"/>
              <w:right w:val="nil"/>
            </w:tcBorders>
          </w:tcPr>
          <w:p w14:paraId="4A86029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0.282***</w:t>
            </w:r>
          </w:p>
        </w:tc>
        <w:tc>
          <w:tcPr>
            <w:tcW w:w="500" w:type="pct"/>
            <w:tcBorders>
              <w:top w:val="nil"/>
              <w:left w:val="nil"/>
              <w:bottom w:val="nil"/>
              <w:right w:val="nil"/>
            </w:tcBorders>
          </w:tcPr>
          <w:p w14:paraId="121DAC5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0.200</w:t>
            </w:r>
          </w:p>
        </w:tc>
        <w:tc>
          <w:tcPr>
            <w:tcW w:w="374" w:type="pct"/>
            <w:tcBorders>
              <w:top w:val="nil"/>
              <w:left w:val="nil"/>
              <w:bottom w:val="nil"/>
              <w:right w:val="nil"/>
            </w:tcBorders>
          </w:tcPr>
          <w:p w14:paraId="1768CDB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-0.056</w:t>
            </w:r>
          </w:p>
        </w:tc>
        <w:tc>
          <w:tcPr>
            <w:tcW w:w="645" w:type="pct"/>
            <w:tcBorders>
              <w:top w:val="nil"/>
              <w:left w:val="nil"/>
              <w:bottom w:val="nil"/>
              <w:right w:val="nil"/>
            </w:tcBorders>
          </w:tcPr>
          <w:p w14:paraId="2AA885A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0.281***</w:t>
            </w:r>
          </w:p>
        </w:tc>
      </w:tr>
      <w:tr w:rsidR="001631C6" w:rsidRPr="00F14EF8" w14:paraId="79906433" w14:textId="77777777" w:rsidTr="008F5322">
        <w:trPr>
          <w:jc w:val="center"/>
        </w:trPr>
        <w:tc>
          <w:tcPr>
            <w:tcW w:w="1275" w:type="pct"/>
            <w:tcBorders>
              <w:top w:val="nil"/>
              <w:left w:val="nil"/>
              <w:bottom w:val="nil"/>
              <w:right w:val="nil"/>
            </w:tcBorders>
            <w:vAlign w:val="center"/>
          </w:tcPr>
          <w:p w14:paraId="11F5CE73"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1DFDCC1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(0.045)</w:t>
            </w:r>
          </w:p>
        </w:tc>
        <w:tc>
          <w:tcPr>
            <w:tcW w:w="397" w:type="pct"/>
            <w:tcBorders>
              <w:top w:val="nil"/>
              <w:left w:val="nil"/>
              <w:bottom w:val="nil"/>
              <w:right w:val="nil"/>
            </w:tcBorders>
          </w:tcPr>
          <w:p w14:paraId="2C8AB48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(0.046)</w:t>
            </w:r>
          </w:p>
        </w:tc>
        <w:tc>
          <w:tcPr>
            <w:tcW w:w="397" w:type="pct"/>
            <w:tcBorders>
              <w:top w:val="nil"/>
              <w:left w:val="nil"/>
              <w:bottom w:val="nil"/>
              <w:right w:val="nil"/>
            </w:tcBorders>
          </w:tcPr>
          <w:p w14:paraId="603C0DF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(0.049)</w:t>
            </w:r>
          </w:p>
        </w:tc>
        <w:tc>
          <w:tcPr>
            <w:tcW w:w="397" w:type="pct"/>
            <w:tcBorders>
              <w:top w:val="nil"/>
              <w:left w:val="nil"/>
              <w:bottom w:val="nil"/>
              <w:right w:val="nil"/>
            </w:tcBorders>
          </w:tcPr>
          <w:p w14:paraId="7AF0605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(0.050)</w:t>
            </w:r>
          </w:p>
        </w:tc>
        <w:tc>
          <w:tcPr>
            <w:tcW w:w="617" w:type="pct"/>
            <w:tcBorders>
              <w:top w:val="nil"/>
              <w:left w:val="nil"/>
              <w:bottom w:val="nil"/>
              <w:right w:val="nil"/>
            </w:tcBorders>
          </w:tcPr>
          <w:p w14:paraId="72AC0E5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(0.038)</w:t>
            </w:r>
          </w:p>
        </w:tc>
        <w:tc>
          <w:tcPr>
            <w:tcW w:w="500" w:type="pct"/>
            <w:tcBorders>
              <w:top w:val="nil"/>
              <w:left w:val="nil"/>
              <w:bottom w:val="nil"/>
              <w:right w:val="nil"/>
            </w:tcBorders>
          </w:tcPr>
          <w:p w14:paraId="4DAF16D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(0.174)</w:t>
            </w:r>
          </w:p>
        </w:tc>
        <w:tc>
          <w:tcPr>
            <w:tcW w:w="374" w:type="pct"/>
            <w:tcBorders>
              <w:top w:val="nil"/>
              <w:left w:val="nil"/>
              <w:bottom w:val="nil"/>
              <w:right w:val="nil"/>
            </w:tcBorders>
          </w:tcPr>
          <w:p w14:paraId="510B297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(0.105)</w:t>
            </w:r>
          </w:p>
        </w:tc>
        <w:tc>
          <w:tcPr>
            <w:tcW w:w="645" w:type="pct"/>
            <w:tcBorders>
              <w:top w:val="nil"/>
              <w:left w:val="nil"/>
              <w:bottom w:val="nil"/>
              <w:right w:val="nil"/>
            </w:tcBorders>
          </w:tcPr>
          <w:p w14:paraId="3442966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(0.049)</w:t>
            </w:r>
          </w:p>
        </w:tc>
      </w:tr>
      <w:tr w:rsidR="001631C6" w:rsidRPr="00F14EF8" w14:paraId="342F08CA" w14:textId="77777777" w:rsidTr="008F5322">
        <w:trPr>
          <w:jc w:val="center"/>
        </w:trPr>
        <w:tc>
          <w:tcPr>
            <w:tcW w:w="1275" w:type="pct"/>
            <w:tcBorders>
              <w:top w:val="nil"/>
              <w:left w:val="nil"/>
              <w:bottom w:val="nil"/>
              <w:right w:val="nil"/>
            </w:tcBorders>
            <w:vAlign w:val="center"/>
          </w:tcPr>
          <w:p w14:paraId="3360EB9E"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Tranche size</w:t>
            </w:r>
          </w:p>
        </w:tc>
        <w:tc>
          <w:tcPr>
            <w:tcW w:w="397" w:type="pct"/>
            <w:tcBorders>
              <w:top w:val="nil"/>
              <w:left w:val="nil"/>
              <w:bottom w:val="nil"/>
              <w:right w:val="nil"/>
            </w:tcBorders>
          </w:tcPr>
          <w:p w14:paraId="283BE63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0.055***</w:t>
            </w:r>
          </w:p>
        </w:tc>
        <w:tc>
          <w:tcPr>
            <w:tcW w:w="397" w:type="pct"/>
            <w:tcBorders>
              <w:top w:val="nil"/>
              <w:left w:val="nil"/>
              <w:bottom w:val="nil"/>
              <w:right w:val="nil"/>
            </w:tcBorders>
          </w:tcPr>
          <w:p w14:paraId="1CFC83D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0.026***</w:t>
            </w:r>
          </w:p>
        </w:tc>
        <w:tc>
          <w:tcPr>
            <w:tcW w:w="397" w:type="pct"/>
            <w:tcBorders>
              <w:top w:val="nil"/>
              <w:left w:val="nil"/>
              <w:bottom w:val="nil"/>
              <w:right w:val="nil"/>
            </w:tcBorders>
          </w:tcPr>
          <w:p w14:paraId="1E5A5BC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0.031***</w:t>
            </w:r>
          </w:p>
        </w:tc>
        <w:tc>
          <w:tcPr>
            <w:tcW w:w="397" w:type="pct"/>
            <w:tcBorders>
              <w:top w:val="nil"/>
              <w:left w:val="nil"/>
              <w:bottom w:val="nil"/>
              <w:right w:val="nil"/>
            </w:tcBorders>
          </w:tcPr>
          <w:p w14:paraId="0B7F62C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-0.000</w:t>
            </w:r>
          </w:p>
        </w:tc>
        <w:tc>
          <w:tcPr>
            <w:tcW w:w="617" w:type="pct"/>
            <w:tcBorders>
              <w:top w:val="nil"/>
              <w:left w:val="nil"/>
              <w:bottom w:val="nil"/>
              <w:right w:val="nil"/>
            </w:tcBorders>
          </w:tcPr>
          <w:p w14:paraId="30FDD18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0.050</w:t>
            </w:r>
          </w:p>
        </w:tc>
        <w:tc>
          <w:tcPr>
            <w:tcW w:w="500" w:type="pct"/>
            <w:tcBorders>
              <w:top w:val="nil"/>
              <w:left w:val="nil"/>
              <w:bottom w:val="nil"/>
              <w:right w:val="nil"/>
            </w:tcBorders>
          </w:tcPr>
          <w:p w14:paraId="145AE77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-0.017</w:t>
            </w:r>
          </w:p>
        </w:tc>
        <w:tc>
          <w:tcPr>
            <w:tcW w:w="374" w:type="pct"/>
            <w:tcBorders>
              <w:top w:val="nil"/>
              <w:left w:val="nil"/>
              <w:bottom w:val="nil"/>
              <w:right w:val="nil"/>
            </w:tcBorders>
          </w:tcPr>
          <w:p w14:paraId="7E6F143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0.273*</w:t>
            </w:r>
          </w:p>
        </w:tc>
        <w:tc>
          <w:tcPr>
            <w:tcW w:w="645" w:type="pct"/>
            <w:tcBorders>
              <w:top w:val="nil"/>
              <w:left w:val="nil"/>
              <w:bottom w:val="nil"/>
              <w:right w:val="nil"/>
            </w:tcBorders>
          </w:tcPr>
          <w:p w14:paraId="0666E36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0.127**</w:t>
            </w:r>
          </w:p>
        </w:tc>
      </w:tr>
      <w:tr w:rsidR="001631C6" w:rsidRPr="00F14EF8" w14:paraId="40E90898" w14:textId="77777777" w:rsidTr="008F5322">
        <w:trPr>
          <w:jc w:val="center"/>
        </w:trPr>
        <w:tc>
          <w:tcPr>
            <w:tcW w:w="1275" w:type="pct"/>
            <w:tcBorders>
              <w:top w:val="nil"/>
              <w:left w:val="nil"/>
              <w:bottom w:val="nil"/>
              <w:right w:val="nil"/>
            </w:tcBorders>
            <w:vAlign w:val="center"/>
          </w:tcPr>
          <w:p w14:paraId="0B70F877"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07F8A0D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(0.006)</w:t>
            </w:r>
          </w:p>
        </w:tc>
        <w:tc>
          <w:tcPr>
            <w:tcW w:w="397" w:type="pct"/>
            <w:tcBorders>
              <w:top w:val="nil"/>
              <w:left w:val="nil"/>
              <w:bottom w:val="nil"/>
              <w:right w:val="nil"/>
            </w:tcBorders>
          </w:tcPr>
          <w:p w14:paraId="683FD12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(0.006)</w:t>
            </w:r>
          </w:p>
        </w:tc>
        <w:tc>
          <w:tcPr>
            <w:tcW w:w="397" w:type="pct"/>
            <w:tcBorders>
              <w:top w:val="nil"/>
              <w:left w:val="nil"/>
              <w:bottom w:val="nil"/>
              <w:right w:val="nil"/>
            </w:tcBorders>
          </w:tcPr>
          <w:p w14:paraId="73482FC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(0.006)</w:t>
            </w:r>
          </w:p>
        </w:tc>
        <w:tc>
          <w:tcPr>
            <w:tcW w:w="397" w:type="pct"/>
            <w:tcBorders>
              <w:top w:val="nil"/>
              <w:left w:val="nil"/>
              <w:bottom w:val="nil"/>
              <w:right w:val="nil"/>
            </w:tcBorders>
          </w:tcPr>
          <w:p w14:paraId="335D678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(0.012)</w:t>
            </w:r>
          </w:p>
        </w:tc>
        <w:tc>
          <w:tcPr>
            <w:tcW w:w="617" w:type="pct"/>
            <w:tcBorders>
              <w:top w:val="nil"/>
              <w:left w:val="nil"/>
              <w:bottom w:val="nil"/>
              <w:right w:val="nil"/>
            </w:tcBorders>
          </w:tcPr>
          <w:p w14:paraId="215A045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(0.046)</w:t>
            </w:r>
          </w:p>
        </w:tc>
        <w:tc>
          <w:tcPr>
            <w:tcW w:w="500" w:type="pct"/>
            <w:tcBorders>
              <w:top w:val="nil"/>
              <w:left w:val="nil"/>
              <w:bottom w:val="nil"/>
              <w:right w:val="nil"/>
            </w:tcBorders>
          </w:tcPr>
          <w:p w14:paraId="1565EE2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(0.257)</w:t>
            </w:r>
          </w:p>
        </w:tc>
        <w:tc>
          <w:tcPr>
            <w:tcW w:w="374" w:type="pct"/>
            <w:tcBorders>
              <w:top w:val="nil"/>
              <w:left w:val="nil"/>
              <w:bottom w:val="nil"/>
              <w:right w:val="nil"/>
            </w:tcBorders>
          </w:tcPr>
          <w:p w14:paraId="026D1E0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(0.143)</w:t>
            </w:r>
          </w:p>
        </w:tc>
        <w:tc>
          <w:tcPr>
            <w:tcW w:w="645" w:type="pct"/>
            <w:tcBorders>
              <w:top w:val="nil"/>
              <w:left w:val="nil"/>
              <w:bottom w:val="nil"/>
              <w:right w:val="nil"/>
            </w:tcBorders>
          </w:tcPr>
          <w:p w14:paraId="2F25318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(0.061)</w:t>
            </w:r>
          </w:p>
        </w:tc>
      </w:tr>
      <w:tr w:rsidR="001631C6" w:rsidRPr="00F14EF8" w14:paraId="33CE1422" w14:textId="77777777" w:rsidTr="008F5322">
        <w:trPr>
          <w:jc w:val="center"/>
        </w:trPr>
        <w:tc>
          <w:tcPr>
            <w:tcW w:w="1275" w:type="pct"/>
            <w:tcBorders>
              <w:top w:val="nil"/>
              <w:left w:val="nil"/>
              <w:bottom w:val="nil"/>
              <w:right w:val="nil"/>
            </w:tcBorders>
            <w:vAlign w:val="center"/>
          </w:tcPr>
          <w:p w14:paraId="46FB7AD2"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Multi-tranche</w:t>
            </w:r>
          </w:p>
        </w:tc>
        <w:tc>
          <w:tcPr>
            <w:tcW w:w="397" w:type="pct"/>
            <w:tcBorders>
              <w:top w:val="nil"/>
              <w:left w:val="nil"/>
              <w:bottom w:val="nil"/>
              <w:right w:val="nil"/>
            </w:tcBorders>
          </w:tcPr>
          <w:p w14:paraId="38A3AEB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-0.032</w:t>
            </w:r>
          </w:p>
        </w:tc>
        <w:tc>
          <w:tcPr>
            <w:tcW w:w="397" w:type="pct"/>
            <w:tcBorders>
              <w:top w:val="nil"/>
              <w:left w:val="nil"/>
              <w:bottom w:val="nil"/>
              <w:right w:val="nil"/>
            </w:tcBorders>
          </w:tcPr>
          <w:p w14:paraId="7A71A56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-0.059</w:t>
            </w:r>
          </w:p>
        </w:tc>
        <w:tc>
          <w:tcPr>
            <w:tcW w:w="397" w:type="pct"/>
            <w:tcBorders>
              <w:top w:val="nil"/>
              <w:left w:val="nil"/>
              <w:bottom w:val="nil"/>
              <w:right w:val="nil"/>
            </w:tcBorders>
          </w:tcPr>
          <w:p w14:paraId="74E41A5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-0.051</w:t>
            </w:r>
          </w:p>
        </w:tc>
        <w:tc>
          <w:tcPr>
            <w:tcW w:w="397" w:type="pct"/>
            <w:tcBorders>
              <w:top w:val="nil"/>
              <w:left w:val="nil"/>
              <w:bottom w:val="nil"/>
              <w:right w:val="nil"/>
            </w:tcBorders>
          </w:tcPr>
          <w:p w14:paraId="6DD464F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-0.057</w:t>
            </w:r>
          </w:p>
        </w:tc>
        <w:tc>
          <w:tcPr>
            <w:tcW w:w="617" w:type="pct"/>
            <w:tcBorders>
              <w:top w:val="nil"/>
              <w:left w:val="nil"/>
              <w:bottom w:val="nil"/>
              <w:right w:val="nil"/>
            </w:tcBorders>
          </w:tcPr>
          <w:p w14:paraId="0832F37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0.029</w:t>
            </w:r>
          </w:p>
        </w:tc>
        <w:tc>
          <w:tcPr>
            <w:tcW w:w="500" w:type="pct"/>
            <w:tcBorders>
              <w:top w:val="nil"/>
              <w:left w:val="nil"/>
              <w:bottom w:val="nil"/>
              <w:right w:val="nil"/>
            </w:tcBorders>
          </w:tcPr>
          <w:p w14:paraId="25B3B11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-0.120</w:t>
            </w:r>
          </w:p>
        </w:tc>
        <w:tc>
          <w:tcPr>
            <w:tcW w:w="374" w:type="pct"/>
            <w:tcBorders>
              <w:top w:val="nil"/>
              <w:left w:val="nil"/>
              <w:bottom w:val="nil"/>
              <w:right w:val="nil"/>
            </w:tcBorders>
          </w:tcPr>
          <w:p w14:paraId="799D9F6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-0.113</w:t>
            </w:r>
          </w:p>
        </w:tc>
        <w:tc>
          <w:tcPr>
            <w:tcW w:w="645" w:type="pct"/>
            <w:tcBorders>
              <w:top w:val="nil"/>
              <w:left w:val="nil"/>
              <w:bottom w:val="nil"/>
              <w:right w:val="nil"/>
            </w:tcBorders>
          </w:tcPr>
          <w:p w14:paraId="2EF97A1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0.071</w:t>
            </w:r>
          </w:p>
        </w:tc>
      </w:tr>
      <w:tr w:rsidR="001631C6" w:rsidRPr="00F14EF8" w14:paraId="498EFD49" w14:textId="77777777" w:rsidTr="008F5322">
        <w:trPr>
          <w:jc w:val="center"/>
        </w:trPr>
        <w:tc>
          <w:tcPr>
            <w:tcW w:w="1275" w:type="pct"/>
            <w:tcBorders>
              <w:top w:val="nil"/>
              <w:left w:val="nil"/>
              <w:bottom w:val="nil"/>
              <w:right w:val="nil"/>
            </w:tcBorders>
            <w:vAlign w:val="center"/>
          </w:tcPr>
          <w:p w14:paraId="03E72A48"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564DBC0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(0.052)</w:t>
            </w:r>
          </w:p>
        </w:tc>
        <w:tc>
          <w:tcPr>
            <w:tcW w:w="397" w:type="pct"/>
            <w:tcBorders>
              <w:top w:val="nil"/>
              <w:left w:val="nil"/>
              <w:bottom w:val="nil"/>
              <w:right w:val="nil"/>
            </w:tcBorders>
          </w:tcPr>
          <w:p w14:paraId="7F3381B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(0.053)</w:t>
            </w:r>
          </w:p>
        </w:tc>
        <w:tc>
          <w:tcPr>
            <w:tcW w:w="397" w:type="pct"/>
            <w:tcBorders>
              <w:top w:val="nil"/>
              <w:left w:val="nil"/>
              <w:bottom w:val="nil"/>
              <w:right w:val="nil"/>
            </w:tcBorders>
          </w:tcPr>
          <w:p w14:paraId="7604C25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(0.052)</w:t>
            </w:r>
          </w:p>
        </w:tc>
        <w:tc>
          <w:tcPr>
            <w:tcW w:w="397" w:type="pct"/>
            <w:tcBorders>
              <w:top w:val="nil"/>
              <w:left w:val="nil"/>
              <w:bottom w:val="nil"/>
              <w:right w:val="nil"/>
            </w:tcBorders>
          </w:tcPr>
          <w:p w14:paraId="2F9F801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(0.053)</w:t>
            </w:r>
          </w:p>
        </w:tc>
        <w:tc>
          <w:tcPr>
            <w:tcW w:w="617" w:type="pct"/>
            <w:tcBorders>
              <w:top w:val="nil"/>
              <w:left w:val="nil"/>
              <w:bottom w:val="nil"/>
              <w:right w:val="nil"/>
            </w:tcBorders>
          </w:tcPr>
          <w:p w14:paraId="15026E3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(0.053)</w:t>
            </w:r>
          </w:p>
        </w:tc>
        <w:tc>
          <w:tcPr>
            <w:tcW w:w="500" w:type="pct"/>
            <w:tcBorders>
              <w:top w:val="nil"/>
              <w:left w:val="nil"/>
              <w:bottom w:val="nil"/>
              <w:right w:val="nil"/>
            </w:tcBorders>
          </w:tcPr>
          <w:p w14:paraId="194A143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(0.231)</w:t>
            </w:r>
          </w:p>
        </w:tc>
        <w:tc>
          <w:tcPr>
            <w:tcW w:w="374" w:type="pct"/>
            <w:tcBorders>
              <w:top w:val="nil"/>
              <w:left w:val="nil"/>
              <w:bottom w:val="nil"/>
              <w:right w:val="nil"/>
            </w:tcBorders>
          </w:tcPr>
          <w:p w14:paraId="49F711BF"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(0.128)</w:t>
            </w:r>
          </w:p>
        </w:tc>
        <w:tc>
          <w:tcPr>
            <w:tcW w:w="645" w:type="pct"/>
            <w:tcBorders>
              <w:top w:val="nil"/>
              <w:left w:val="nil"/>
              <w:bottom w:val="nil"/>
              <w:right w:val="nil"/>
            </w:tcBorders>
          </w:tcPr>
          <w:p w14:paraId="26709EF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(0.087)</w:t>
            </w:r>
          </w:p>
        </w:tc>
      </w:tr>
      <w:tr w:rsidR="001631C6" w:rsidRPr="00F14EF8" w14:paraId="601577F5" w14:textId="77777777" w:rsidTr="008F5322">
        <w:trPr>
          <w:jc w:val="center"/>
        </w:trPr>
        <w:tc>
          <w:tcPr>
            <w:tcW w:w="1275" w:type="pct"/>
            <w:tcBorders>
              <w:top w:val="nil"/>
              <w:left w:val="nil"/>
              <w:bottom w:val="nil"/>
              <w:right w:val="nil"/>
            </w:tcBorders>
            <w:vAlign w:val="center"/>
          </w:tcPr>
          <w:p w14:paraId="0D97C306"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AA-BBB spread</w:t>
            </w:r>
          </w:p>
        </w:tc>
        <w:tc>
          <w:tcPr>
            <w:tcW w:w="397" w:type="pct"/>
            <w:tcBorders>
              <w:top w:val="nil"/>
              <w:left w:val="nil"/>
              <w:bottom w:val="nil"/>
              <w:right w:val="nil"/>
            </w:tcBorders>
          </w:tcPr>
          <w:p w14:paraId="1221671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0.433***</w:t>
            </w:r>
          </w:p>
        </w:tc>
        <w:tc>
          <w:tcPr>
            <w:tcW w:w="397" w:type="pct"/>
            <w:tcBorders>
              <w:top w:val="nil"/>
              <w:left w:val="nil"/>
              <w:bottom w:val="nil"/>
              <w:right w:val="nil"/>
            </w:tcBorders>
          </w:tcPr>
          <w:p w14:paraId="267BBF4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0.443***</w:t>
            </w:r>
          </w:p>
        </w:tc>
        <w:tc>
          <w:tcPr>
            <w:tcW w:w="397" w:type="pct"/>
            <w:tcBorders>
              <w:top w:val="nil"/>
              <w:left w:val="nil"/>
              <w:bottom w:val="nil"/>
              <w:right w:val="nil"/>
            </w:tcBorders>
          </w:tcPr>
          <w:p w14:paraId="746516C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0.545***</w:t>
            </w:r>
          </w:p>
        </w:tc>
        <w:tc>
          <w:tcPr>
            <w:tcW w:w="397" w:type="pct"/>
            <w:tcBorders>
              <w:top w:val="nil"/>
              <w:left w:val="nil"/>
              <w:bottom w:val="nil"/>
              <w:right w:val="nil"/>
            </w:tcBorders>
          </w:tcPr>
          <w:p w14:paraId="652794E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0.561***</w:t>
            </w:r>
          </w:p>
        </w:tc>
        <w:tc>
          <w:tcPr>
            <w:tcW w:w="617" w:type="pct"/>
            <w:tcBorders>
              <w:top w:val="nil"/>
              <w:left w:val="nil"/>
              <w:bottom w:val="nil"/>
              <w:right w:val="nil"/>
            </w:tcBorders>
          </w:tcPr>
          <w:p w14:paraId="3A8930A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0.158**</w:t>
            </w:r>
          </w:p>
        </w:tc>
        <w:tc>
          <w:tcPr>
            <w:tcW w:w="500" w:type="pct"/>
            <w:tcBorders>
              <w:top w:val="nil"/>
              <w:left w:val="nil"/>
              <w:bottom w:val="nil"/>
              <w:right w:val="nil"/>
            </w:tcBorders>
          </w:tcPr>
          <w:p w14:paraId="3C1B2C8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0.423***</w:t>
            </w:r>
          </w:p>
        </w:tc>
        <w:tc>
          <w:tcPr>
            <w:tcW w:w="374" w:type="pct"/>
            <w:tcBorders>
              <w:top w:val="nil"/>
              <w:left w:val="nil"/>
              <w:bottom w:val="nil"/>
              <w:right w:val="nil"/>
            </w:tcBorders>
          </w:tcPr>
          <w:p w14:paraId="798774E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0.169**</w:t>
            </w:r>
          </w:p>
        </w:tc>
        <w:tc>
          <w:tcPr>
            <w:tcW w:w="645" w:type="pct"/>
            <w:tcBorders>
              <w:top w:val="nil"/>
              <w:left w:val="nil"/>
              <w:bottom w:val="nil"/>
              <w:right w:val="nil"/>
            </w:tcBorders>
          </w:tcPr>
          <w:p w14:paraId="5C9BCD0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0.301***</w:t>
            </w:r>
          </w:p>
        </w:tc>
      </w:tr>
      <w:tr w:rsidR="001631C6" w:rsidRPr="00F14EF8" w14:paraId="09797911" w14:textId="77777777" w:rsidTr="008F5322">
        <w:trPr>
          <w:jc w:val="center"/>
        </w:trPr>
        <w:tc>
          <w:tcPr>
            <w:tcW w:w="1275" w:type="pct"/>
            <w:tcBorders>
              <w:top w:val="nil"/>
              <w:left w:val="nil"/>
              <w:bottom w:val="nil"/>
              <w:right w:val="nil"/>
            </w:tcBorders>
            <w:vAlign w:val="center"/>
          </w:tcPr>
          <w:p w14:paraId="32A7D9DB"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nil"/>
              <w:right w:val="nil"/>
            </w:tcBorders>
          </w:tcPr>
          <w:p w14:paraId="6C5D76F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(0.041)</w:t>
            </w:r>
          </w:p>
        </w:tc>
        <w:tc>
          <w:tcPr>
            <w:tcW w:w="397" w:type="pct"/>
            <w:tcBorders>
              <w:top w:val="nil"/>
              <w:left w:val="nil"/>
              <w:bottom w:val="nil"/>
              <w:right w:val="nil"/>
            </w:tcBorders>
          </w:tcPr>
          <w:p w14:paraId="58A96B0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(0.041)</w:t>
            </w:r>
          </w:p>
        </w:tc>
        <w:tc>
          <w:tcPr>
            <w:tcW w:w="397" w:type="pct"/>
            <w:tcBorders>
              <w:top w:val="nil"/>
              <w:left w:val="nil"/>
              <w:bottom w:val="nil"/>
              <w:right w:val="nil"/>
            </w:tcBorders>
          </w:tcPr>
          <w:p w14:paraId="767B8CB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(0.041)</w:t>
            </w:r>
          </w:p>
        </w:tc>
        <w:tc>
          <w:tcPr>
            <w:tcW w:w="397" w:type="pct"/>
            <w:tcBorders>
              <w:top w:val="nil"/>
              <w:left w:val="nil"/>
              <w:bottom w:val="nil"/>
              <w:right w:val="nil"/>
            </w:tcBorders>
          </w:tcPr>
          <w:p w14:paraId="7CD2F40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(0.043)</w:t>
            </w:r>
          </w:p>
        </w:tc>
        <w:tc>
          <w:tcPr>
            <w:tcW w:w="617" w:type="pct"/>
            <w:tcBorders>
              <w:top w:val="nil"/>
              <w:left w:val="nil"/>
              <w:bottom w:val="nil"/>
              <w:right w:val="nil"/>
            </w:tcBorders>
          </w:tcPr>
          <w:p w14:paraId="43E92BA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(0.072)</w:t>
            </w:r>
          </w:p>
        </w:tc>
        <w:tc>
          <w:tcPr>
            <w:tcW w:w="500" w:type="pct"/>
            <w:tcBorders>
              <w:top w:val="nil"/>
              <w:left w:val="nil"/>
              <w:bottom w:val="nil"/>
              <w:right w:val="nil"/>
            </w:tcBorders>
          </w:tcPr>
          <w:p w14:paraId="633B8D0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(0.114)</w:t>
            </w:r>
          </w:p>
        </w:tc>
        <w:tc>
          <w:tcPr>
            <w:tcW w:w="374" w:type="pct"/>
            <w:tcBorders>
              <w:top w:val="nil"/>
              <w:left w:val="nil"/>
              <w:bottom w:val="nil"/>
              <w:right w:val="nil"/>
            </w:tcBorders>
          </w:tcPr>
          <w:p w14:paraId="7E9E926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(0.068)</w:t>
            </w:r>
          </w:p>
        </w:tc>
        <w:tc>
          <w:tcPr>
            <w:tcW w:w="645" w:type="pct"/>
            <w:tcBorders>
              <w:top w:val="nil"/>
              <w:left w:val="nil"/>
              <w:bottom w:val="nil"/>
              <w:right w:val="nil"/>
            </w:tcBorders>
          </w:tcPr>
          <w:p w14:paraId="24631DC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(0.083)</w:t>
            </w:r>
          </w:p>
        </w:tc>
      </w:tr>
      <w:tr w:rsidR="001631C6" w:rsidRPr="00F14EF8" w14:paraId="40EFAE5E" w14:textId="77777777" w:rsidTr="008F5322">
        <w:trPr>
          <w:jc w:val="center"/>
        </w:trPr>
        <w:tc>
          <w:tcPr>
            <w:tcW w:w="1275" w:type="pct"/>
            <w:tcBorders>
              <w:top w:val="nil"/>
              <w:left w:val="nil"/>
              <w:bottom w:val="nil"/>
              <w:right w:val="nil"/>
            </w:tcBorders>
            <w:vAlign w:val="center"/>
          </w:tcPr>
          <w:p w14:paraId="14262FA2"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val="en-US" w:eastAsia="en-GB"/>
              </w:rPr>
              <w:t>Constant</w:t>
            </w:r>
          </w:p>
        </w:tc>
        <w:tc>
          <w:tcPr>
            <w:tcW w:w="397" w:type="pct"/>
            <w:tcBorders>
              <w:top w:val="nil"/>
              <w:left w:val="nil"/>
              <w:bottom w:val="nil"/>
              <w:right w:val="nil"/>
            </w:tcBorders>
          </w:tcPr>
          <w:p w14:paraId="17FE250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0.084</w:t>
            </w:r>
          </w:p>
        </w:tc>
        <w:tc>
          <w:tcPr>
            <w:tcW w:w="397" w:type="pct"/>
            <w:tcBorders>
              <w:top w:val="nil"/>
              <w:left w:val="nil"/>
              <w:bottom w:val="nil"/>
              <w:right w:val="nil"/>
            </w:tcBorders>
          </w:tcPr>
          <w:p w14:paraId="0BDE785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0.160</w:t>
            </w:r>
          </w:p>
        </w:tc>
        <w:tc>
          <w:tcPr>
            <w:tcW w:w="397" w:type="pct"/>
            <w:tcBorders>
              <w:top w:val="nil"/>
              <w:left w:val="nil"/>
              <w:bottom w:val="nil"/>
              <w:right w:val="nil"/>
            </w:tcBorders>
          </w:tcPr>
          <w:p w14:paraId="70BABD4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-0.020</w:t>
            </w:r>
          </w:p>
        </w:tc>
        <w:tc>
          <w:tcPr>
            <w:tcW w:w="397" w:type="pct"/>
            <w:tcBorders>
              <w:top w:val="nil"/>
              <w:left w:val="nil"/>
              <w:bottom w:val="nil"/>
              <w:right w:val="nil"/>
            </w:tcBorders>
          </w:tcPr>
          <w:p w14:paraId="46FC1E5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0.660*</w:t>
            </w:r>
          </w:p>
        </w:tc>
        <w:tc>
          <w:tcPr>
            <w:tcW w:w="617" w:type="pct"/>
            <w:tcBorders>
              <w:top w:val="nil"/>
              <w:left w:val="nil"/>
              <w:bottom w:val="nil"/>
              <w:right w:val="nil"/>
            </w:tcBorders>
          </w:tcPr>
          <w:p w14:paraId="5123D4E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-0.794</w:t>
            </w:r>
          </w:p>
        </w:tc>
        <w:tc>
          <w:tcPr>
            <w:tcW w:w="500" w:type="pct"/>
            <w:tcBorders>
              <w:top w:val="nil"/>
              <w:left w:val="nil"/>
              <w:bottom w:val="nil"/>
              <w:right w:val="nil"/>
            </w:tcBorders>
          </w:tcPr>
          <w:p w14:paraId="66AA923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0.139</w:t>
            </w:r>
          </w:p>
        </w:tc>
        <w:tc>
          <w:tcPr>
            <w:tcW w:w="374" w:type="pct"/>
            <w:tcBorders>
              <w:top w:val="nil"/>
              <w:left w:val="nil"/>
              <w:bottom w:val="nil"/>
              <w:right w:val="nil"/>
            </w:tcBorders>
          </w:tcPr>
          <w:p w14:paraId="38B7C64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-3.295</w:t>
            </w:r>
          </w:p>
        </w:tc>
        <w:tc>
          <w:tcPr>
            <w:tcW w:w="645" w:type="pct"/>
            <w:tcBorders>
              <w:top w:val="nil"/>
              <w:left w:val="nil"/>
              <w:bottom w:val="nil"/>
              <w:right w:val="nil"/>
            </w:tcBorders>
          </w:tcPr>
          <w:p w14:paraId="7D3DA4F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1.140</w:t>
            </w:r>
          </w:p>
        </w:tc>
      </w:tr>
      <w:tr w:rsidR="001631C6" w:rsidRPr="00F14EF8" w14:paraId="30D3402A" w14:textId="77777777" w:rsidTr="008F5322">
        <w:trPr>
          <w:jc w:val="center"/>
        </w:trPr>
        <w:tc>
          <w:tcPr>
            <w:tcW w:w="1275" w:type="pct"/>
            <w:tcBorders>
              <w:top w:val="nil"/>
              <w:left w:val="nil"/>
              <w:bottom w:val="single" w:sz="4" w:space="0" w:color="auto"/>
              <w:right w:val="nil"/>
            </w:tcBorders>
            <w:vAlign w:val="center"/>
          </w:tcPr>
          <w:p w14:paraId="46011CFF" w14:textId="77777777" w:rsidR="001631C6" w:rsidRPr="00F14EF8" w:rsidRDefault="001631C6" w:rsidP="008F5322">
            <w:pPr>
              <w:widowControl w:val="0"/>
              <w:autoSpaceDE w:val="0"/>
              <w:autoSpaceDN w:val="0"/>
              <w:adjustRightInd w:val="0"/>
              <w:rPr>
                <w:sz w:val="14"/>
                <w:szCs w:val="14"/>
              </w:rPr>
            </w:pPr>
          </w:p>
        </w:tc>
        <w:tc>
          <w:tcPr>
            <w:tcW w:w="397" w:type="pct"/>
            <w:tcBorders>
              <w:top w:val="nil"/>
              <w:left w:val="nil"/>
              <w:bottom w:val="single" w:sz="4" w:space="0" w:color="auto"/>
              <w:right w:val="nil"/>
            </w:tcBorders>
          </w:tcPr>
          <w:p w14:paraId="33C23C1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(0.366)</w:t>
            </w:r>
          </w:p>
        </w:tc>
        <w:tc>
          <w:tcPr>
            <w:tcW w:w="397" w:type="pct"/>
            <w:tcBorders>
              <w:top w:val="nil"/>
              <w:left w:val="nil"/>
              <w:bottom w:val="single" w:sz="4" w:space="0" w:color="auto"/>
              <w:right w:val="nil"/>
            </w:tcBorders>
          </w:tcPr>
          <w:p w14:paraId="3D8886A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(0.381)</w:t>
            </w:r>
          </w:p>
        </w:tc>
        <w:tc>
          <w:tcPr>
            <w:tcW w:w="397" w:type="pct"/>
            <w:tcBorders>
              <w:top w:val="nil"/>
              <w:left w:val="nil"/>
              <w:bottom w:val="single" w:sz="4" w:space="0" w:color="auto"/>
              <w:right w:val="nil"/>
            </w:tcBorders>
          </w:tcPr>
          <w:p w14:paraId="39A2093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(0.381)</w:t>
            </w:r>
          </w:p>
        </w:tc>
        <w:tc>
          <w:tcPr>
            <w:tcW w:w="397" w:type="pct"/>
            <w:tcBorders>
              <w:top w:val="nil"/>
              <w:left w:val="nil"/>
              <w:bottom w:val="single" w:sz="4" w:space="0" w:color="auto"/>
              <w:right w:val="nil"/>
            </w:tcBorders>
          </w:tcPr>
          <w:p w14:paraId="184828F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(0.401)</w:t>
            </w:r>
          </w:p>
        </w:tc>
        <w:tc>
          <w:tcPr>
            <w:tcW w:w="617" w:type="pct"/>
            <w:tcBorders>
              <w:top w:val="nil"/>
              <w:left w:val="nil"/>
              <w:bottom w:val="single" w:sz="4" w:space="0" w:color="auto"/>
              <w:right w:val="nil"/>
            </w:tcBorders>
          </w:tcPr>
          <w:p w14:paraId="23588F7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(0.822)</w:t>
            </w:r>
          </w:p>
        </w:tc>
        <w:tc>
          <w:tcPr>
            <w:tcW w:w="500" w:type="pct"/>
            <w:tcBorders>
              <w:top w:val="nil"/>
              <w:left w:val="nil"/>
              <w:bottom w:val="single" w:sz="4" w:space="0" w:color="auto"/>
              <w:right w:val="nil"/>
            </w:tcBorders>
          </w:tcPr>
          <w:p w14:paraId="17843B6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(5.290)</w:t>
            </w:r>
          </w:p>
        </w:tc>
        <w:tc>
          <w:tcPr>
            <w:tcW w:w="374" w:type="pct"/>
            <w:tcBorders>
              <w:top w:val="nil"/>
              <w:left w:val="nil"/>
              <w:bottom w:val="single" w:sz="4" w:space="0" w:color="auto"/>
              <w:right w:val="nil"/>
            </w:tcBorders>
          </w:tcPr>
          <w:p w14:paraId="46E84F6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(2.843)</w:t>
            </w:r>
          </w:p>
        </w:tc>
        <w:tc>
          <w:tcPr>
            <w:tcW w:w="645" w:type="pct"/>
            <w:tcBorders>
              <w:top w:val="nil"/>
              <w:left w:val="nil"/>
              <w:bottom w:val="single" w:sz="4" w:space="0" w:color="auto"/>
              <w:right w:val="nil"/>
            </w:tcBorders>
          </w:tcPr>
          <w:p w14:paraId="593A68C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(0.788)</w:t>
            </w:r>
          </w:p>
        </w:tc>
      </w:tr>
      <w:tr w:rsidR="001631C6" w:rsidRPr="00F14EF8" w14:paraId="672DC5DF" w14:textId="77777777" w:rsidTr="008F5322">
        <w:trPr>
          <w:jc w:val="center"/>
        </w:trPr>
        <w:tc>
          <w:tcPr>
            <w:tcW w:w="1275" w:type="pct"/>
            <w:tcBorders>
              <w:top w:val="single" w:sz="4" w:space="0" w:color="auto"/>
              <w:left w:val="nil"/>
              <w:bottom w:val="nil"/>
              <w:right w:val="nil"/>
            </w:tcBorders>
          </w:tcPr>
          <w:p w14:paraId="33514DDF" w14:textId="77777777" w:rsidR="001631C6" w:rsidRPr="00F14EF8" w:rsidRDefault="001631C6" w:rsidP="008F5322">
            <w:pPr>
              <w:widowControl w:val="0"/>
              <w:autoSpaceDE w:val="0"/>
              <w:autoSpaceDN w:val="0"/>
              <w:adjustRightInd w:val="0"/>
              <w:rPr>
                <w:sz w:val="14"/>
                <w:szCs w:val="14"/>
              </w:rPr>
            </w:pPr>
            <w:r w:rsidRPr="00F14EF8">
              <w:rPr>
                <w:sz w:val="14"/>
                <w:szCs w:val="14"/>
              </w:rPr>
              <w:t>Year dummies</w:t>
            </w:r>
          </w:p>
        </w:tc>
        <w:tc>
          <w:tcPr>
            <w:tcW w:w="397" w:type="pct"/>
            <w:tcBorders>
              <w:top w:val="single" w:sz="4" w:space="0" w:color="auto"/>
              <w:left w:val="nil"/>
              <w:bottom w:val="nil"/>
              <w:right w:val="nil"/>
            </w:tcBorders>
          </w:tcPr>
          <w:p w14:paraId="512529D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No</w:t>
            </w:r>
          </w:p>
        </w:tc>
        <w:tc>
          <w:tcPr>
            <w:tcW w:w="397" w:type="pct"/>
            <w:tcBorders>
              <w:top w:val="single" w:sz="4" w:space="0" w:color="auto"/>
              <w:left w:val="nil"/>
              <w:bottom w:val="nil"/>
              <w:right w:val="nil"/>
            </w:tcBorders>
          </w:tcPr>
          <w:p w14:paraId="19C3286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No</w:t>
            </w:r>
          </w:p>
        </w:tc>
        <w:tc>
          <w:tcPr>
            <w:tcW w:w="397" w:type="pct"/>
            <w:tcBorders>
              <w:top w:val="single" w:sz="4" w:space="0" w:color="auto"/>
              <w:left w:val="nil"/>
              <w:bottom w:val="nil"/>
              <w:right w:val="nil"/>
            </w:tcBorders>
          </w:tcPr>
          <w:p w14:paraId="6EF19E3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No</w:t>
            </w:r>
          </w:p>
        </w:tc>
        <w:tc>
          <w:tcPr>
            <w:tcW w:w="397" w:type="pct"/>
            <w:tcBorders>
              <w:top w:val="single" w:sz="4" w:space="0" w:color="auto"/>
              <w:left w:val="nil"/>
              <w:bottom w:val="nil"/>
              <w:right w:val="nil"/>
            </w:tcBorders>
          </w:tcPr>
          <w:p w14:paraId="46501AB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No</w:t>
            </w:r>
          </w:p>
        </w:tc>
        <w:tc>
          <w:tcPr>
            <w:tcW w:w="617" w:type="pct"/>
            <w:tcBorders>
              <w:top w:val="single" w:sz="4" w:space="0" w:color="auto"/>
              <w:left w:val="nil"/>
              <w:bottom w:val="nil"/>
              <w:right w:val="nil"/>
            </w:tcBorders>
          </w:tcPr>
          <w:p w14:paraId="0A1DE43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500" w:type="pct"/>
            <w:tcBorders>
              <w:top w:val="single" w:sz="4" w:space="0" w:color="auto"/>
              <w:left w:val="nil"/>
              <w:bottom w:val="nil"/>
              <w:right w:val="nil"/>
            </w:tcBorders>
          </w:tcPr>
          <w:p w14:paraId="37C967A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374" w:type="pct"/>
            <w:tcBorders>
              <w:top w:val="single" w:sz="4" w:space="0" w:color="auto"/>
              <w:left w:val="nil"/>
              <w:bottom w:val="nil"/>
              <w:right w:val="nil"/>
            </w:tcBorders>
          </w:tcPr>
          <w:p w14:paraId="449B332F"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645" w:type="pct"/>
            <w:tcBorders>
              <w:top w:val="single" w:sz="4" w:space="0" w:color="auto"/>
              <w:left w:val="nil"/>
              <w:bottom w:val="nil"/>
              <w:right w:val="nil"/>
            </w:tcBorders>
          </w:tcPr>
          <w:p w14:paraId="11077C07"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r>
      <w:tr w:rsidR="001631C6" w:rsidRPr="00F14EF8" w14:paraId="1A72F097" w14:textId="77777777" w:rsidTr="008F5322">
        <w:trPr>
          <w:jc w:val="center"/>
        </w:trPr>
        <w:tc>
          <w:tcPr>
            <w:tcW w:w="1275" w:type="pct"/>
            <w:tcBorders>
              <w:top w:val="nil"/>
              <w:left w:val="nil"/>
              <w:bottom w:val="nil"/>
              <w:right w:val="nil"/>
            </w:tcBorders>
          </w:tcPr>
          <w:p w14:paraId="620CF817" w14:textId="77777777" w:rsidR="001631C6" w:rsidRPr="00F14EF8" w:rsidRDefault="001631C6" w:rsidP="008F5322">
            <w:pPr>
              <w:widowControl w:val="0"/>
              <w:autoSpaceDE w:val="0"/>
              <w:autoSpaceDN w:val="0"/>
              <w:adjustRightInd w:val="0"/>
              <w:rPr>
                <w:sz w:val="14"/>
                <w:szCs w:val="14"/>
              </w:rPr>
            </w:pPr>
            <w:r w:rsidRPr="00F14EF8">
              <w:rPr>
                <w:sz w:val="14"/>
                <w:szCs w:val="14"/>
              </w:rPr>
              <w:t>Credit rating, Sector and Country dummies</w:t>
            </w:r>
          </w:p>
        </w:tc>
        <w:tc>
          <w:tcPr>
            <w:tcW w:w="397" w:type="pct"/>
            <w:tcBorders>
              <w:top w:val="nil"/>
              <w:left w:val="nil"/>
              <w:bottom w:val="nil"/>
              <w:right w:val="nil"/>
            </w:tcBorders>
          </w:tcPr>
          <w:p w14:paraId="269682C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397" w:type="pct"/>
            <w:tcBorders>
              <w:top w:val="nil"/>
              <w:left w:val="nil"/>
              <w:bottom w:val="nil"/>
              <w:right w:val="nil"/>
            </w:tcBorders>
          </w:tcPr>
          <w:p w14:paraId="77236F1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397" w:type="pct"/>
            <w:tcBorders>
              <w:top w:val="nil"/>
              <w:left w:val="nil"/>
              <w:bottom w:val="nil"/>
              <w:right w:val="nil"/>
            </w:tcBorders>
          </w:tcPr>
          <w:p w14:paraId="2568E586"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397" w:type="pct"/>
            <w:tcBorders>
              <w:top w:val="nil"/>
              <w:left w:val="nil"/>
              <w:bottom w:val="nil"/>
              <w:right w:val="nil"/>
            </w:tcBorders>
          </w:tcPr>
          <w:p w14:paraId="443A136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617" w:type="pct"/>
            <w:tcBorders>
              <w:top w:val="nil"/>
              <w:left w:val="nil"/>
              <w:bottom w:val="nil"/>
              <w:right w:val="nil"/>
            </w:tcBorders>
          </w:tcPr>
          <w:p w14:paraId="030657F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500" w:type="pct"/>
            <w:tcBorders>
              <w:top w:val="nil"/>
              <w:left w:val="nil"/>
              <w:bottom w:val="nil"/>
              <w:right w:val="nil"/>
            </w:tcBorders>
          </w:tcPr>
          <w:p w14:paraId="25687B04"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374" w:type="pct"/>
            <w:tcBorders>
              <w:top w:val="nil"/>
              <w:left w:val="nil"/>
              <w:bottom w:val="nil"/>
              <w:right w:val="nil"/>
            </w:tcBorders>
          </w:tcPr>
          <w:p w14:paraId="3444005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c>
          <w:tcPr>
            <w:tcW w:w="645" w:type="pct"/>
            <w:tcBorders>
              <w:top w:val="nil"/>
              <w:left w:val="nil"/>
              <w:bottom w:val="nil"/>
              <w:right w:val="nil"/>
            </w:tcBorders>
          </w:tcPr>
          <w:p w14:paraId="2FCE5A82"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Yes</w:t>
            </w:r>
          </w:p>
        </w:tc>
      </w:tr>
      <w:tr w:rsidR="001631C6" w:rsidRPr="00F14EF8" w14:paraId="16D848E0" w14:textId="77777777" w:rsidTr="008F5322">
        <w:trPr>
          <w:jc w:val="center"/>
        </w:trPr>
        <w:tc>
          <w:tcPr>
            <w:tcW w:w="1275" w:type="pct"/>
            <w:tcBorders>
              <w:top w:val="nil"/>
              <w:left w:val="nil"/>
              <w:bottom w:val="nil"/>
              <w:right w:val="nil"/>
            </w:tcBorders>
            <w:vAlign w:val="center"/>
          </w:tcPr>
          <w:p w14:paraId="46848FA5"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eastAsia="en-GB"/>
              </w:rPr>
              <w:t>Number of Observations</w:t>
            </w:r>
          </w:p>
        </w:tc>
        <w:tc>
          <w:tcPr>
            <w:tcW w:w="397" w:type="pct"/>
            <w:tcBorders>
              <w:top w:val="nil"/>
              <w:left w:val="nil"/>
              <w:bottom w:val="nil"/>
              <w:right w:val="nil"/>
            </w:tcBorders>
          </w:tcPr>
          <w:p w14:paraId="66878F0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2,147</w:t>
            </w:r>
          </w:p>
        </w:tc>
        <w:tc>
          <w:tcPr>
            <w:tcW w:w="397" w:type="pct"/>
            <w:tcBorders>
              <w:top w:val="nil"/>
              <w:left w:val="nil"/>
              <w:bottom w:val="nil"/>
              <w:right w:val="nil"/>
            </w:tcBorders>
          </w:tcPr>
          <w:p w14:paraId="7986AA1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2,147</w:t>
            </w:r>
          </w:p>
        </w:tc>
        <w:tc>
          <w:tcPr>
            <w:tcW w:w="397" w:type="pct"/>
            <w:tcBorders>
              <w:top w:val="nil"/>
              <w:left w:val="nil"/>
              <w:bottom w:val="nil"/>
              <w:right w:val="nil"/>
            </w:tcBorders>
          </w:tcPr>
          <w:p w14:paraId="3E3887E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2,147</w:t>
            </w:r>
          </w:p>
        </w:tc>
        <w:tc>
          <w:tcPr>
            <w:tcW w:w="397" w:type="pct"/>
            <w:tcBorders>
              <w:top w:val="nil"/>
              <w:left w:val="nil"/>
              <w:bottom w:val="nil"/>
              <w:right w:val="nil"/>
            </w:tcBorders>
          </w:tcPr>
          <w:p w14:paraId="19C193E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2,147</w:t>
            </w:r>
          </w:p>
        </w:tc>
        <w:tc>
          <w:tcPr>
            <w:tcW w:w="617" w:type="pct"/>
            <w:tcBorders>
              <w:top w:val="nil"/>
              <w:left w:val="nil"/>
              <w:bottom w:val="nil"/>
              <w:right w:val="nil"/>
            </w:tcBorders>
          </w:tcPr>
          <w:p w14:paraId="32533A71"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368</w:t>
            </w:r>
          </w:p>
        </w:tc>
        <w:tc>
          <w:tcPr>
            <w:tcW w:w="500" w:type="pct"/>
            <w:tcBorders>
              <w:top w:val="nil"/>
              <w:left w:val="nil"/>
              <w:bottom w:val="nil"/>
              <w:right w:val="nil"/>
            </w:tcBorders>
          </w:tcPr>
          <w:p w14:paraId="3DF5C5C3"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286</w:t>
            </w:r>
          </w:p>
        </w:tc>
        <w:tc>
          <w:tcPr>
            <w:tcW w:w="374" w:type="pct"/>
            <w:tcBorders>
              <w:top w:val="nil"/>
              <w:left w:val="nil"/>
              <w:bottom w:val="nil"/>
              <w:right w:val="nil"/>
            </w:tcBorders>
          </w:tcPr>
          <w:p w14:paraId="18B092F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311</w:t>
            </w:r>
          </w:p>
        </w:tc>
        <w:tc>
          <w:tcPr>
            <w:tcW w:w="645" w:type="pct"/>
            <w:tcBorders>
              <w:top w:val="nil"/>
              <w:left w:val="nil"/>
              <w:bottom w:val="nil"/>
              <w:right w:val="nil"/>
            </w:tcBorders>
          </w:tcPr>
          <w:p w14:paraId="490318B9"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1,182</w:t>
            </w:r>
          </w:p>
        </w:tc>
      </w:tr>
      <w:tr w:rsidR="001631C6" w:rsidRPr="00F14EF8" w14:paraId="3354A4C8" w14:textId="77777777" w:rsidTr="008F5322">
        <w:trPr>
          <w:jc w:val="center"/>
        </w:trPr>
        <w:tc>
          <w:tcPr>
            <w:tcW w:w="1275" w:type="pct"/>
            <w:tcBorders>
              <w:top w:val="nil"/>
              <w:left w:val="nil"/>
              <w:bottom w:val="nil"/>
              <w:right w:val="nil"/>
            </w:tcBorders>
            <w:vAlign w:val="center"/>
          </w:tcPr>
          <w:p w14:paraId="027080C9"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eastAsia="en-GB"/>
              </w:rPr>
              <w:t>R</w:t>
            </w:r>
            <w:r w:rsidRPr="00F14EF8">
              <w:rPr>
                <w:color w:val="000000"/>
                <w:sz w:val="14"/>
                <w:szCs w:val="14"/>
                <w:vertAlign w:val="superscript"/>
                <w:lang w:eastAsia="en-GB"/>
              </w:rPr>
              <w:t>2</w:t>
            </w:r>
          </w:p>
        </w:tc>
        <w:tc>
          <w:tcPr>
            <w:tcW w:w="397" w:type="pct"/>
            <w:tcBorders>
              <w:top w:val="nil"/>
              <w:left w:val="nil"/>
              <w:bottom w:val="nil"/>
              <w:right w:val="nil"/>
            </w:tcBorders>
          </w:tcPr>
          <w:p w14:paraId="3109567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0.350</w:t>
            </w:r>
          </w:p>
        </w:tc>
        <w:tc>
          <w:tcPr>
            <w:tcW w:w="397" w:type="pct"/>
            <w:tcBorders>
              <w:top w:val="nil"/>
              <w:left w:val="nil"/>
              <w:bottom w:val="nil"/>
              <w:right w:val="nil"/>
            </w:tcBorders>
          </w:tcPr>
          <w:p w14:paraId="4E46FCF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0.327</w:t>
            </w:r>
          </w:p>
        </w:tc>
        <w:tc>
          <w:tcPr>
            <w:tcW w:w="397" w:type="pct"/>
            <w:tcBorders>
              <w:top w:val="nil"/>
              <w:left w:val="nil"/>
              <w:bottom w:val="nil"/>
              <w:right w:val="nil"/>
            </w:tcBorders>
          </w:tcPr>
          <w:p w14:paraId="146318CD"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0.296</w:t>
            </w:r>
          </w:p>
        </w:tc>
        <w:tc>
          <w:tcPr>
            <w:tcW w:w="397" w:type="pct"/>
            <w:tcBorders>
              <w:top w:val="nil"/>
              <w:left w:val="nil"/>
              <w:bottom w:val="nil"/>
              <w:right w:val="nil"/>
            </w:tcBorders>
          </w:tcPr>
          <w:p w14:paraId="38BB232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0.295</w:t>
            </w:r>
          </w:p>
        </w:tc>
        <w:tc>
          <w:tcPr>
            <w:tcW w:w="617" w:type="pct"/>
            <w:tcBorders>
              <w:top w:val="nil"/>
              <w:left w:val="nil"/>
              <w:bottom w:val="nil"/>
              <w:right w:val="nil"/>
            </w:tcBorders>
          </w:tcPr>
          <w:p w14:paraId="7E3F545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0.663</w:t>
            </w:r>
          </w:p>
        </w:tc>
        <w:tc>
          <w:tcPr>
            <w:tcW w:w="500" w:type="pct"/>
            <w:tcBorders>
              <w:top w:val="nil"/>
              <w:left w:val="nil"/>
              <w:bottom w:val="nil"/>
              <w:right w:val="nil"/>
            </w:tcBorders>
          </w:tcPr>
          <w:p w14:paraId="5E94A0DE"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0.101</w:t>
            </w:r>
          </w:p>
        </w:tc>
        <w:tc>
          <w:tcPr>
            <w:tcW w:w="374" w:type="pct"/>
            <w:tcBorders>
              <w:top w:val="nil"/>
              <w:left w:val="nil"/>
              <w:bottom w:val="nil"/>
              <w:right w:val="nil"/>
            </w:tcBorders>
          </w:tcPr>
          <w:p w14:paraId="06EC554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0.481</w:t>
            </w:r>
          </w:p>
        </w:tc>
        <w:tc>
          <w:tcPr>
            <w:tcW w:w="645" w:type="pct"/>
            <w:tcBorders>
              <w:top w:val="nil"/>
              <w:left w:val="nil"/>
              <w:bottom w:val="nil"/>
              <w:right w:val="nil"/>
            </w:tcBorders>
          </w:tcPr>
          <w:p w14:paraId="338FEBC5"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0.535</w:t>
            </w:r>
          </w:p>
        </w:tc>
      </w:tr>
      <w:tr w:rsidR="001631C6" w:rsidRPr="00F14EF8" w14:paraId="20D8F69C" w14:textId="77777777" w:rsidTr="008F5322">
        <w:tblPrEx>
          <w:tblBorders>
            <w:bottom w:val="single" w:sz="6" w:space="0" w:color="auto"/>
          </w:tblBorders>
        </w:tblPrEx>
        <w:trPr>
          <w:jc w:val="center"/>
        </w:trPr>
        <w:tc>
          <w:tcPr>
            <w:tcW w:w="1275" w:type="pct"/>
            <w:tcBorders>
              <w:top w:val="nil"/>
              <w:left w:val="nil"/>
              <w:bottom w:val="single" w:sz="6" w:space="0" w:color="auto"/>
              <w:right w:val="nil"/>
            </w:tcBorders>
            <w:vAlign w:val="center"/>
          </w:tcPr>
          <w:p w14:paraId="514259AF" w14:textId="77777777" w:rsidR="001631C6" w:rsidRPr="00F14EF8" w:rsidRDefault="001631C6" w:rsidP="008F5322">
            <w:pPr>
              <w:widowControl w:val="0"/>
              <w:autoSpaceDE w:val="0"/>
              <w:autoSpaceDN w:val="0"/>
              <w:adjustRightInd w:val="0"/>
              <w:rPr>
                <w:sz w:val="14"/>
                <w:szCs w:val="14"/>
              </w:rPr>
            </w:pPr>
            <w:r w:rsidRPr="00F14EF8">
              <w:rPr>
                <w:color w:val="000000"/>
                <w:sz w:val="14"/>
                <w:szCs w:val="14"/>
                <w:lang w:eastAsia="en-GB"/>
              </w:rPr>
              <w:t>Wald χ</w:t>
            </w:r>
            <w:r w:rsidRPr="00F14EF8">
              <w:rPr>
                <w:color w:val="000000"/>
                <w:sz w:val="14"/>
                <w:szCs w:val="14"/>
                <w:vertAlign w:val="superscript"/>
                <w:lang w:eastAsia="en-GB"/>
              </w:rPr>
              <w:t>2</w:t>
            </w:r>
          </w:p>
        </w:tc>
        <w:tc>
          <w:tcPr>
            <w:tcW w:w="397" w:type="pct"/>
            <w:tcBorders>
              <w:top w:val="nil"/>
              <w:left w:val="nil"/>
              <w:bottom w:val="single" w:sz="6" w:space="0" w:color="auto"/>
              <w:right w:val="nil"/>
            </w:tcBorders>
          </w:tcPr>
          <w:p w14:paraId="79775DE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1002***</w:t>
            </w:r>
          </w:p>
        </w:tc>
        <w:tc>
          <w:tcPr>
            <w:tcW w:w="397" w:type="pct"/>
            <w:tcBorders>
              <w:top w:val="nil"/>
              <w:left w:val="nil"/>
              <w:bottom w:val="single" w:sz="6" w:space="0" w:color="auto"/>
              <w:right w:val="nil"/>
            </w:tcBorders>
          </w:tcPr>
          <w:p w14:paraId="735B0E4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869.9***</w:t>
            </w:r>
          </w:p>
        </w:tc>
        <w:tc>
          <w:tcPr>
            <w:tcW w:w="397" w:type="pct"/>
            <w:tcBorders>
              <w:top w:val="nil"/>
              <w:left w:val="nil"/>
              <w:bottom w:val="single" w:sz="6" w:space="0" w:color="auto"/>
              <w:right w:val="nil"/>
            </w:tcBorders>
          </w:tcPr>
          <w:p w14:paraId="073FE190"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920.6***</w:t>
            </w:r>
          </w:p>
        </w:tc>
        <w:tc>
          <w:tcPr>
            <w:tcW w:w="397" w:type="pct"/>
            <w:tcBorders>
              <w:top w:val="nil"/>
              <w:left w:val="nil"/>
              <w:bottom w:val="single" w:sz="6" w:space="0" w:color="auto"/>
              <w:right w:val="nil"/>
            </w:tcBorders>
          </w:tcPr>
          <w:p w14:paraId="38BCF91A"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860.9***</w:t>
            </w:r>
          </w:p>
        </w:tc>
        <w:tc>
          <w:tcPr>
            <w:tcW w:w="617" w:type="pct"/>
            <w:tcBorders>
              <w:top w:val="nil"/>
              <w:left w:val="nil"/>
              <w:bottom w:val="single" w:sz="6" w:space="0" w:color="auto"/>
              <w:right w:val="nil"/>
            </w:tcBorders>
          </w:tcPr>
          <w:p w14:paraId="44AD1F3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1384***</w:t>
            </w:r>
          </w:p>
        </w:tc>
        <w:tc>
          <w:tcPr>
            <w:tcW w:w="500" w:type="pct"/>
            <w:tcBorders>
              <w:top w:val="nil"/>
              <w:left w:val="nil"/>
              <w:bottom w:val="single" w:sz="6" w:space="0" w:color="auto"/>
              <w:right w:val="nil"/>
            </w:tcBorders>
          </w:tcPr>
          <w:p w14:paraId="4093EA88"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275.5***</w:t>
            </w:r>
          </w:p>
        </w:tc>
        <w:tc>
          <w:tcPr>
            <w:tcW w:w="374" w:type="pct"/>
            <w:tcBorders>
              <w:top w:val="nil"/>
              <w:left w:val="nil"/>
              <w:bottom w:val="single" w:sz="6" w:space="0" w:color="auto"/>
              <w:right w:val="nil"/>
            </w:tcBorders>
          </w:tcPr>
          <w:p w14:paraId="059943EB"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1095***</w:t>
            </w:r>
          </w:p>
        </w:tc>
        <w:tc>
          <w:tcPr>
            <w:tcW w:w="645" w:type="pct"/>
            <w:tcBorders>
              <w:top w:val="nil"/>
              <w:left w:val="nil"/>
              <w:bottom w:val="single" w:sz="6" w:space="0" w:color="auto"/>
              <w:right w:val="nil"/>
            </w:tcBorders>
          </w:tcPr>
          <w:p w14:paraId="63CF400C" w14:textId="77777777" w:rsidR="001631C6" w:rsidRPr="00F14EF8" w:rsidRDefault="001631C6" w:rsidP="008F5322">
            <w:pPr>
              <w:widowControl w:val="0"/>
              <w:autoSpaceDE w:val="0"/>
              <w:autoSpaceDN w:val="0"/>
              <w:adjustRightInd w:val="0"/>
              <w:jc w:val="center"/>
              <w:rPr>
                <w:sz w:val="14"/>
                <w:szCs w:val="14"/>
              </w:rPr>
            </w:pPr>
            <w:r w:rsidRPr="00F14EF8">
              <w:rPr>
                <w:sz w:val="14"/>
                <w:szCs w:val="14"/>
              </w:rPr>
              <w:t>1327***</w:t>
            </w:r>
          </w:p>
        </w:tc>
      </w:tr>
    </w:tbl>
    <w:p w14:paraId="3E7987E1" w14:textId="405E97CD" w:rsidR="001631C6" w:rsidRDefault="001631C6" w:rsidP="001631C6">
      <w:pPr>
        <w:spacing w:after="160" w:line="259" w:lineRule="auto"/>
        <w:rPr>
          <w:b/>
          <w:sz w:val="20"/>
          <w:szCs w:val="20"/>
          <w:lang w:val="en-US"/>
        </w:rPr>
        <w:sectPr w:rsidR="001631C6" w:rsidSect="008F5322">
          <w:pgSz w:w="16838" w:h="11906" w:orient="landscape" w:code="9"/>
          <w:pgMar w:top="1440" w:right="1247" w:bottom="1440" w:left="1247" w:header="709" w:footer="709" w:gutter="0"/>
          <w:cols w:space="708"/>
          <w:docGrid w:linePitch="360"/>
        </w:sectPr>
      </w:pPr>
    </w:p>
    <w:p w14:paraId="15CDCBD0" w14:textId="68D49E24" w:rsidR="001631C6" w:rsidRPr="00207BB5" w:rsidRDefault="001631C6" w:rsidP="001631C6">
      <w:pPr>
        <w:tabs>
          <w:tab w:val="left" w:pos="8220"/>
        </w:tabs>
        <w:rPr>
          <w:rFonts w:eastAsiaTheme="majorEastAsia"/>
          <w:b/>
          <w:bCs/>
          <w:lang w:val="en-US"/>
        </w:rPr>
      </w:pPr>
      <w:r w:rsidRPr="00207BB5">
        <w:rPr>
          <w:b/>
          <w:lang w:val="en-US"/>
        </w:rPr>
        <w:lastRenderedPageBreak/>
        <w:t xml:space="preserve">Table </w:t>
      </w:r>
      <w:r w:rsidR="00CE29CC">
        <w:rPr>
          <w:b/>
          <w:lang w:val="en-US"/>
        </w:rPr>
        <w:t>9</w:t>
      </w:r>
    </w:p>
    <w:p w14:paraId="1310A23D" w14:textId="77777777" w:rsidR="001631C6" w:rsidRPr="00207BB5" w:rsidRDefault="001631C6" w:rsidP="001631C6">
      <w:pPr>
        <w:pStyle w:val="Heading2"/>
        <w:spacing w:before="0"/>
        <w:jc w:val="both"/>
        <w:rPr>
          <w:rFonts w:cs="Times New Roman"/>
          <w:b/>
          <w:szCs w:val="24"/>
          <w:lang w:val="en-US"/>
        </w:rPr>
      </w:pPr>
      <w:r w:rsidRPr="00207BB5">
        <w:rPr>
          <w:rFonts w:cs="Times New Roman"/>
          <w:szCs w:val="24"/>
          <w:lang w:val="en-US"/>
        </w:rPr>
        <w:t>Robustness tests for country exclusions</w:t>
      </w:r>
    </w:p>
    <w:p w14:paraId="002CB011" w14:textId="77777777" w:rsidR="001631C6" w:rsidRPr="00DC68DD" w:rsidRDefault="001631C6" w:rsidP="001631C6">
      <w:pPr>
        <w:jc w:val="both"/>
        <w:rPr>
          <w:sz w:val="20"/>
          <w:szCs w:val="20"/>
          <w:lang w:val="en-US"/>
        </w:rPr>
      </w:pPr>
      <w:r w:rsidRPr="00DC68DD">
        <w:rPr>
          <w:sz w:val="20"/>
          <w:szCs w:val="20"/>
          <w:lang w:val="en-US"/>
        </w:rPr>
        <w:t xml:space="preserve">The table reports </w:t>
      </w:r>
      <w:r>
        <w:rPr>
          <w:sz w:val="20"/>
          <w:szCs w:val="20"/>
          <w:lang w:val="en-US"/>
        </w:rPr>
        <w:t>the second stage regression for</w:t>
      </w:r>
      <w:r w:rsidRPr="00DC68DD">
        <w:rPr>
          <w:sz w:val="20"/>
          <w:szCs w:val="20"/>
          <w:lang w:val="en-US"/>
        </w:rPr>
        <w:t xml:space="preserve"> </w:t>
      </w:r>
      <w:r>
        <w:rPr>
          <w:sz w:val="20"/>
          <w:szCs w:val="20"/>
          <w:lang w:val="en-US"/>
        </w:rPr>
        <w:t xml:space="preserve">instrumental variable </w:t>
      </w:r>
      <w:r w:rsidRPr="00DC68DD">
        <w:rPr>
          <w:sz w:val="20"/>
          <w:szCs w:val="20"/>
          <w:lang w:val="en-US"/>
        </w:rPr>
        <w:t>two-stage least squares (IV-2SLS) regressions</w:t>
      </w:r>
      <w:r w:rsidRPr="00DC68DD" w:rsidDel="00125C74">
        <w:rPr>
          <w:sz w:val="20"/>
          <w:szCs w:val="20"/>
          <w:lang w:val="en-US"/>
        </w:rPr>
        <w:t xml:space="preserve"> </w:t>
      </w:r>
      <w:r w:rsidRPr="00DC68DD">
        <w:rPr>
          <w:sz w:val="20"/>
          <w:szCs w:val="20"/>
          <w:lang w:val="en-US"/>
        </w:rPr>
        <w:t xml:space="preserve">predicting the at-issue credit spread </w:t>
      </w:r>
      <w:r>
        <w:rPr>
          <w:sz w:val="20"/>
          <w:szCs w:val="20"/>
          <w:lang w:val="en-US"/>
        </w:rPr>
        <w:t>of</w:t>
      </w:r>
      <w:r w:rsidRPr="00DC68DD">
        <w:rPr>
          <w:sz w:val="20"/>
          <w:szCs w:val="20"/>
          <w:lang w:val="en-US"/>
        </w:rPr>
        <w:t xml:space="preserve"> </w:t>
      </w:r>
      <w:r>
        <w:rPr>
          <w:sz w:val="20"/>
          <w:szCs w:val="20"/>
          <w:lang w:val="en-US"/>
        </w:rPr>
        <w:t>2,409</w:t>
      </w:r>
      <w:r w:rsidRPr="00DC68DD">
        <w:rPr>
          <w:sz w:val="20"/>
          <w:szCs w:val="20"/>
          <w:lang w:val="en-US"/>
        </w:rPr>
        <w:t xml:space="preserve"> euro-denominated public bond tranches issued by </w:t>
      </w:r>
      <w:r>
        <w:rPr>
          <w:sz w:val="20"/>
          <w:szCs w:val="20"/>
          <w:lang w:val="en-US"/>
        </w:rPr>
        <w:t>356</w:t>
      </w:r>
      <w:r w:rsidRPr="00DC68DD">
        <w:rPr>
          <w:sz w:val="20"/>
          <w:szCs w:val="20"/>
          <w:lang w:val="en-US"/>
        </w:rPr>
        <w:t xml:space="preserve"> Western European firms during 2001-20</w:t>
      </w:r>
      <w:r>
        <w:rPr>
          <w:sz w:val="20"/>
          <w:szCs w:val="20"/>
          <w:lang w:val="en-US"/>
        </w:rPr>
        <w:t>20</w:t>
      </w:r>
      <w:r w:rsidRPr="00DC68DD">
        <w:rPr>
          <w:sz w:val="20"/>
          <w:szCs w:val="20"/>
          <w:lang w:val="en-US"/>
        </w:rPr>
        <w:t xml:space="preserve">. </w:t>
      </w:r>
      <w:r>
        <w:rPr>
          <w:sz w:val="20"/>
          <w:szCs w:val="20"/>
          <w:lang w:val="en-US"/>
        </w:rPr>
        <w:t>Model 1 excludes issuers from Switzerland and the UK. Model 2 excludes issuers from Greece, Ireland, Italy, Portugal, and Spain. Model 3 includes only issuers from the largest European economies of France, Germany, Italy, the Netherlands, Spain, and the UK. S</w:t>
      </w:r>
      <w:r w:rsidRPr="00DC68DD">
        <w:rPr>
          <w:sz w:val="20"/>
          <w:szCs w:val="20"/>
          <w:lang w:val="en-US"/>
        </w:rPr>
        <w:t xml:space="preserve">tandard errors </w:t>
      </w:r>
      <w:r>
        <w:rPr>
          <w:sz w:val="20"/>
          <w:szCs w:val="20"/>
          <w:lang w:val="en-US"/>
        </w:rPr>
        <w:t xml:space="preserve">clustered at the firm and year level </w:t>
      </w:r>
      <w:r w:rsidRPr="00DC68DD">
        <w:rPr>
          <w:sz w:val="20"/>
          <w:szCs w:val="20"/>
          <w:lang w:val="en-US"/>
        </w:rPr>
        <w:t xml:space="preserve">are reported in parenthesis. </w:t>
      </w:r>
      <w:r w:rsidRPr="00DC68DD">
        <w:rPr>
          <w:color w:val="000000"/>
          <w:sz w:val="20"/>
          <w:szCs w:val="20"/>
          <w:lang w:val="en-US" w:eastAsia="en-GB"/>
        </w:rPr>
        <w:t>***</w:t>
      </w:r>
      <w:r w:rsidRPr="00DC68DD">
        <w:rPr>
          <w:color w:val="000000"/>
          <w:sz w:val="20"/>
          <w:szCs w:val="20"/>
          <w:lang w:val="en-US"/>
        </w:rPr>
        <w:t>, **, and * denote significance at the 1%, 5%, and 10% levels respectively.</w:t>
      </w:r>
    </w:p>
    <w:tbl>
      <w:tblPr>
        <w:tblW w:w="5000" w:type="pct"/>
        <w:jc w:val="center"/>
        <w:tblBorders>
          <w:top w:val="single" w:sz="4" w:space="0" w:color="auto"/>
          <w:bottom w:val="single" w:sz="4" w:space="0" w:color="auto"/>
        </w:tblBorders>
        <w:tblLook w:val="04A0" w:firstRow="1" w:lastRow="0" w:firstColumn="1" w:lastColumn="0" w:noHBand="0" w:noVBand="1"/>
      </w:tblPr>
      <w:tblGrid>
        <w:gridCol w:w="5205"/>
        <w:gridCol w:w="1274"/>
        <w:gridCol w:w="1274"/>
        <w:gridCol w:w="1273"/>
      </w:tblGrid>
      <w:tr w:rsidR="001631C6" w:rsidRPr="00B1049B" w14:paraId="3D660AE1" w14:textId="77777777" w:rsidTr="008F5322">
        <w:trPr>
          <w:trHeight w:val="89"/>
          <w:jc w:val="center"/>
        </w:trPr>
        <w:tc>
          <w:tcPr>
            <w:tcW w:w="2883" w:type="pct"/>
            <w:tcBorders>
              <w:top w:val="single" w:sz="4" w:space="0" w:color="auto"/>
              <w:bottom w:val="single" w:sz="4" w:space="0" w:color="auto"/>
            </w:tcBorders>
            <w:shd w:val="clear" w:color="auto" w:fill="auto"/>
            <w:vAlign w:val="bottom"/>
            <w:hideMark/>
          </w:tcPr>
          <w:p w14:paraId="4D6B2E9A"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 </w:t>
            </w:r>
          </w:p>
        </w:tc>
        <w:tc>
          <w:tcPr>
            <w:tcW w:w="706" w:type="pct"/>
            <w:tcBorders>
              <w:top w:val="single" w:sz="4" w:space="0" w:color="auto"/>
              <w:bottom w:val="single" w:sz="4" w:space="0" w:color="auto"/>
            </w:tcBorders>
            <w:vAlign w:val="center"/>
          </w:tcPr>
          <w:p w14:paraId="23E7AD27" w14:textId="77777777" w:rsidR="001631C6" w:rsidRPr="00B1049B" w:rsidRDefault="001631C6" w:rsidP="008F5322">
            <w:pPr>
              <w:jc w:val="center"/>
              <w:rPr>
                <w:bCs/>
                <w:color w:val="000000"/>
                <w:sz w:val="22"/>
                <w:szCs w:val="22"/>
                <w:lang w:val="en-US" w:eastAsia="en-GB"/>
              </w:rPr>
            </w:pPr>
            <w:r w:rsidRPr="00B1049B">
              <w:rPr>
                <w:bCs/>
                <w:color w:val="000000"/>
                <w:sz w:val="22"/>
                <w:szCs w:val="22"/>
                <w:lang w:val="en-US" w:eastAsia="en-GB"/>
              </w:rPr>
              <w:t>Model 1</w:t>
            </w:r>
          </w:p>
        </w:tc>
        <w:tc>
          <w:tcPr>
            <w:tcW w:w="706" w:type="pct"/>
            <w:tcBorders>
              <w:top w:val="single" w:sz="4" w:space="0" w:color="auto"/>
              <w:bottom w:val="single" w:sz="4" w:space="0" w:color="auto"/>
            </w:tcBorders>
            <w:vAlign w:val="center"/>
          </w:tcPr>
          <w:p w14:paraId="09EA85EA" w14:textId="77777777" w:rsidR="001631C6" w:rsidRPr="00B1049B" w:rsidRDefault="001631C6" w:rsidP="008F5322">
            <w:pPr>
              <w:jc w:val="center"/>
              <w:rPr>
                <w:bCs/>
                <w:color w:val="000000"/>
                <w:sz w:val="22"/>
                <w:szCs w:val="22"/>
                <w:lang w:val="en-US" w:eastAsia="en-GB"/>
              </w:rPr>
            </w:pPr>
            <w:r w:rsidRPr="00B1049B">
              <w:rPr>
                <w:bCs/>
                <w:color w:val="000000"/>
                <w:sz w:val="22"/>
                <w:szCs w:val="22"/>
                <w:lang w:val="en-US" w:eastAsia="en-GB"/>
              </w:rPr>
              <w:t>Model 2</w:t>
            </w:r>
          </w:p>
        </w:tc>
        <w:tc>
          <w:tcPr>
            <w:tcW w:w="706" w:type="pct"/>
            <w:tcBorders>
              <w:top w:val="single" w:sz="4" w:space="0" w:color="auto"/>
              <w:bottom w:val="single" w:sz="4" w:space="0" w:color="auto"/>
            </w:tcBorders>
          </w:tcPr>
          <w:p w14:paraId="05202632" w14:textId="77777777" w:rsidR="001631C6" w:rsidRPr="00B1049B" w:rsidRDefault="001631C6" w:rsidP="008F5322">
            <w:pPr>
              <w:jc w:val="center"/>
              <w:rPr>
                <w:bCs/>
                <w:color w:val="000000"/>
                <w:sz w:val="22"/>
                <w:szCs w:val="22"/>
                <w:lang w:val="en-US" w:eastAsia="en-GB"/>
              </w:rPr>
            </w:pPr>
            <w:r w:rsidRPr="00B1049B">
              <w:rPr>
                <w:bCs/>
                <w:color w:val="000000"/>
                <w:sz w:val="22"/>
                <w:szCs w:val="22"/>
                <w:lang w:val="en-US" w:eastAsia="en-GB"/>
              </w:rPr>
              <w:t>Model 3</w:t>
            </w:r>
          </w:p>
        </w:tc>
      </w:tr>
      <w:tr w:rsidR="001631C6" w:rsidRPr="00B1049B" w14:paraId="6DE943CC" w14:textId="77777777" w:rsidTr="008F5322">
        <w:trPr>
          <w:trHeight w:val="80"/>
          <w:jc w:val="center"/>
        </w:trPr>
        <w:tc>
          <w:tcPr>
            <w:tcW w:w="2883" w:type="pct"/>
            <w:vMerge w:val="restart"/>
            <w:tcBorders>
              <w:top w:val="nil"/>
              <w:left w:val="nil"/>
              <w:bottom w:val="nil"/>
              <w:right w:val="nil"/>
            </w:tcBorders>
            <w:vAlign w:val="center"/>
          </w:tcPr>
          <w:p w14:paraId="0EBC34DB" w14:textId="77777777" w:rsidR="001631C6" w:rsidRPr="00B1049B" w:rsidRDefault="001631C6" w:rsidP="008F5322">
            <w:pPr>
              <w:rPr>
                <w:color w:val="000000"/>
                <w:sz w:val="22"/>
                <w:szCs w:val="22"/>
                <w:lang w:val="en-US" w:eastAsia="en-GB"/>
              </w:rPr>
            </w:pPr>
            <w:r w:rsidRPr="00B1049B">
              <w:rPr>
                <w:bCs/>
                <w:color w:val="000000"/>
                <w:sz w:val="22"/>
                <w:szCs w:val="22"/>
                <w:lang w:val="en-US" w:eastAsia="en-GB"/>
              </w:rPr>
              <w:t>% of Non-domestic BRs</w:t>
            </w:r>
          </w:p>
        </w:tc>
        <w:tc>
          <w:tcPr>
            <w:tcW w:w="706" w:type="pct"/>
            <w:tcBorders>
              <w:top w:val="nil"/>
              <w:left w:val="nil"/>
              <w:bottom w:val="nil"/>
              <w:right w:val="nil"/>
            </w:tcBorders>
          </w:tcPr>
          <w:p w14:paraId="6544643D" w14:textId="77777777" w:rsidR="001631C6" w:rsidRPr="00B1049B" w:rsidRDefault="001631C6" w:rsidP="008F5322">
            <w:pPr>
              <w:jc w:val="center"/>
              <w:rPr>
                <w:sz w:val="22"/>
                <w:szCs w:val="22"/>
              </w:rPr>
            </w:pPr>
            <w:r w:rsidRPr="00B1049B">
              <w:rPr>
                <w:sz w:val="22"/>
                <w:szCs w:val="22"/>
              </w:rPr>
              <w:t>1.440***</w:t>
            </w:r>
          </w:p>
        </w:tc>
        <w:tc>
          <w:tcPr>
            <w:tcW w:w="706" w:type="pct"/>
            <w:tcBorders>
              <w:top w:val="nil"/>
              <w:left w:val="nil"/>
              <w:bottom w:val="nil"/>
              <w:right w:val="nil"/>
            </w:tcBorders>
          </w:tcPr>
          <w:p w14:paraId="0BC65839" w14:textId="77777777" w:rsidR="001631C6" w:rsidRPr="00B1049B" w:rsidRDefault="001631C6" w:rsidP="008F5322">
            <w:pPr>
              <w:jc w:val="center"/>
              <w:rPr>
                <w:sz w:val="22"/>
                <w:szCs w:val="22"/>
              </w:rPr>
            </w:pPr>
            <w:r w:rsidRPr="00B1049B">
              <w:rPr>
                <w:sz w:val="22"/>
                <w:szCs w:val="22"/>
              </w:rPr>
              <w:t>1.529***</w:t>
            </w:r>
          </w:p>
        </w:tc>
        <w:tc>
          <w:tcPr>
            <w:tcW w:w="706" w:type="pct"/>
            <w:tcBorders>
              <w:top w:val="nil"/>
              <w:left w:val="nil"/>
              <w:bottom w:val="nil"/>
              <w:right w:val="nil"/>
            </w:tcBorders>
          </w:tcPr>
          <w:p w14:paraId="533330F0" w14:textId="77777777" w:rsidR="001631C6" w:rsidRPr="00B1049B" w:rsidRDefault="001631C6" w:rsidP="008F5322">
            <w:pPr>
              <w:jc w:val="center"/>
              <w:rPr>
                <w:sz w:val="22"/>
                <w:szCs w:val="22"/>
              </w:rPr>
            </w:pPr>
            <w:r w:rsidRPr="00B1049B">
              <w:rPr>
                <w:sz w:val="22"/>
                <w:szCs w:val="22"/>
              </w:rPr>
              <w:t>1.845***</w:t>
            </w:r>
          </w:p>
        </w:tc>
      </w:tr>
      <w:tr w:rsidR="001631C6" w:rsidRPr="00B1049B" w14:paraId="5DEA07F7" w14:textId="77777777" w:rsidTr="008F5322">
        <w:trPr>
          <w:trHeight w:val="80"/>
          <w:jc w:val="center"/>
        </w:trPr>
        <w:tc>
          <w:tcPr>
            <w:tcW w:w="2883" w:type="pct"/>
            <w:vMerge/>
            <w:tcBorders>
              <w:top w:val="nil"/>
              <w:left w:val="nil"/>
              <w:bottom w:val="nil"/>
              <w:right w:val="nil"/>
            </w:tcBorders>
            <w:vAlign w:val="center"/>
          </w:tcPr>
          <w:p w14:paraId="28DAD66E" w14:textId="77777777" w:rsidR="001631C6" w:rsidRPr="00B1049B" w:rsidRDefault="001631C6" w:rsidP="008F5322">
            <w:pPr>
              <w:rPr>
                <w:color w:val="000000"/>
                <w:sz w:val="22"/>
                <w:szCs w:val="22"/>
                <w:lang w:val="en-US" w:eastAsia="en-GB"/>
              </w:rPr>
            </w:pPr>
          </w:p>
        </w:tc>
        <w:tc>
          <w:tcPr>
            <w:tcW w:w="706" w:type="pct"/>
            <w:tcBorders>
              <w:top w:val="nil"/>
              <w:left w:val="nil"/>
              <w:bottom w:val="nil"/>
              <w:right w:val="nil"/>
            </w:tcBorders>
          </w:tcPr>
          <w:p w14:paraId="6E611466" w14:textId="77777777" w:rsidR="001631C6" w:rsidRPr="00B1049B" w:rsidRDefault="001631C6" w:rsidP="008F5322">
            <w:pPr>
              <w:jc w:val="center"/>
              <w:rPr>
                <w:sz w:val="22"/>
                <w:szCs w:val="22"/>
              </w:rPr>
            </w:pPr>
            <w:r w:rsidRPr="00B1049B">
              <w:rPr>
                <w:sz w:val="22"/>
                <w:szCs w:val="22"/>
              </w:rPr>
              <w:t>(0.444)</w:t>
            </w:r>
          </w:p>
        </w:tc>
        <w:tc>
          <w:tcPr>
            <w:tcW w:w="706" w:type="pct"/>
            <w:tcBorders>
              <w:top w:val="nil"/>
              <w:left w:val="nil"/>
              <w:bottom w:val="nil"/>
              <w:right w:val="nil"/>
            </w:tcBorders>
          </w:tcPr>
          <w:p w14:paraId="1D58701D" w14:textId="77777777" w:rsidR="001631C6" w:rsidRPr="00B1049B" w:rsidRDefault="001631C6" w:rsidP="008F5322">
            <w:pPr>
              <w:jc w:val="center"/>
              <w:rPr>
                <w:sz w:val="22"/>
                <w:szCs w:val="22"/>
              </w:rPr>
            </w:pPr>
            <w:r w:rsidRPr="00B1049B">
              <w:rPr>
                <w:sz w:val="22"/>
                <w:szCs w:val="22"/>
              </w:rPr>
              <w:t>(0.450)</w:t>
            </w:r>
          </w:p>
        </w:tc>
        <w:tc>
          <w:tcPr>
            <w:tcW w:w="706" w:type="pct"/>
            <w:tcBorders>
              <w:top w:val="nil"/>
              <w:left w:val="nil"/>
              <w:bottom w:val="nil"/>
              <w:right w:val="nil"/>
            </w:tcBorders>
          </w:tcPr>
          <w:p w14:paraId="64D1C11B" w14:textId="77777777" w:rsidR="001631C6" w:rsidRPr="00B1049B" w:rsidRDefault="001631C6" w:rsidP="008F5322">
            <w:pPr>
              <w:jc w:val="center"/>
              <w:rPr>
                <w:sz w:val="22"/>
                <w:szCs w:val="22"/>
              </w:rPr>
            </w:pPr>
            <w:r w:rsidRPr="00B1049B">
              <w:rPr>
                <w:sz w:val="22"/>
                <w:szCs w:val="22"/>
              </w:rPr>
              <w:t>(0.516)</w:t>
            </w:r>
          </w:p>
        </w:tc>
      </w:tr>
      <w:tr w:rsidR="001631C6" w:rsidRPr="00B1049B" w14:paraId="3022DF0B" w14:textId="77777777" w:rsidTr="008F5322">
        <w:trPr>
          <w:trHeight w:val="80"/>
          <w:jc w:val="center"/>
        </w:trPr>
        <w:tc>
          <w:tcPr>
            <w:tcW w:w="2883" w:type="pct"/>
            <w:vMerge w:val="restart"/>
            <w:tcBorders>
              <w:top w:val="nil"/>
            </w:tcBorders>
            <w:shd w:val="clear" w:color="auto" w:fill="auto"/>
            <w:noWrap/>
            <w:vAlign w:val="center"/>
          </w:tcPr>
          <w:p w14:paraId="764082CB" w14:textId="77777777" w:rsidR="001631C6" w:rsidRPr="00B1049B" w:rsidRDefault="001631C6" w:rsidP="008F5322">
            <w:pPr>
              <w:rPr>
                <w:bCs/>
                <w:color w:val="000000"/>
                <w:sz w:val="22"/>
                <w:szCs w:val="22"/>
                <w:lang w:val="en-US" w:eastAsia="en-GB"/>
              </w:rPr>
            </w:pPr>
            <w:r w:rsidRPr="00B1049B">
              <w:rPr>
                <w:bCs/>
                <w:color w:val="000000"/>
                <w:sz w:val="22"/>
                <w:szCs w:val="22"/>
                <w:lang w:val="en-US" w:eastAsia="en-GB"/>
              </w:rPr>
              <w:t>% of BRs prior lender</w:t>
            </w:r>
          </w:p>
        </w:tc>
        <w:tc>
          <w:tcPr>
            <w:tcW w:w="706" w:type="pct"/>
            <w:tcBorders>
              <w:top w:val="nil"/>
            </w:tcBorders>
          </w:tcPr>
          <w:p w14:paraId="23E68D73" w14:textId="77777777" w:rsidR="001631C6" w:rsidRPr="00B1049B" w:rsidRDefault="001631C6" w:rsidP="008F5322">
            <w:pPr>
              <w:jc w:val="center"/>
              <w:rPr>
                <w:sz w:val="22"/>
                <w:szCs w:val="22"/>
              </w:rPr>
            </w:pPr>
            <w:r w:rsidRPr="00B1049B">
              <w:rPr>
                <w:sz w:val="22"/>
                <w:szCs w:val="22"/>
              </w:rPr>
              <w:t>0.035</w:t>
            </w:r>
          </w:p>
        </w:tc>
        <w:tc>
          <w:tcPr>
            <w:tcW w:w="706" w:type="pct"/>
            <w:tcBorders>
              <w:top w:val="nil"/>
            </w:tcBorders>
          </w:tcPr>
          <w:p w14:paraId="5ECD373D" w14:textId="77777777" w:rsidR="001631C6" w:rsidRPr="00B1049B" w:rsidRDefault="001631C6" w:rsidP="008F5322">
            <w:pPr>
              <w:jc w:val="center"/>
              <w:rPr>
                <w:sz w:val="22"/>
                <w:szCs w:val="22"/>
              </w:rPr>
            </w:pPr>
            <w:r w:rsidRPr="00B1049B">
              <w:rPr>
                <w:sz w:val="22"/>
                <w:szCs w:val="22"/>
              </w:rPr>
              <w:t>0.030</w:t>
            </w:r>
          </w:p>
        </w:tc>
        <w:tc>
          <w:tcPr>
            <w:tcW w:w="706" w:type="pct"/>
            <w:tcBorders>
              <w:top w:val="nil"/>
            </w:tcBorders>
          </w:tcPr>
          <w:p w14:paraId="01CCFD6D" w14:textId="77777777" w:rsidR="001631C6" w:rsidRPr="00B1049B" w:rsidRDefault="001631C6" w:rsidP="008F5322">
            <w:pPr>
              <w:jc w:val="center"/>
              <w:rPr>
                <w:sz w:val="22"/>
                <w:szCs w:val="22"/>
              </w:rPr>
            </w:pPr>
            <w:r w:rsidRPr="00B1049B">
              <w:rPr>
                <w:sz w:val="22"/>
                <w:szCs w:val="22"/>
              </w:rPr>
              <w:t>-0.031</w:t>
            </w:r>
          </w:p>
        </w:tc>
      </w:tr>
      <w:tr w:rsidR="001631C6" w:rsidRPr="00B1049B" w14:paraId="1276B07B" w14:textId="77777777" w:rsidTr="008F5322">
        <w:trPr>
          <w:trHeight w:val="80"/>
          <w:jc w:val="center"/>
        </w:trPr>
        <w:tc>
          <w:tcPr>
            <w:tcW w:w="2883" w:type="pct"/>
            <w:vMerge/>
            <w:shd w:val="clear" w:color="auto" w:fill="auto"/>
            <w:noWrap/>
            <w:vAlign w:val="center"/>
          </w:tcPr>
          <w:p w14:paraId="44D3756D" w14:textId="77777777" w:rsidR="001631C6" w:rsidRPr="00B1049B" w:rsidRDefault="001631C6" w:rsidP="008F5322">
            <w:pPr>
              <w:rPr>
                <w:color w:val="000000"/>
                <w:sz w:val="22"/>
                <w:szCs w:val="22"/>
                <w:lang w:val="en-US" w:eastAsia="en-GB"/>
              </w:rPr>
            </w:pPr>
          </w:p>
        </w:tc>
        <w:tc>
          <w:tcPr>
            <w:tcW w:w="706" w:type="pct"/>
            <w:tcBorders>
              <w:top w:val="nil"/>
            </w:tcBorders>
          </w:tcPr>
          <w:p w14:paraId="7F4CAB90" w14:textId="77777777" w:rsidR="001631C6" w:rsidRPr="00B1049B" w:rsidRDefault="001631C6" w:rsidP="008F5322">
            <w:pPr>
              <w:jc w:val="center"/>
              <w:rPr>
                <w:sz w:val="22"/>
                <w:szCs w:val="22"/>
              </w:rPr>
            </w:pPr>
            <w:r w:rsidRPr="00B1049B">
              <w:rPr>
                <w:sz w:val="22"/>
                <w:szCs w:val="22"/>
              </w:rPr>
              <w:t>(0.057)</w:t>
            </w:r>
          </w:p>
        </w:tc>
        <w:tc>
          <w:tcPr>
            <w:tcW w:w="706" w:type="pct"/>
            <w:tcBorders>
              <w:top w:val="nil"/>
            </w:tcBorders>
          </w:tcPr>
          <w:p w14:paraId="3B5EB2C4" w14:textId="77777777" w:rsidR="001631C6" w:rsidRPr="00B1049B" w:rsidRDefault="001631C6" w:rsidP="008F5322">
            <w:pPr>
              <w:jc w:val="center"/>
              <w:rPr>
                <w:sz w:val="22"/>
                <w:szCs w:val="22"/>
              </w:rPr>
            </w:pPr>
            <w:r w:rsidRPr="00B1049B">
              <w:rPr>
                <w:sz w:val="22"/>
                <w:szCs w:val="22"/>
              </w:rPr>
              <w:t>(0.052)</w:t>
            </w:r>
          </w:p>
        </w:tc>
        <w:tc>
          <w:tcPr>
            <w:tcW w:w="706" w:type="pct"/>
            <w:tcBorders>
              <w:top w:val="nil"/>
            </w:tcBorders>
          </w:tcPr>
          <w:p w14:paraId="3AFCE1FE" w14:textId="77777777" w:rsidR="001631C6" w:rsidRPr="00B1049B" w:rsidRDefault="001631C6" w:rsidP="008F5322">
            <w:pPr>
              <w:jc w:val="center"/>
              <w:rPr>
                <w:sz w:val="22"/>
                <w:szCs w:val="22"/>
              </w:rPr>
            </w:pPr>
            <w:r w:rsidRPr="00B1049B">
              <w:rPr>
                <w:sz w:val="22"/>
                <w:szCs w:val="22"/>
              </w:rPr>
              <w:t>(0.051)</w:t>
            </w:r>
          </w:p>
        </w:tc>
      </w:tr>
      <w:tr w:rsidR="001631C6" w:rsidRPr="00B1049B" w14:paraId="411F75F0" w14:textId="77777777" w:rsidTr="008F5322">
        <w:trPr>
          <w:trHeight w:val="80"/>
          <w:jc w:val="center"/>
        </w:trPr>
        <w:tc>
          <w:tcPr>
            <w:tcW w:w="2883" w:type="pct"/>
            <w:vMerge w:val="restart"/>
            <w:tcBorders>
              <w:top w:val="nil"/>
            </w:tcBorders>
            <w:shd w:val="clear" w:color="auto" w:fill="auto"/>
            <w:noWrap/>
            <w:vAlign w:val="center"/>
            <w:hideMark/>
          </w:tcPr>
          <w:p w14:paraId="6E5D250A"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Firm size</w:t>
            </w:r>
          </w:p>
        </w:tc>
        <w:tc>
          <w:tcPr>
            <w:tcW w:w="706" w:type="pct"/>
            <w:tcBorders>
              <w:top w:val="nil"/>
            </w:tcBorders>
          </w:tcPr>
          <w:p w14:paraId="0662DFFB" w14:textId="77777777" w:rsidR="001631C6" w:rsidRPr="00B1049B" w:rsidRDefault="001631C6" w:rsidP="008F5322">
            <w:pPr>
              <w:jc w:val="center"/>
              <w:rPr>
                <w:sz w:val="22"/>
                <w:szCs w:val="22"/>
              </w:rPr>
            </w:pPr>
            <w:r w:rsidRPr="00B1049B">
              <w:rPr>
                <w:sz w:val="22"/>
                <w:szCs w:val="22"/>
              </w:rPr>
              <w:t>-0.120***</w:t>
            </w:r>
          </w:p>
        </w:tc>
        <w:tc>
          <w:tcPr>
            <w:tcW w:w="706" w:type="pct"/>
            <w:tcBorders>
              <w:top w:val="nil"/>
            </w:tcBorders>
          </w:tcPr>
          <w:p w14:paraId="1A3750AA" w14:textId="77777777" w:rsidR="001631C6" w:rsidRPr="00B1049B" w:rsidRDefault="001631C6" w:rsidP="008F5322">
            <w:pPr>
              <w:jc w:val="center"/>
              <w:rPr>
                <w:sz w:val="22"/>
                <w:szCs w:val="22"/>
              </w:rPr>
            </w:pPr>
            <w:r w:rsidRPr="00B1049B">
              <w:rPr>
                <w:sz w:val="22"/>
                <w:szCs w:val="22"/>
              </w:rPr>
              <w:t>-0.121***</w:t>
            </w:r>
          </w:p>
        </w:tc>
        <w:tc>
          <w:tcPr>
            <w:tcW w:w="706" w:type="pct"/>
            <w:tcBorders>
              <w:top w:val="nil"/>
            </w:tcBorders>
          </w:tcPr>
          <w:p w14:paraId="571E513D" w14:textId="77777777" w:rsidR="001631C6" w:rsidRPr="00B1049B" w:rsidRDefault="001631C6" w:rsidP="008F5322">
            <w:pPr>
              <w:jc w:val="center"/>
              <w:rPr>
                <w:sz w:val="22"/>
                <w:szCs w:val="22"/>
              </w:rPr>
            </w:pPr>
            <w:r w:rsidRPr="00B1049B">
              <w:rPr>
                <w:sz w:val="22"/>
                <w:szCs w:val="22"/>
              </w:rPr>
              <w:t>-0.140***</w:t>
            </w:r>
          </w:p>
        </w:tc>
      </w:tr>
      <w:tr w:rsidR="001631C6" w:rsidRPr="00B1049B" w14:paraId="2C9E963D" w14:textId="77777777" w:rsidTr="008F5322">
        <w:trPr>
          <w:trHeight w:val="80"/>
          <w:jc w:val="center"/>
        </w:trPr>
        <w:tc>
          <w:tcPr>
            <w:tcW w:w="2883" w:type="pct"/>
            <w:vMerge/>
            <w:shd w:val="clear" w:color="auto" w:fill="auto"/>
            <w:vAlign w:val="center"/>
            <w:hideMark/>
          </w:tcPr>
          <w:p w14:paraId="6EFC5DCA" w14:textId="77777777" w:rsidR="001631C6" w:rsidRPr="00B1049B" w:rsidRDefault="001631C6" w:rsidP="008F5322">
            <w:pPr>
              <w:rPr>
                <w:color w:val="000000"/>
                <w:sz w:val="22"/>
                <w:szCs w:val="22"/>
                <w:lang w:val="en-US" w:eastAsia="en-GB"/>
              </w:rPr>
            </w:pPr>
          </w:p>
        </w:tc>
        <w:tc>
          <w:tcPr>
            <w:tcW w:w="706" w:type="pct"/>
          </w:tcPr>
          <w:p w14:paraId="62A6F3E9" w14:textId="77777777" w:rsidR="001631C6" w:rsidRPr="00B1049B" w:rsidRDefault="001631C6" w:rsidP="008F5322">
            <w:pPr>
              <w:jc w:val="center"/>
              <w:rPr>
                <w:sz w:val="22"/>
                <w:szCs w:val="22"/>
              </w:rPr>
            </w:pPr>
            <w:r w:rsidRPr="00B1049B">
              <w:rPr>
                <w:sz w:val="22"/>
                <w:szCs w:val="22"/>
              </w:rPr>
              <w:t>(0.028)</w:t>
            </w:r>
          </w:p>
        </w:tc>
        <w:tc>
          <w:tcPr>
            <w:tcW w:w="706" w:type="pct"/>
          </w:tcPr>
          <w:p w14:paraId="39E81048" w14:textId="77777777" w:rsidR="001631C6" w:rsidRPr="00B1049B" w:rsidRDefault="001631C6" w:rsidP="008F5322">
            <w:pPr>
              <w:jc w:val="center"/>
              <w:rPr>
                <w:sz w:val="22"/>
                <w:szCs w:val="22"/>
              </w:rPr>
            </w:pPr>
            <w:r w:rsidRPr="00B1049B">
              <w:rPr>
                <w:sz w:val="22"/>
                <w:szCs w:val="22"/>
              </w:rPr>
              <w:t>(0.026)</w:t>
            </w:r>
          </w:p>
        </w:tc>
        <w:tc>
          <w:tcPr>
            <w:tcW w:w="706" w:type="pct"/>
          </w:tcPr>
          <w:p w14:paraId="16C55D72" w14:textId="77777777" w:rsidR="001631C6" w:rsidRPr="00B1049B" w:rsidRDefault="001631C6" w:rsidP="008F5322">
            <w:pPr>
              <w:jc w:val="center"/>
              <w:rPr>
                <w:sz w:val="22"/>
                <w:szCs w:val="22"/>
              </w:rPr>
            </w:pPr>
            <w:r w:rsidRPr="00B1049B">
              <w:rPr>
                <w:sz w:val="22"/>
                <w:szCs w:val="22"/>
              </w:rPr>
              <w:t>(0.031)</w:t>
            </w:r>
          </w:p>
        </w:tc>
      </w:tr>
      <w:tr w:rsidR="001631C6" w:rsidRPr="00B1049B" w14:paraId="136F9DA9" w14:textId="77777777" w:rsidTr="008F5322">
        <w:trPr>
          <w:trHeight w:val="225"/>
          <w:jc w:val="center"/>
        </w:trPr>
        <w:tc>
          <w:tcPr>
            <w:tcW w:w="2883" w:type="pct"/>
            <w:vMerge w:val="restart"/>
            <w:shd w:val="clear" w:color="auto" w:fill="auto"/>
            <w:noWrap/>
            <w:vAlign w:val="center"/>
            <w:hideMark/>
          </w:tcPr>
          <w:p w14:paraId="5AF661FF"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Profitability</w:t>
            </w:r>
          </w:p>
        </w:tc>
        <w:tc>
          <w:tcPr>
            <w:tcW w:w="706" w:type="pct"/>
          </w:tcPr>
          <w:p w14:paraId="391A6A8C" w14:textId="77777777" w:rsidR="001631C6" w:rsidRPr="00B1049B" w:rsidRDefault="001631C6" w:rsidP="008F5322">
            <w:pPr>
              <w:jc w:val="center"/>
              <w:rPr>
                <w:sz w:val="22"/>
                <w:szCs w:val="22"/>
              </w:rPr>
            </w:pPr>
            <w:r w:rsidRPr="00B1049B">
              <w:rPr>
                <w:sz w:val="22"/>
                <w:szCs w:val="22"/>
              </w:rPr>
              <w:t>-1.638***</w:t>
            </w:r>
          </w:p>
        </w:tc>
        <w:tc>
          <w:tcPr>
            <w:tcW w:w="706" w:type="pct"/>
          </w:tcPr>
          <w:p w14:paraId="457660D0" w14:textId="77777777" w:rsidR="001631C6" w:rsidRPr="00B1049B" w:rsidRDefault="001631C6" w:rsidP="008F5322">
            <w:pPr>
              <w:jc w:val="center"/>
              <w:rPr>
                <w:sz w:val="22"/>
                <w:szCs w:val="22"/>
              </w:rPr>
            </w:pPr>
            <w:r w:rsidRPr="00B1049B">
              <w:rPr>
                <w:sz w:val="22"/>
                <w:szCs w:val="22"/>
              </w:rPr>
              <w:t>-1.728***</w:t>
            </w:r>
          </w:p>
        </w:tc>
        <w:tc>
          <w:tcPr>
            <w:tcW w:w="706" w:type="pct"/>
          </w:tcPr>
          <w:p w14:paraId="696CF13D" w14:textId="77777777" w:rsidR="001631C6" w:rsidRPr="00B1049B" w:rsidRDefault="001631C6" w:rsidP="008F5322">
            <w:pPr>
              <w:jc w:val="center"/>
              <w:rPr>
                <w:sz w:val="22"/>
                <w:szCs w:val="22"/>
              </w:rPr>
            </w:pPr>
            <w:r w:rsidRPr="00B1049B">
              <w:rPr>
                <w:sz w:val="22"/>
                <w:szCs w:val="22"/>
              </w:rPr>
              <w:t>-1.622***</w:t>
            </w:r>
          </w:p>
        </w:tc>
      </w:tr>
      <w:tr w:rsidR="001631C6" w:rsidRPr="00B1049B" w14:paraId="2B2AB7B6" w14:textId="77777777" w:rsidTr="008F5322">
        <w:trPr>
          <w:trHeight w:val="80"/>
          <w:jc w:val="center"/>
        </w:trPr>
        <w:tc>
          <w:tcPr>
            <w:tcW w:w="2883" w:type="pct"/>
            <w:vMerge/>
            <w:shd w:val="clear" w:color="auto" w:fill="auto"/>
            <w:vAlign w:val="center"/>
            <w:hideMark/>
          </w:tcPr>
          <w:p w14:paraId="3C001078" w14:textId="77777777" w:rsidR="001631C6" w:rsidRPr="00B1049B" w:rsidRDefault="001631C6" w:rsidP="008F5322">
            <w:pPr>
              <w:rPr>
                <w:color w:val="000000"/>
                <w:sz w:val="22"/>
                <w:szCs w:val="22"/>
                <w:lang w:val="en-US" w:eastAsia="en-GB"/>
              </w:rPr>
            </w:pPr>
          </w:p>
        </w:tc>
        <w:tc>
          <w:tcPr>
            <w:tcW w:w="706" w:type="pct"/>
          </w:tcPr>
          <w:p w14:paraId="6984AEA6" w14:textId="77777777" w:rsidR="001631C6" w:rsidRPr="00B1049B" w:rsidRDefault="001631C6" w:rsidP="008F5322">
            <w:pPr>
              <w:jc w:val="center"/>
              <w:rPr>
                <w:sz w:val="22"/>
                <w:szCs w:val="22"/>
              </w:rPr>
            </w:pPr>
            <w:r w:rsidRPr="00B1049B">
              <w:rPr>
                <w:sz w:val="22"/>
                <w:szCs w:val="22"/>
              </w:rPr>
              <w:t>(0.537)</w:t>
            </w:r>
          </w:p>
        </w:tc>
        <w:tc>
          <w:tcPr>
            <w:tcW w:w="706" w:type="pct"/>
          </w:tcPr>
          <w:p w14:paraId="222CF517" w14:textId="77777777" w:rsidR="001631C6" w:rsidRPr="00B1049B" w:rsidRDefault="001631C6" w:rsidP="008F5322">
            <w:pPr>
              <w:jc w:val="center"/>
              <w:rPr>
                <w:sz w:val="22"/>
                <w:szCs w:val="22"/>
              </w:rPr>
            </w:pPr>
            <w:r w:rsidRPr="00B1049B">
              <w:rPr>
                <w:sz w:val="22"/>
                <w:szCs w:val="22"/>
              </w:rPr>
              <w:t>(0.511)</w:t>
            </w:r>
          </w:p>
        </w:tc>
        <w:tc>
          <w:tcPr>
            <w:tcW w:w="706" w:type="pct"/>
          </w:tcPr>
          <w:p w14:paraId="31C34494" w14:textId="77777777" w:rsidR="001631C6" w:rsidRPr="00B1049B" w:rsidRDefault="001631C6" w:rsidP="008F5322">
            <w:pPr>
              <w:jc w:val="center"/>
              <w:rPr>
                <w:sz w:val="22"/>
                <w:szCs w:val="22"/>
              </w:rPr>
            </w:pPr>
            <w:r w:rsidRPr="00B1049B">
              <w:rPr>
                <w:sz w:val="22"/>
                <w:szCs w:val="22"/>
              </w:rPr>
              <w:t>(0.523)</w:t>
            </w:r>
          </w:p>
        </w:tc>
      </w:tr>
      <w:tr w:rsidR="001631C6" w:rsidRPr="00B1049B" w14:paraId="5F45E05D" w14:textId="77777777" w:rsidTr="008F5322">
        <w:trPr>
          <w:trHeight w:val="195"/>
          <w:jc w:val="center"/>
        </w:trPr>
        <w:tc>
          <w:tcPr>
            <w:tcW w:w="2883" w:type="pct"/>
            <w:vMerge w:val="restart"/>
            <w:shd w:val="clear" w:color="auto" w:fill="auto"/>
            <w:noWrap/>
            <w:vAlign w:val="center"/>
            <w:hideMark/>
          </w:tcPr>
          <w:p w14:paraId="20D681B5"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Intangible assets</w:t>
            </w:r>
          </w:p>
        </w:tc>
        <w:tc>
          <w:tcPr>
            <w:tcW w:w="706" w:type="pct"/>
          </w:tcPr>
          <w:p w14:paraId="603AC642" w14:textId="77777777" w:rsidR="001631C6" w:rsidRPr="00B1049B" w:rsidRDefault="001631C6" w:rsidP="008F5322">
            <w:pPr>
              <w:jc w:val="center"/>
              <w:rPr>
                <w:sz w:val="22"/>
                <w:szCs w:val="22"/>
              </w:rPr>
            </w:pPr>
            <w:r w:rsidRPr="00B1049B">
              <w:rPr>
                <w:sz w:val="22"/>
                <w:szCs w:val="22"/>
              </w:rPr>
              <w:t>-0.166</w:t>
            </w:r>
          </w:p>
        </w:tc>
        <w:tc>
          <w:tcPr>
            <w:tcW w:w="706" w:type="pct"/>
          </w:tcPr>
          <w:p w14:paraId="49D4B315" w14:textId="77777777" w:rsidR="001631C6" w:rsidRPr="00B1049B" w:rsidRDefault="001631C6" w:rsidP="008F5322">
            <w:pPr>
              <w:jc w:val="center"/>
              <w:rPr>
                <w:sz w:val="22"/>
                <w:szCs w:val="22"/>
              </w:rPr>
            </w:pPr>
            <w:r w:rsidRPr="00B1049B">
              <w:rPr>
                <w:sz w:val="22"/>
                <w:szCs w:val="22"/>
              </w:rPr>
              <w:t>-0.050</w:t>
            </w:r>
          </w:p>
        </w:tc>
        <w:tc>
          <w:tcPr>
            <w:tcW w:w="706" w:type="pct"/>
          </w:tcPr>
          <w:p w14:paraId="7FE7160D" w14:textId="77777777" w:rsidR="001631C6" w:rsidRPr="00B1049B" w:rsidRDefault="001631C6" w:rsidP="008F5322">
            <w:pPr>
              <w:jc w:val="center"/>
              <w:rPr>
                <w:sz w:val="22"/>
                <w:szCs w:val="22"/>
              </w:rPr>
            </w:pPr>
            <w:r w:rsidRPr="00B1049B">
              <w:rPr>
                <w:sz w:val="22"/>
                <w:szCs w:val="22"/>
              </w:rPr>
              <w:t>-0.151</w:t>
            </w:r>
          </w:p>
        </w:tc>
      </w:tr>
      <w:tr w:rsidR="001631C6" w:rsidRPr="00B1049B" w14:paraId="691CD8B3" w14:textId="77777777" w:rsidTr="008F5322">
        <w:trPr>
          <w:trHeight w:val="80"/>
          <w:jc w:val="center"/>
        </w:trPr>
        <w:tc>
          <w:tcPr>
            <w:tcW w:w="2883" w:type="pct"/>
            <w:vMerge/>
            <w:shd w:val="clear" w:color="auto" w:fill="auto"/>
            <w:vAlign w:val="center"/>
            <w:hideMark/>
          </w:tcPr>
          <w:p w14:paraId="16BD4281" w14:textId="77777777" w:rsidR="001631C6" w:rsidRPr="00B1049B" w:rsidRDefault="001631C6" w:rsidP="008F5322">
            <w:pPr>
              <w:rPr>
                <w:color w:val="000000"/>
                <w:sz w:val="22"/>
                <w:szCs w:val="22"/>
                <w:lang w:val="en-US" w:eastAsia="en-GB"/>
              </w:rPr>
            </w:pPr>
          </w:p>
        </w:tc>
        <w:tc>
          <w:tcPr>
            <w:tcW w:w="706" w:type="pct"/>
          </w:tcPr>
          <w:p w14:paraId="75AD05DC" w14:textId="77777777" w:rsidR="001631C6" w:rsidRPr="00B1049B" w:rsidRDefault="001631C6" w:rsidP="008F5322">
            <w:pPr>
              <w:jc w:val="center"/>
              <w:rPr>
                <w:sz w:val="22"/>
                <w:szCs w:val="22"/>
              </w:rPr>
            </w:pPr>
            <w:r w:rsidRPr="00B1049B">
              <w:rPr>
                <w:sz w:val="22"/>
                <w:szCs w:val="22"/>
              </w:rPr>
              <w:t>(0.105)</w:t>
            </w:r>
          </w:p>
        </w:tc>
        <w:tc>
          <w:tcPr>
            <w:tcW w:w="706" w:type="pct"/>
          </w:tcPr>
          <w:p w14:paraId="09C6AF34" w14:textId="77777777" w:rsidR="001631C6" w:rsidRPr="00B1049B" w:rsidRDefault="001631C6" w:rsidP="008F5322">
            <w:pPr>
              <w:jc w:val="center"/>
              <w:rPr>
                <w:sz w:val="22"/>
                <w:szCs w:val="22"/>
              </w:rPr>
            </w:pPr>
            <w:r w:rsidRPr="00B1049B">
              <w:rPr>
                <w:sz w:val="22"/>
                <w:szCs w:val="22"/>
              </w:rPr>
              <w:t>(0.099)</w:t>
            </w:r>
          </w:p>
        </w:tc>
        <w:tc>
          <w:tcPr>
            <w:tcW w:w="706" w:type="pct"/>
          </w:tcPr>
          <w:p w14:paraId="263C0F1F" w14:textId="77777777" w:rsidR="001631C6" w:rsidRPr="00B1049B" w:rsidRDefault="001631C6" w:rsidP="008F5322">
            <w:pPr>
              <w:jc w:val="center"/>
              <w:rPr>
                <w:sz w:val="22"/>
                <w:szCs w:val="22"/>
              </w:rPr>
            </w:pPr>
            <w:r w:rsidRPr="00B1049B">
              <w:rPr>
                <w:sz w:val="22"/>
                <w:szCs w:val="22"/>
              </w:rPr>
              <w:t>(0.098)</w:t>
            </w:r>
          </w:p>
        </w:tc>
      </w:tr>
      <w:tr w:rsidR="001631C6" w:rsidRPr="00B1049B" w14:paraId="373495CB" w14:textId="77777777" w:rsidTr="008F5322">
        <w:trPr>
          <w:trHeight w:val="80"/>
          <w:jc w:val="center"/>
        </w:trPr>
        <w:tc>
          <w:tcPr>
            <w:tcW w:w="2883" w:type="pct"/>
            <w:vMerge w:val="restart"/>
            <w:shd w:val="clear" w:color="auto" w:fill="auto"/>
            <w:noWrap/>
            <w:vAlign w:val="center"/>
            <w:hideMark/>
          </w:tcPr>
          <w:p w14:paraId="12B22CF6"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Leverage</w:t>
            </w:r>
          </w:p>
        </w:tc>
        <w:tc>
          <w:tcPr>
            <w:tcW w:w="706" w:type="pct"/>
          </w:tcPr>
          <w:p w14:paraId="58739C5A" w14:textId="77777777" w:rsidR="001631C6" w:rsidRPr="00B1049B" w:rsidRDefault="001631C6" w:rsidP="008F5322">
            <w:pPr>
              <w:jc w:val="center"/>
              <w:rPr>
                <w:sz w:val="22"/>
                <w:szCs w:val="22"/>
              </w:rPr>
            </w:pPr>
            <w:r w:rsidRPr="00B1049B">
              <w:rPr>
                <w:sz w:val="22"/>
                <w:szCs w:val="22"/>
              </w:rPr>
              <w:t>0.312*</w:t>
            </w:r>
          </w:p>
        </w:tc>
        <w:tc>
          <w:tcPr>
            <w:tcW w:w="706" w:type="pct"/>
          </w:tcPr>
          <w:p w14:paraId="6642115E" w14:textId="77777777" w:rsidR="001631C6" w:rsidRPr="00B1049B" w:rsidRDefault="001631C6" w:rsidP="008F5322">
            <w:pPr>
              <w:jc w:val="center"/>
              <w:rPr>
                <w:sz w:val="22"/>
                <w:szCs w:val="22"/>
              </w:rPr>
            </w:pPr>
            <w:r w:rsidRPr="00B1049B">
              <w:rPr>
                <w:sz w:val="22"/>
                <w:szCs w:val="22"/>
              </w:rPr>
              <w:t>0.237</w:t>
            </w:r>
          </w:p>
        </w:tc>
        <w:tc>
          <w:tcPr>
            <w:tcW w:w="706" w:type="pct"/>
          </w:tcPr>
          <w:p w14:paraId="0FA139D7" w14:textId="77777777" w:rsidR="001631C6" w:rsidRPr="00B1049B" w:rsidRDefault="001631C6" w:rsidP="008F5322">
            <w:pPr>
              <w:jc w:val="center"/>
              <w:rPr>
                <w:sz w:val="22"/>
                <w:szCs w:val="22"/>
              </w:rPr>
            </w:pPr>
            <w:r w:rsidRPr="00B1049B">
              <w:rPr>
                <w:sz w:val="22"/>
                <w:szCs w:val="22"/>
              </w:rPr>
              <w:t>0.203</w:t>
            </w:r>
          </w:p>
        </w:tc>
      </w:tr>
      <w:tr w:rsidR="001631C6" w:rsidRPr="00B1049B" w14:paraId="4E08D24F" w14:textId="77777777" w:rsidTr="008F5322">
        <w:trPr>
          <w:trHeight w:val="80"/>
          <w:jc w:val="center"/>
        </w:trPr>
        <w:tc>
          <w:tcPr>
            <w:tcW w:w="2883" w:type="pct"/>
            <w:vMerge/>
            <w:shd w:val="clear" w:color="auto" w:fill="auto"/>
            <w:vAlign w:val="center"/>
            <w:hideMark/>
          </w:tcPr>
          <w:p w14:paraId="7763586C" w14:textId="77777777" w:rsidR="001631C6" w:rsidRPr="00B1049B" w:rsidRDefault="001631C6" w:rsidP="008F5322">
            <w:pPr>
              <w:rPr>
                <w:color w:val="000000"/>
                <w:sz w:val="22"/>
                <w:szCs w:val="22"/>
                <w:lang w:val="en-US" w:eastAsia="en-GB"/>
              </w:rPr>
            </w:pPr>
          </w:p>
        </w:tc>
        <w:tc>
          <w:tcPr>
            <w:tcW w:w="706" w:type="pct"/>
          </w:tcPr>
          <w:p w14:paraId="3944129B" w14:textId="77777777" w:rsidR="001631C6" w:rsidRPr="00B1049B" w:rsidRDefault="001631C6" w:rsidP="008F5322">
            <w:pPr>
              <w:jc w:val="center"/>
              <w:rPr>
                <w:sz w:val="22"/>
                <w:szCs w:val="22"/>
              </w:rPr>
            </w:pPr>
            <w:r w:rsidRPr="00B1049B">
              <w:rPr>
                <w:sz w:val="22"/>
                <w:szCs w:val="22"/>
              </w:rPr>
              <w:t>(0.176)</w:t>
            </w:r>
          </w:p>
        </w:tc>
        <w:tc>
          <w:tcPr>
            <w:tcW w:w="706" w:type="pct"/>
          </w:tcPr>
          <w:p w14:paraId="038AA964" w14:textId="77777777" w:rsidR="001631C6" w:rsidRPr="00B1049B" w:rsidRDefault="001631C6" w:rsidP="008F5322">
            <w:pPr>
              <w:jc w:val="center"/>
              <w:rPr>
                <w:sz w:val="22"/>
                <w:szCs w:val="22"/>
              </w:rPr>
            </w:pPr>
            <w:r w:rsidRPr="00B1049B">
              <w:rPr>
                <w:sz w:val="22"/>
                <w:szCs w:val="22"/>
              </w:rPr>
              <w:t>(0.164)</w:t>
            </w:r>
          </w:p>
        </w:tc>
        <w:tc>
          <w:tcPr>
            <w:tcW w:w="706" w:type="pct"/>
          </w:tcPr>
          <w:p w14:paraId="79911613" w14:textId="77777777" w:rsidR="001631C6" w:rsidRPr="00B1049B" w:rsidRDefault="001631C6" w:rsidP="008F5322">
            <w:pPr>
              <w:jc w:val="center"/>
              <w:rPr>
                <w:sz w:val="22"/>
                <w:szCs w:val="22"/>
              </w:rPr>
            </w:pPr>
            <w:r w:rsidRPr="00B1049B">
              <w:rPr>
                <w:sz w:val="22"/>
                <w:szCs w:val="22"/>
              </w:rPr>
              <w:t>(0.163)</w:t>
            </w:r>
          </w:p>
        </w:tc>
      </w:tr>
      <w:tr w:rsidR="001631C6" w:rsidRPr="00B1049B" w14:paraId="15ED0A5C" w14:textId="77777777" w:rsidTr="008F5322">
        <w:trPr>
          <w:trHeight w:val="195"/>
          <w:jc w:val="center"/>
        </w:trPr>
        <w:tc>
          <w:tcPr>
            <w:tcW w:w="2883" w:type="pct"/>
            <w:vMerge w:val="restart"/>
            <w:shd w:val="clear" w:color="auto" w:fill="auto"/>
            <w:noWrap/>
            <w:vAlign w:val="center"/>
            <w:hideMark/>
          </w:tcPr>
          <w:p w14:paraId="437900D5"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Growth opportunities</w:t>
            </w:r>
          </w:p>
        </w:tc>
        <w:tc>
          <w:tcPr>
            <w:tcW w:w="706" w:type="pct"/>
          </w:tcPr>
          <w:p w14:paraId="1421C6F2" w14:textId="77777777" w:rsidR="001631C6" w:rsidRPr="00B1049B" w:rsidRDefault="001631C6" w:rsidP="008F5322">
            <w:pPr>
              <w:jc w:val="center"/>
              <w:rPr>
                <w:sz w:val="22"/>
                <w:szCs w:val="22"/>
              </w:rPr>
            </w:pPr>
            <w:r w:rsidRPr="00B1049B">
              <w:rPr>
                <w:sz w:val="22"/>
                <w:szCs w:val="22"/>
              </w:rPr>
              <w:t>-0.120***</w:t>
            </w:r>
          </w:p>
        </w:tc>
        <w:tc>
          <w:tcPr>
            <w:tcW w:w="706" w:type="pct"/>
          </w:tcPr>
          <w:p w14:paraId="6ED9E40A" w14:textId="77777777" w:rsidR="001631C6" w:rsidRPr="00B1049B" w:rsidRDefault="001631C6" w:rsidP="008F5322">
            <w:pPr>
              <w:jc w:val="center"/>
              <w:rPr>
                <w:sz w:val="22"/>
                <w:szCs w:val="22"/>
              </w:rPr>
            </w:pPr>
            <w:r w:rsidRPr="00B1049B">
              <w:rPr>
                <w:sz w:val="22"/>
                <w:szCs w:val="22"/>
              </w:rPr>
              <w:t>-0.087**</w:t>
            </w:r>
          </w:p>
        </w:tc>
        <w:tc>
          <w:tcPr>
            <w:tcW w:w="706" w:type="pct"/>
          </w:tcPr>
          <w:p w14:paraId="380E4154" w14:textId="77777777" w:rsidR="001631C6" w:rsidRPr="00B1049B" w:rsidRDefault="001631C6" w:rsidP="008F5322">
            <w:pPr>
              <w:jc w:val="center"/>
              <w:rPr>
                <w:sz w:val="22"/>
                <w:szCs w:val="22"/>
              </w:rPr>
            </w:pPr>
            <w:r w:rsidRPr="00B1049B">
              <w:rPr>
                <w:sz w:val="22"/>
                <w:szCs w:val="22"/>
              </w:rPr>
              <w:t>-0.126***</w:t>
            </w:r>
          </w:p>
        </w:tc>
      </w:tr>
      <w:tr w:rsidR="001631C6" w:rsidRPr="00B1049B" w14:paraId="1E7FB1FF" w14:textId="77777777" w:rsidTr="008F5322">
        <w:trPr>
          <w:trHeight w:val="80"/>
          <w:jc w:val="center"/>
        </w:trPr>
        <w:tc>
          <w:tcPr>
            <w:tcW w:w="2883" w:type="pct"/>
            <w:vMerge/>
            <w:vAlign w:val="center"/>
            <w:hideMark/>
          </w:tcPr>
          <w:p w14:paraId="41B332E7" w14:textId="77777777" w:rsidR="001631C6" w:rsidRPr="00B1049B" w:rsidRDefault="001631C6" w:rsidP="008F5322">
            <w:pPr>
              <w:rPr>
                <w:color w:val="000000"/>
                <w:sz w:val="22"/>
                <w:szCs w:val="22"/>
                <w:lang w:val="en-US" w:eastAsia="en-GB"/>
              </w:rPr>
            </w:pPr>
          </w:p>
        </w:tc>
        <w:tc>
          <w:tcPr>
            <w:tcW w:w="706" w:type="pct"/>
          </w:tcPr>
          <w:p w14:paraId="12B4ACB3" w14:textId="77777777" w:rsidR="001631C6" w:rsidRPr="00B1049B" w:rsidRDefault="001631C6" w:rsidP="008F5322">
            <w:pPr>
              <w:jc w:val="center"/>
              <w:rPr>
                <w:sz w:val="22"/>
                <w:szCs w:val="22"/>
              </w:rPr>
            </w:pPr>
            <w:r w:rsidRPr="00B1049B">
              <w:rPr>
                <w:sz w:val="22"/>
                <w:szCs w:val="22"/>
              </w:rPr>
              <w:t>(0.044)</w:t>
            </w:r>
          </w:p>
        </w:tc>
        <w:tc>
          <w:tcPr>
            <w:tcW w:w="706" w:type="pct"/>
          </w:tcPr>
          <w:p w14:paraId="38520E45" w14:textId="77777777" w:rsidR="001631C6" w:rsidRPr="00B1049B" w:rsidRDefault="001631C6" w:rsidP="008F5322">
            <w:pPr>
              <w:jc w:val="center"/>
              <w:rPr>
                <w:sz w:val="22"/>
                <w:szCs w:val="22"/>
              </w:rPr>
            </w:pPr>
            <w:r w:rsidRPr="00B1049B">
              <w:rPr>
                <w:sz w:val="22"/>
                <w:szCs w:val="22"/>
              </w:rPr>
              <w:t>(0.044)</w:t>
            </w:r>
          </w:p>
        </w:tc>
        <w:tc>
          <w:tcPr>
            <w:tcW w:w="706" w:type="pct"/>
          </w:tcPr>
          <w:p w14:paraId="3EFA2C3B" w14:textId="77777777" w:rsidR="001631C6" w:rsidRPr="00B1049B" w:rsidRDefault="001631C6" w:rsidP="008F5322">
            <w:pPr>
              <w:jc w:val="center"/>
              <w:rPr>
                <w:sz w:val="22"/>
                <w:szCs w:val="22"/>
              </w:rPr>
            </w:pPr>
            <w:r w:rsidRPr="00B1049B">
              <w:rPr>
                <w:sz w:val="22"/>
                <w:szCs w:val="22"/>
              </w:rPr>
              <w:t>(0.044)</w:t>
            </w:r>
          </w:p>
        </w:tc>
      </w:tr>
      <w:tr w:rsidR="001631C6" w:rsidRPr="00B1049B" w14:paraId="398D3DEA" w14:textId="77777777" w:rsidTr="008F5322">
        <w:trPr>
          <w:trHeight w:val="195"/>
          <w:jc w:val="center"/>
        </w:trPr>
        <w:tc>
          <w:tcPr>
            <w:tcW w:w="2883" w:type="pct"/>
            <w:vMerge w:val="restart"/>
            <w:shd w:val="clear" w:color="auto" w:fill="auto"/>
            <w:noWrap/>
            <w:vAlign w:val="center"/>
            <w:hideMark/>
          </w:tcPr>
          <w:p w14:paraId="23DC3FF5"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Government owned</w:t>
            </w:r>
          </w:p>
        </w:tc>
        <w:tc>
          <w:tcPr>
            <w:tcW w:w="706" w:type="pct"/>
          </w:tcPr>
          <w:p w14:paraId="538E55F2" w14:textId="77777777" w:rsidR="001631C6" w:rsidRPr="00B1049B" w:rsidRDefault="001631C6" w:rsidP="008F5322">
            <w:pPr>
              <w:jc w:val="center"/>
              <w:rPr>
                <w:sz w:val="22"/>
                <w:szCs w:val="22"/>
              </w:rPr>
            </w:pPr>
            <w:r w:rsidRPr="00B1049B">
              <w:rPr>
                <w:sz w:val="22"/>
                <w:szCs w:val="22"/>
              </w:rPr>
              <w:t>0.369**</w:t>
            </w:r>
          </w:p>
        </w:tc>
        <w:tc>
          <w:tcPr>
            <w:tcW w:w="706" w:type="pct"/>
          </w:tcPr>
          <w:p w14:paraId="16840ABF" w14:textId="77777777" w:rsidR="001631C6" w:rsidRPr="00B1049B" w:rsidRDefault="001631C6" w:rsidP="008F5322">
            <w:pPr>
              <w:jc w:val="center"/>
              <w:rPr>
                <w:sz w:val="22"/>
                <w:szCs w:val="22"/>
              </w:rPr>
            </w:pPr>
            <w:r w:rsidRPr="00B1049B">
              <w:rPr>
                <w:sz w:val="22"/>
                <w:szCs w:val="22"/>
              </w:rPr>
              <w:t>0.267*</w:t>
            </w:r>
          </w:p>
        </w:tc>
        <w:tc>
          <w:tcPr>
            <w:tcW w:w="706" w:type="pct"/>
          </w:tcPr>
          <w:p w14:paraId="629CEF17" w14:textId="77777777" w:rsidR="001631C6" w:rsidRPr="00B1049B" w:rsidRDefault="001631C6" w:rsidP="008F5322">
            <w:pPr>
              <w:jc w:val="center"/>
              <w:rPr>
                <w:sz w:val="22"/>
                <w:szCs w:val="22"/>
              </w:rPr>
            </w:pPr>
            <w:r w:rsidRPr="00B1049B">
              <w:rPr>
                <w:sz w:val="22"/>
                <w:szCs w:val="22"/>
              </w:rPr>
              <w:t>0.406***</w:t>
            </w:r>
          </w:p>
        </w:tc>
      </w:tr>
      <w:tr w:rsidR="001631C6" w:rsidRPr="00B1049B" w14:paraId="0FF41FD4" w14:textId="77777777" w:rsidTr="008F5322">
        <w:trPr>
          <w:trHeight w:val="80"/>
          <w:jc w:val="center"/>
        </w:trPr>
        <w:tc>
          <w:tcPr>
            <w:tcW w:w="2883" w:type="pct"/>
            <w:vMerge/>
            <w:shd w:val="clear" w:color="auto" w:fill="auto"/>
            <w:vAlign w:val="center"/>
            <w:hideMark/>
          </w:tcPr>
          <w:p w14:paraId="7A8D1DCF" w14:textId="77777777" w:rsidR="001631C6" w:rsidRPr="00B1049B" w:rsidRDefault="001631C6" w:rsidP="008F5322">
            <w:pPr>
              <w:rPr>
                <w:color w:val="000000"/>
                <w:sz w:val="22"/>
                <w:szCs w:val="22"/>
                <w:lang w:val="en-US" w:eastAsia="en-GB"/>
              </w:rPr>
            </w:pPr>
          </w:p>
        </w:tc>
        <w:tc>
          <w:tcPr>
            <w:tcW w:w="706" w:type="pct"/>
          </w:tcPr>
          <w:p w14:paraId="12BD8C4E" w14:textId="77777777" w:rsidR="001631C6" w:rsidRPr="00B1049B" w:rsidRDefault="001631C6" w:rsidP="008F5322">
            <w:pPr>
              <w:jc w:val="center"/>
              <w:rPr>
                <w:sz w:val="22"/>
                <w:szCs w:val="22"/>
              </w:rPr>
            </w:pPr>
            <w:r w:rsidRPr="00B1049B">
              <w:rPr>
                <w:sz w:val="22"/>
                <w:szCs w:val="22"/>
              </w:rPr>
              <w:t>(0.146)</w:t>
            </w:r>
          </w:p>
        </w:tc>
        <w:tc>
          <w:tcPr>
            <w:tcW w:w="706" w:type="pct"/>
          </w:tcPr>
          <w:p w14:paraId="0CBC5ACA" w14:textId="77777777" w:rsidR="001631C6" w:rsidRPr="00B1049B" w:rsidRDefault="001631C6" w:rsidP="008F5322">
            <w:pPr>
              <w:jc w:val="center"/>
              <w:rPr>
                <w:sz w:val="22"/>
                <w:szCs w:val="22"/>
              </w:rPr>
            </w:pPr>
            <w:r w:rsidRPr="00B1049B">
              <w:rPr>
                <w:sz w:val="22"/>
                <w:szCs w:val="22"/>
              </w:rPr>
              <w:t>(0.137)</w:t>
            </w:r>
          </w:p>
        </w:tc>
        <w:tc>
          <w:tcPr>
            <w:tcW w:w="706" w:type="pct"/>
          </w:tcPr>
          <w:p w14:paraId="30F3B1AE" w14:textId="77777777" w:rsidR="001631C6" w:rsidRPr="00B1049B" w:rsidRDefault="001631C6" w:rsidP="008F5322">
            <w:pPr>
              <w:jc w:val="center"/>
              <w:rPr>
                <w:sz w:val="22"/>
                <w:szCs w:val="22"/>
              </w:rPr>
            </w:pPr>
            <w:r w:rsidRPr="00B1049B">
              <w:rPr>
                <w:sz w:val="22"/>
                <w:szCs w:val="22"/>
              </w:rPr>
              <w:t>(0.152)</w:t>
            </w:r>
          </w:p>
        </w:tc>
      </w:tr>
      <w:tr w:rsidR="001631C6" w:rsidRPr="00B1049B" w14:paraId="43238587" w14:textId="77777777" w:rsidTr="008F5322">
        <w:trPr>
          <w:trHeight w:val="195"/>
          <w:jc w:val="center"/>
        </w:trPr>
        <w:tc>
          <w:tcPr>
            <w:tcW w:w="2883" w:type="pct"/>
            <w:vMerge w:val="restart"/>
            <w:shd w:val="clear" w:color="auto" w:fill="auto"/>
            <w:noWrap/>
            <w:vAlign w:val="center"/>
            <w:hideMark/>
          </w:tcPr>
          <w:p w14:paraId="2375C3A9"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Maturity</w:t>
            </w:r>
          </w:p>
        </w:tc>
        <w:tc>
          <w:tcPr>
            <w:tcW w:w="706" w:type="pct"/>
          </w:tcPr>
          <w:p w14:paraId="77DFF458" w14:textId="77777777" w:rsidR="001631C6" w:rsidRPr="00B1049B" w:rsidRDefault="001631C6" w:rsidP="008F5322">
            <w:pPr>
              <w:jc w:val="center"/>
              <w:rPr>
                <w:sz w:val="22"/>
                <w:szCs w:val="22"/>
              </w:rPr>
            </w:pPr>
            <w:r w:rsidRPr="00B1049B">
              <w:rPr>
                <w:sz w:val="22"/>
                <w:szCs w:val="22"/>
              </w:rPr>
              <w:t>0.125***</w:t>
            </w:r>
          </w:p>
        </w:tc>
        <w:tc>
          <w:tcPr>
            <w:tcW w:w="706" w:type="pct"/>
          </w:tcPr>
          <w:p w14:paraId="65ADDEE2" w14:textId="77777777" w:rsidR="001631C6" w:rsidRPr="00B1049B" w:rsidRDefault="001631C6" w:rsidP="008F5322">
            <w:pPr>
              <w:jc w:val="center"/>
              <w:rPr>
                <w:sz w:val="22"/>
                <w:szCs w:val="22"/>
              </w:rPr>
            </w:pPr>
            <w:r w:rsidRPr="00B1049B">
              <w:rPr>
                <w:sz w:val="22"/>
                <w:szCs w:val="22"/>
              </w:rPr>
              <w:t>0.148***</w:t>
            </w:r>
          </w:p>
        </w:tc>
        <w:tc>
          <w:tcPr>
            <w:tcW w:w="706" w:type="pct"/>
          </w:tcPr>
          <w:p w14:paraId="5A4C7B50" w14:textId="77777777" w:rsidR="001631C6" w:rsidRPr="00B1049B" w:rsidRDefault="001631C6" w:rsidP="008F5322">
            <w:pPr>
              <w:jc w:val="center"/>
              <w:rPr>
                <w:sz w:val="22"/>
                <w:szCs w:val="22"/>
              </w:rPr>
            </w:pPr>
            <w:r w:rsidRPr="00B1049B">
              <w:rPr>
                <w:sz w:val="22"/>
                <w:szCs w:val="22"/>
              </w:rPr>
              <w:t>0.151***</w:t>
            </w:r>
          </w:p>
        </w:tc>
      </w:tr>
      <w:tr w:rsidR="001631C6" w:rsidRPr="00B1049B" w14:paraId="5B974154" w14:textId="77777777" w:rsidTr="008F5322">
        <w:trPr>
          <w:trHeight w:val="80"/>
          <w:jc w:val="center"/>
        </w:trPr>
        <w:tc>
          <w:tcPr>
            <w:tcW w:w="2883" w:type="pct"/>
            <w:vMerge/>
            <w:shd w:val="clear" w:color="auto" w:fill="auto"/>
            <w:vAlign w:val="center"/>
            <w:hideMark/>
          </w:tcPr>
          <w:p w14:paraId="44C6613D" w14:textId="77777777" w:rsidR="001631C6" w:rsidRPr="00B1049B" w:rsidRDefault="001631C6" w:rsidP="008F5322">
            <w:pPr>
              <w:rPr>
                <w:color w:val="000000"/>
                <w:sz w:val="22"/>
                <w:szCs w:val="22"/>
                <w:lang w:val="en-US" w:eastAsia="en-GB"/>
              </w:rPr>
            </w:pPr>
          </w:p>
        </w:tc>
        <w:tc>
          <w:tcPr>
            <w:tcW w:w="706" w:type="pct"/>
          </w:tcPr>
          <w:p w14:paraId="098D28CC" w14:textId="77777777" w:rsidR="001631C6" w:rsidRPr="00B1049B" w:rsidRDefault="001631C6" w:rsidP="008F5322">
            <w:pPr>
              <w:jc w:val="center"/>
              <w:rPr>
                <w:sz w:val="22"/>
                <w:szCs w:val="22"/>
              </w:rPr>
            </w:pPr>
            <w:r w:rsidRPr="00B1049B">
              <w:rPr>
                <w:sz w:val="22"/>
                <w:szCs w:val="22"/>
              </w:rPr>
              <w:t>(0.042)</w:t>
            </w:r>
          </w:p>
        </w:tc>
        <w:tc>
          <w:tcPr>
            <w:tcW w:w="706" w:type="pct"/>
          </w:tcPr>
          <w:p w14:paraId="0762C01A" w14:textId="77777777" w:rsidR="001631C6" w:rsidRPr="00B1049B" w:rsidRDefault="001631C6" w:rsidP="008F5322">
            <w:pPr>
              <w:jc w:val="center"/>
              <w:rPr>
                <w:sz w:val="22"/>
                <w:szCs w:val="22"/>
              </w:rPr>
            </w:pPr>
            <w:r w:rsidRPr="00B1049B">
              <w:rPr>
                <w:sz w:val="22"/>
                <w:szCs w:val="22"/>
              </w:rPr>
              <w:t>(0.039)</w:t>
            </w:r>
          </w:p>
        </w:tc>
        <w:tc>
          <w:tcPr>
            <w:tcW w:w="706" w:type="pct"/>
          </w:tcPr>
          <w:p w14:paraId="72705C71" w14:textId="77777777" w:rsidR="001631C6" w:rsidRPr="00B1049B" w:rsidRDefault="001631C6" w:rsidP="008F5322">
            <w:pPr>
              <w:jc w:val="center"/>
              <w:rPr>
                <w:sz w:val="22"/>
                <w:szCs w:val="22"/>
              </w:rPr>
            </w:pPr>
            <w:r w:rsidRPr="00B1049B">
              <w:rPr>
                <w:sz w:val="22"/>
                <w:szCs w:val="22"/>
              </w:rPr>
              <w:t>(0.039)</w:t>
            </w:r>
          </w:p>
        </w:tc>
      </w:tr>
      <w:tr w:rsidR="001631C6" w:rsidRPr="00B1049B" w14:paraId="031795ED" w14:textId="77777777" w:rsidTr="008F5322">
        <w:trPr>
          <w:trHeight w:val="195"/>
          <w:jc w:val="center"/>
        </w:trPr>
        <w:tc>
          <w:tcPr>
            <w:tcW w:w="2883" w:type="pct"/>
            <w:vMerge w:val="restart"/>
            <w:shd w:val="clear" w:color="auto" w:fill="auto"/>
            <w:noWrap/>
            <w:vAlign w:val="center"/>
            <w:hideMark/>
          </w:tcPr>
          <w:p w14:paraId="54B20B1B"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Tranche size</w:t>
            </w:r>
          </w:p>
        </w:tc>
        <w:tc>
          <w:tcPr>
            <w:tcW w:w="706" w:type="pct"/>
          </w:tcPr>
          <w:p w14:paraId="4D60F19C" w14:textId="77777777" w:rsidR="001631C6" w:rsidRPr="00B1049B" w:rsidRDefault="001631C6" w:rsidP="008F5322">
            <w:pPr>
              <w:jc w:val="center"/>
              <w:rPr>
                <w:sz w:val="22"/>
                <w:szCs w:val="22"/>
              </w:rPr>
            </w:pPr>
            <w:r w:rsidRPr="00B1049B">
              <w:rPr>
                <w:sz w:val="22"/>
                <w:szCs w:val="22"/>
              </w:rPr>
              <w:t>0.090*</w:t>
            </w:r>
          </w:p>
        </w:tc>
        <w:tc>
          <w:tcPr>
            <w:tcW w:w="706" w:type="pct"/>
          </w:tcPr>
          <w:p w14:paraId="1B21CF9B" w14:textId="77777777" w:rsidR="001631C6" w:rsidRPr="00B1049B" w:rsidRDefault="001631C6" w:rsidP="008F5322">
            <w:pPr>
              <w:jc w:val="center"/>
              <w:rPr>
                <w:sz w:val="22"/>
                <w:szCs w:val="22"/>
              </w:rPr>
            </w:pPr>
            <w:r w:rsidRPr="00B1049B">
              <w:rPr>
                <w:sz w:val="22"/>
                <w:szCs w:val="22"/>
              </w:rPr>
              <w:t>0.143***</w:t>
            </w:r>
          </w:p>
        </w:tc>
        <w:tc>
          <w:tcPr>
            <w:tcW w:w="706" w:type="pct"/>
          </w:tcPr>
          <w:p w14:paraId="7B26304B" w14:textId="77777777" w:rsidR="001631C6" w:rsidRPr="00B1049B" w:rsidRDefault="001631C6" w:rsidP="008F5322">
            <w:pPr>
              <w:jc w:val="center"/>
              <w:rPr>
                <w:sz w:val="22"/>
                <w:szCs w:val="22"/>
              </w:rPr>
            </w:pPr>
            <w:r w:rsidRPr="00B1049B">
              <w:rPr>
                <w:sz w:val="22"/>
                <w:szCs w:val="22"/>
              </w:rPr>
              <w:t>0.144***</w:t>
            </w:r>
          </w:p>
        </w:tc>
      </w:tr>
      <w:tr w:rsidR="001631C6" w:rsidRPr="00B1049B" w14:paraId="2C75BFA7" w14:textId="77777777" w:rsidTr="008F5322">
        <w:trPr>
          <w:trHeight w:val="80"/>
          <w:jc w:val="center"/>
        </w:trPr>
        <w:tc>
          <w:tcPr>
            <w:tcW w:w="2883" w:type="pct"/>
            <w:vMerge/>
            <w:shd w:val="clear" w:color="auto" w:fill="auto"/>
            <w:vAlign w:val="center"/>
            <w:hideMark/>
          </w:tcPr>
          <w:p w14:paraId="3ADF4F22" w14:textId="77777777" w:rsidR="001631C6" w:rsidRPr="00B1049B" w:rsidRDefault="001631C6" w:rsidP="008F5322">
            <w:pPr>
              <w:rPr>
                <w:color w:val="000000"/>
                <w:sz w:val="22"/>
                <w:szCs w:val="22"/>
                <w:lang w:val="en-US" w:eastAsia="en-GB"/>
              </w:rPr>
            </w:pPr>
          </w:p>
        </w:tc>
        <w:tc>
          <w:tcPr>
            <w:tcW w:w="706" w:type="pct"/>
          </w:tcPr>
          <w:p w14:paraId="23EBA160" w14:textId="77777777" w:rsidR="001631C6" w:rsidRPr="00B1049B" w:rsidRDefault="001631C6" w:rsidP="008F5322">
            <w:pPr>
              <w:jc w:val="center"/>
              <w:rPr>
                <w:sz w:val="22"/>
                <w:szCs w:val="22"/>
              </w:rPr>
            </w:pPr>
            <w:r w:rsidRPr="00B1049B">
              <w:rPr>
                <w:sz w:val="22"/>
                <w:szCs w:val="22"/>
              </w:rPr>
              <w:t>(0.053)</w:t>
            </w:r>
          </w:p>
        </w:tc>
        <w:tc>
          <w:tcPr>
            <w:tcW w:w="706" w:type="pct"/>
          </w:tcPr>
          <w:p w14:paraId="219A9813" w14:textId="77777777" w:rsidR="001631C6" w:rsidRPr="00B1049B" w:rsidRDefault="001631C6" w:rsidP="008F5322">
            <w:pPr>
              <w:jc w:val="center"/>
              <w:rPr>
                <w:sz w:val="22"/>
                <w:szCs w:val="22"/>
              </w:rPr>
            </w:pPr>
            <w:r w:rsidRPr="00B1049B">
              <w:rPr>
                <w:sz w:val="22"/>
                <w:szCs w:val="22"/>
              </w:rPr>
              <w:t>(0.047)</w:t>
            </w:r>
          </w:p>
        </w:tc>
        <w:tc>
          <w:tcPr>
            <w:tcW w:w="706" w:type="pct"/>
          </w:tcPr>
          <w:p w14:paraId="42C8CD38" w14:textId="77777777" w:rsidR="001631C6" w:rsidRPr="00B1049B" w:rsidRDefault="001631C6" w:rsidP="008F5322">
            <w:pPr>
              <w:jc w:val="center"/>
              <w:rPr>
                <w:sz w:val="22"/>
                <w:szCs w:val="22"/>
              </w:rPr>
            </w:pPr>
            <w:r w:rsidRPr="00B1049B">
              <w:rPr>
                <w:sz w:val="22"/>
                <w:szCs w:val="22"/>
              </w:rPr>
              <w:t>(0.050)</w:t>
            </w:r>
          </w:p>
        </w:tc>
      </w:tr>
      <w:tr w:rsidR="001631C6" w:rsidRPr="00B1049B" w14:paraId="5EF297F1" w14:textId="77777777" w:rsidTr="008F5322">
        <w:trPr>
          <w:trHeight w:val="195"/>
          <w:jc w:val="center"/>
        </w:trPr>
        <w:tc>
          <w:tcPr>
            <w:tcW w:w="2883" w:type="pct"/>
            <w:vMerge w:val="restart"/>
            <w:shd w:val="clear" w:color="auto" w:fill="auto"/>
            <w:noWrap/>
            <w:vAlign w:val="center"/>
            <w:hideMark/>
          </w:tcPr>
          <w:p w14:paraId="3C462922"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Multi-tranche</w:t>
            </w:r>
          </w:p>
        </w:tc>
        <w:tc>
          <w:tcPr>
            <w:tcW w:w="706" w:type="pct"/>
          </w:tcPr>
          <w:p w14:paraId="6AA4D16B" w14:textId="77777777" w:rsidR="001631C6" w:rsidRPr="00B1049B" w:rsidRDefault="001631C6" w:rsidP="008F5322">
            <w:pPr>
              <w:jc w:val="center"/>
              <w:rPr>
                <w:sz w:val="22"/>
                <w:szCs w:val="22"/>
              </w:rPr>
            </w:pPr>
            <w:r w:rsidRPr="00B1049B">
              <w:rPr>
                <w:sz w:val="22"/>
                <w:szCs w:val="22"/>
              </w:rPr>
              <w:t>-0.040</w:t>
            </w:r>
          </w:p>
        </w:tc>
        <w:tc>
          <w:tcPr>
            <w:tcW w:w="706" w:type="pct"/>
          </w:tcPr>
          <w:p w14:paraId="5002EE6E" w14:textId="77777777" w:rsidR="001631C6" w:rsidRPr="00B1049B" w:rsidRDefault="001631C6" w:rsidP="008F5322">
            <w:pPr>
              <w:jc w:val="center"/>
              <w:rPr>
                <w:sz w:val="22"/>
                <w:szCs w:val="22"/>
              </w:rPr>
            </w:pPr>
            <w:r w:rsidRPr="00B1049B">
              <w:rPr>
                <w:sz w:val="22"/>
                <w:szCs w:val="22"/>
              </w:rPr>
              <w:t>-0.031</w:t>
            </w:r>
          </w:p>
        </w:tc>
        <w:tc>
          <w:tcPr>
            <w:tcW w:w="706" w:type="pct"/>
          </w:tcPr>
          <w:p w14:paraId="1B81D5C5" w14:textId="77777777" w:rsidR="001631C6" w:rsidRPr="00B1049B" w:rsidRDefault="001631C6" w:rsidP="008F5322">
            <w:pPr>
              <w:jc w:val="center"/>
              <w:rPr>
                <w:sz w:val="22"/>
                <w:szCs w:val="22"/>
              </w:rPr>
            </w:pPr>
            <w:r w:rsidRPr="00B1049B">
              <w:rPr>
                <w:sz w:val="22"/>
                <w:szCs w:val="22"/>
              </w:rPr>
              <w:t>-0.009</w:t>
            </w:r>
          </w:p>
        </w:tc>
      </w:tr>
      <w:tr w:rsidR="001631C6" w:rsidRPr="00B1049B" w14:paraId="005F53D0" w14:textId="77777777" w:rsidTr="008F5322">
        <w:trPr>
          <w:trHeight w:val="80"/>
          <w:jc w:val="center"/>
        </w:trPr>
        <w:tc>
          <w:tcPr>
            <w:tcW w:w="2883" w:type="pct"/>
            <w:vMerge/>
            <w:shd w:val="clear" w:color="auto" w:fill="auto"/>
            <w:vAlign w:val="center"/>
            <w:hideMark/>
          </w:tcPr>
          <w:p w14:paraId="1BBBED4B" w14:textId="77777777" w:rsidR="001631C6" w:rsidRPr="00B1049B" w:rsidRDefault="001631C6" w:rsidP="008F5322">
            <w:pPr>
              <w:rPr>
                <w:color w:val="000000"/>
                <w:sz w:val="22"/>
                <w:szCs w:val="22"/>
                <w:lang w:val="en-US" w:eastAsia="en-GB"/>
              </w:rPr>
            </w:pPr>
          </w:p>
        </w:tc>
        <w:tc>
          <w:tcPr>
            <w:tcW w:w="706" w:type="pct"/>
          </w:tcPr>
          <w:p w14:paraId="138B0993" w14:textId="77777777" w:rsidR="001631C6" w:rsidRPr="00B1049B" w:rsidRDefault="001631C6" w:rsidP="008F5322">
            <w:pPr>
              <w:jc w:val="center"/>
              <w:rPr>
                <w:sz w:val="22"/>
                <w:szCs w:val="22"/>
              </w:rPr>
            </w:pPr>
            <w:r w:rsidRPr="00B1049B">
              <w:rPr>
                <w:sz w:val="22"/>
                <w:szCs w:val="22"/>
              </w:rPr>
              <w:t>(0.049)</w:t>
            </w:r>
          </w:p>
        </w:tc>
        <w:tc>
          <w:tcPr>
            <w:tcW w:w="706" w:type="pct"/>
          </w:tcPr>
          <w:p w14:paraId="57FB1023" w14:textId="77777777" w:rsidR="001631C6" w:rsidRPr="00B1049B" w:rsidRDefault="001631C6" w:rsidP="008F5322">
            <w:pPr>
              <w:jc w:val="center"/>
              <w:rPr>
                <w:sz w:val="22"/>
                <w:szCs w:val="22"/>
              </w:rPr>
            </w:pPr>
            <w:r w:rsidRPr="00B1049B">
              <w:rPr>
                <w:sz w:val="22"/>
                <w:szCs w:val="22"/>
              </w:rPr>
              <w:t>(0.049)</w:t>
            </w:r>
          </w:p>
        </w:tc>
        <w:tc>
          <w:tcPr>
            <w:tcW w:w="706" w:type="pct"/>
          </w:tcPr>
          <w:p w14:paraId="55A6F058" w14:textId="77777777" w:rsidR="001631C6" w:rsidRPr="00B1049B" w:rsidRDefault="001631C6" w:rsidP="008F5322">
            <w:pPr>
              <w:jc w:val="center"/>
              <w:rPr>
                <w:sz w:val="22"/>
                <w:szCs w:val="22"/>
              </w:rPr>
            </w:pPr>
            <w:r w:rsidRPr="00B1049B">
              <w:rPr>
                <w:sz w:val="22"/>
                <w:szCs w:val="22"/>
              </w:rPr>
              <w:t>(0.048)</w:t>
            </w:r>
          </w:p>
        </w:tc>
      </w:tr>
      <w:tr w:rsidR="001631C6" w:rsidRPr="00B1049B" w14:paraId="5516992F" w14:textId="77777777" w:rsidTr="008F5322">
        <w:trPr>
          <w:trHeight w:val="80"/>
          <w:jc w:val="center"/>
        </w:trPr>
        <w:tc>
          <w:tcPr>
            <w:tcW w:w="2883" w:type="pct"/>
            <w:vMerge w:val="restart"/>
            <w:shd w:val="clear" w:color="auto" w:fill="auto"/>
            <w:vAlign w:val="center"/>
          </w:tcPr>
          <w:p w14:paraId="641EFEFE"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AA-BBB spread</w:t>
            </w:r>
          </w:p>
        </w:tc>
        <w:tc>
          <w:tcPr>
            <w:tcW w:w="706" w:type="pct"/>
          </w:tcPr>
          <w:p w14:paraId="14294B77" w14:textId="77777777" w:rsidR="001631C6" w:rsidRPr="00B1049B" w:rsidRDefault="001631C6" w:rsidP="008F5322">
            <w:pPr>
              <w:jc w:val="center"/>
              <w:rPr>
                <w:sz w:val="22"/>
                <w:szCs w:val="22"/>
              </w:rPr>
            </w:pPr>
            <w:r w:rsidRPr="00B1049B">
              <w:rPr>
                <w:sz w:val="22"/>
                <w:szCs w:val="22"/>
              </w:rPr>
              <w:t>0.281***</w:t>
            </w:r>
          </w:p>
        </w:tc>
        <w:tc>
          <w:tcPr>
            <w:tcW w:w="706" w:type="pct"/>
          </w:tcPr>
          <w:p w14:paraId="0F40D965" w14:textId="77777777" w:rsidR="001631C6" w:rsidRPr="00B1049B" w:rsidRDefault="001631C6" w:rsidP="008F5322">
            <w:pPr>
              <w:jc w:val="center"/>
              <w:rPr>
                <w:sz w:val="22"/>
                <w:szCs w:val="22"/>
              </w:rPr>
            </w:pPr>
            <w:r w:rsidRPr="00B1049B">
              <w:rPr>
                <w:sz w:val="22"/>
                <w:szCs w:val="22"/>
              </w:rPr>
              <w:t>0.320***</w:t>
            </w:r>
          </w:p>
        </w:tc>
        <w:tc>
          <w:tcPr>
            <w:tcW w:w="706" w:type="pct"/>
          </w:tcPr>
          <w:p w14:paraId="45E09DE8" w14:textId="77777777" w:rsidR="001631C6" w:rsidRPr="00B1049B" w:rsidRDefault="001631C6" w:rsidP="008F5322">
            <w:pPr>
              <w:jc w:val="center"/>
              <w:rPr>
                <w:sz w:val="22"/>
                <w:szCs w:val="22"/>
              </w:rPr>
            </w:pPr>
            <w:r w:rsidRPr="00B1049B">
              <w:rPr>
                <w:sz w:val="22"/>
                <w:szCs w:val="22"/>
              </w:rPr>
              <w:t>0.280***</w:t>
            </w:r>
          </w:p>
        </w:tc>
      </w:tr>
      <w:tr w:rsidR="001631C6" w:rsidRPr="00B1049B" w14:paraId="21D4D42F" w14:textId="77777777" w:rsidTr="008F5322">
        <w:trPr>
          <w:trHeight w:val="80"/>
          <w:jc w:val="center"/>
        </w:trPr>
        <w:tc>
          <w:tcPr>
            <w:tcW w:w="2883" w:type="pct"/>
            <w:vMerge/>
            <w:shd w:val="clear" w:color="auto" w:fill="auto"/>
            <w:vAlign w:val="center"/>
          </w:tcPr>
          <w:p w14:paraId="5EFF79FD" w14:textId="77777777" w:rsidR="001631C6" w:rsidRPr="00B1049B" w:rsidRDefault="001631C6" w:rsidP="008F5322">
            <w:pPr>
              <w:rPr>
                <w:color w:val="000000"/>
                <w:sz w:val="22"/>
                <w:szCs w:val="22"/>
                <w:lang w:val="en-US" w:eastAsia="en-GB"/>
              </w:rPr>
            </w:pPr>
          </w:p>
        </w:tc>
        <w:tc>
          <w:tcPr>
            <w:tcW w:w="706" w:type="pct"/>
          </w:tcPr>
          <w:p w14:paraId="09F7B78E" w14:textId="77777777" w:rsidR="001631C6" w:rsidRPr="00B1049B" w:rsidRDefault="001631C6" w:rsidP="008F5322">
            <w:pPr>
              <w:jc w:val="center"/>
              <w:rPr>
                <w:sz w:val="22"/>
                <w:szCs w:val="22"/>
              </w:rPr>
            </w:pPr>
            <w:r w:rsidRPr="00B1049B">
              <w:rPr>
                <w:sz w:val="22"/>
                <w:szCs w:val="22"/>
              </w:rPr>
              <w:t>(0.052)</w:t>
            </w:r>
          </w:p>
        </w:tc>
        <w:tc>
          <w:tcPr>
            <w:tcW w:w="706" w:type="pct"/>
          </w:tcPr>
          <w:p w14:paraId="7F49717D" w14:textId="77777777" w:rsidR="001631C6" w:rsidRPr="00B1049B" w:rsidRDefault="001631C6" w:rsidP="008F5322">
            <w:pPr>
              <w:jc w:val="center"/>
              <w:rPr>
                <w:sz w:val="22"/>
                <w:szCs w:val="22"/>
              </w:rPr>
            </w:pPr>
            <w:r w:rsidRPr="00B1049B">
              <w:rPr>
                <w:sz w:val="22"/>
                <w:szCs w:val="22"/>
              </w:rPr>
              <w:t>(0.054)</w:t>
            </w:r>
          </w:p>
        </w:tc>
        <w:tc>
          <w:tcPr>
            <w:tcW w:w="706" w:type="pct"/>
          </w:tcPr>
          <w:p w14:paraId="3F93BD60" w14:textId="77777777" w:rsidR="001631C6" w:rsidRPr="00B1049B" w:rsidRDefault="001631C6" w:rsidP="008F5322">
            <w:pPr>
              <w:jc w:val="center"/>
              <w:rPr>
                <w:sz w:val="22"/>
                <w:szCs w:val="22"/>
              </w:rPr>
            </w:pPr>
            <w:r w:rsidRPr="00B1049B">
              <w:rPr>
                <w:sz w:val="22"/>
                <w:szCs w:val="22"/>
              </w:rPr>
              <w:t>(0.053)</w:t>
            </w:r>
          </w:p>
        </w:tc>
      </w:tr>
      <w:tr w:rsidR="001631C6" w:rsidRPr="00B1049B" w14:paraId="62564534" w14:textId="77777777" w:rsidTr="008F5322">
        <w:trPr>
          <w:trHeight w:val="80"/>
          <w:jc w:val="center"/>
        </w:trPr>
        <w:tc>
          <w:tcPr>
            <w:tcW w:w="2883" w:type="pct"/>
            <w:vMerge w:val="restart"/>
            <w:shd w:val="clear" w:color="auto" w:fill="auto"/>
            <w:vAlign w:val="center"/>
          </w:tcPr>
          <w:p w14:paraId="7CDCCD69"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Constant</w:t>
            </w:r>
          </w:p>
        </w:tc>
        <w:tc>
          <w:tcPr>
            <w:tcW w:w="706" w:type="pct"/>
          </w:tcPr>
          <w:p w14:paraId="3DC13A25" w14:textId="77777777" w:rsidR="001631C6" w:rsidRPr="00B1049B" w:rsidRDefault="001631C6" w:rsidP="008F5322">
            <w:pPr>
              <w:jc w:val="center"/>
              <w:rPr>
                <w:sz w:val="22"/>
                <w:szCs w:val="22"/>
              </w:rPr>
            </w:pPr>
            <w:r w:rsidRPr="00B1049B">
              <w:rPr>
                <w:sz w:val="22"/>
                <w:szCs w:val="22"/>
              </w:rPr>
              <w:t>0.384</w:t>
            </w:r>
          </w:p>
        </w:tc>
        <w:tc>
          <w:tcPr>
            <w:tcW w:w="706" w:type="pct"/>
          </w:tcPr>
          <w:p w14:paraId="38E060CD" w14:textId="77777777" w:rsidR="001631C6" w:rsidRPr="00B1049B" w:rsidRDefault="001631C6" w:rsidP="008F5322">
            <w:pPr>
              <w:jc w:val="center"/>
              <w:rPr>
                <w:sz w:val="22"/>
                <w:szCs w:val="22"/>
              </w:rPr>
            </w:pPr>
            <w:r w:rsidRPr="00B1049B">
              <w:rPr>
                <w:sz w:val="22"/>
                <w:szCs w:val="22"/>
              </w:rPr>
              <w:t>-1.083</w:t>
            </w:r>
          </w:p>
        </w:tc>
        <w:tc>
          <w:tcPr>
            <w:tcW w:w="706" w:type="pct"/>
          </w:tcPr>
          <w:p w14:paraId="12EE7DA1" w14:textId="77777777" w:rsidR="001631C6" w:rsidRPr="00B1049B" w:rsidRDefault="001631C6" w:rsidP="008F5322">
            <w:pPr>
              <w:jc w:val="center"/>
              <w:rPr>
                <w:sz w:val="22"/>
                <w:szCs w:val="22"/>
              </w:rPr>
            </w:pPr>
            <w:r w:rsidRPr="00B1049B">
              <w:rPr>
                <w:sz w:val="22"/>
                <w:szCs w:val="22"/>
              </w:rPr>
              <w:t>-0.897</w:t>
            </w:r>
          </w:p>
        </w:tc>
      </w:tr>
      <w:tr w:rsidR="001631C6" w:rsidRPr="00B1049B" w14:paraId="7ECA8961" w14:textId="77777777" w:rsidTr="008F5322">
        <w:trPr>
          <w:trHeight w:val="80"/>
          <w:jc w:val="center"/>
        </w:trPr>
        <w:tc>
          <w:tcPr>
            <w:tcW w:w="2883" w:type="pct"/>
            <w:vMerge/>
            <w:tcBorders>
              <w:bottom w:val="single" w:sz="4" w:space="0" w:color="auto"/>
            </w:tcBorders>
            <w:shd w:val="clear" w:color="auto" w:fill="auto"/>
            <w:vAlign w:val="center"/>
          </w:tcPr>
          <w:p w14:paraId="22A9D32E" w14:textId="77777777" w:rsidR="001631C6" w:rsidRPr="00B1049B" w:rsidRDefault="001631C6" w:rsidP="008F5322">
            <w:pPr>
              <w:rPr>
                <w:color w:val="000000"/>
                <w:sz w:val="22"/>
                <w:szCs w:val="22"/>
                <w:lang w:val="en-US" w:eastAsia="en-GB"/>
              </w:rPr>
            </w:pPr>
          </w:p>
        </w:tc>
        <w:tc>
          <w:tcPr>
            <w:tcW w:w="706" w:type="pct"/>
            <w:tcBorders>
              <w:bottom w:val="single" w:sz="4" w:space="0" w:color="auto"/>
            </w:tcBorders>
          </w:tcPr>
          <w:p w14:paraId="681745C7" w14:textId="77777777" w:rsidR="001631C6" w:rsidRPr="00B1049B" w:rsidRDefault="001631C6" w:rsidP="008F5322">
            <w:pPr>
              <w:jc w:val="center"/>
              <w:rPr>
                <w:sz w:val="22"/>
                <w:szCs w:val="22"/>
              </w:rPr>
            </w:pPr>
            <w:r w:rsidRPr="00B1049B">
              <w:rPr>
                <w:sz w:val="22"/>
                <w:szCs w:val="22"/>
              </w:rPr>
              <w:t>(1.045)</w:t>
            </w:r>
          </w:p>
        </w:tc>
        <w:tc>
          <w:tcPr>
            <w:tcW w:w="706" w:type="pct"/>
            <w:tcBorders>
              <w:bottom w:val="single" w:sz="4" w:space="0" w:color="auto"/>
            </w:tcBorders>
          </w:tcPr>
          <w:p w14:paraId="5FDCDABA" w14:textId="77777777" w:rsidR="001631C6" w:rsidRPr="00B1049B" w:rsidRDefault="001631C6" w:rsidP="008F5322">
            <w:pPr>
              <w:jc w:val="center"/>
              <w:rPr>
                <w:sz w:val="22"/>
                <w:szCs w:val="22"/>
              </w:rPr>
            </w:pPr>
            <w:r w:rsidRPr="00B1049B">
              <w:rPr>
                <w:sz w:val="22"/>
                <w:szCs w:val="22"/>
              </w:rPr>
              <w:t>(0.957)</w:t>
            </w:r>
          </w:p>
        </w:tc>
        <w:tc>
          <w:tcPr>
            <w:tcW w:w="706" w:type="pct"/>
            <w:tcBorders>
              <w:bottom w:val="single" w:sz="4" w:space="0" w:color="auto"/>
            </w:tcBorders>
          </w:tcPr>
          <w:p w14:paraId="36BFFFF1" w14:textId="77777777" w:rsidR="001631C6" w:rsidRPr="00B1049B" w:rsidRDefault="001631C6" w:rsidP="008F5322">
            <w:pPr>
              <w:jc w:val="center"/>
              <w:rPr>
                <w:sz w:val="22"/>
                <w:szCs w:val="22"/>
              </w:rPr>
            </w:pPr>
            <w:r w:rsidRPr="00B1049B">
              <w:rPr>
                <w:sz w:val="22"/>
                <w:szCs w:val="22"/>
              </w:rPr>
              <w:t>(1.038)</w:t>
            </w:r>
          </w:p>
        </w:tc>
      </w:tr>
      <w:tr w:rsidR="001631C6" w:rsidRPr="00B1049B" w14:paraId="2CE55006" w14:textId="77777777" w:rsidTr="008F5322">
        <w:trPr>
          <w:trHeight w:val="80"/>
          <w:jc w:val="center"/>
        </w:trPr>
        <w:tc>
          <w:tcPr>
            <w:tcW w:w="2883" w:type="pct"/>
            <w:tcBorders>
              <w:top w:val="single" w:sz="4" w:space="0" w:color="auto"/>
              <w:bottom w:val="nil"/>
            </w:tcBorders>
            <w:shd w:val="clear" w:color="auto" w:fill="auto"/>
            <w:vAlign w:val="center"/>
            <w:hideMark/>
          </w:tcPr>
          <w:p w14:paraId="3B053D5C"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Credit rating, Year, Sector and Country dummies</w:t>
            </w:r>
          </w:p>
        </w:tc>
        <w:tc>
          <w:tcPr>
            <w:tcW w:w="706" w:type="pct"/>
            <w:tcBorders>
              <w:top w:val="single" w:sz="4" w:space="0" w:color="auto"/>
              <w:bottom w:val="nil"/>
            </w:tcBorders>
            <w:vAlign w:val="center"/>
          </w:tcPr>
          <w:p w14:paraId="530FB448" w14:textId="77777777" w:rsidR="001631C6" w:rsidRPr="00B1049B" w:rsidRDefault="001631C6" w:rsidP="008F5322">
            <w:pPr>
              <w:jc w:val="center"/>
              <w:rPr>
                <w:color w:val="000000"/>
                <w:sz w:val="22"/>
                <w:szCs w:val="22"/>
                <w:lang w:val="en-US" w:eastAsia="en-GB"/>
              </w:rPr>
            </w:pPr>
            <w:r w:rsidRPr="00B1049B">
              <w:rPr>
                <w:color w:val="000000"/>
                <w:sz w:val="22"/>
                <w:szCs w:val="22"/>
                <w:lang w:val="en-US" w:eastAsia="en-GB"/>
              </w:rPr>
              <w:t>yes</w:t>
            </w:r>
          </w:p>
        </w:tc>
        <w:tc>
          <w:tcPr>
            <w:tcW w:w="706" w:type="pct"/>
            <w:tcBorders>
              <w:top w:val="single" w:sz="4" w:space="0" w:color="auto"/>
              <w:bottom w:val="nil"/>
            </w:tcBorders>
            <w:vAlign w:val="center"/>
          </w:tcPr>
          <w:p w14:paraId="1C842166" w14:textId="77777777" w:rsidR="001631C6" w:rsidRPr="00B1049B" w:rsidRDefault="001631C6" w:rsidP="008F5322">
            <w:pPr>
              <w:jc w:val="center"/>
              <w:rPr>
                <w:color w:val="000000"/>
                <w:sz w:val="22"/>
                <w:szCs w:val="22"/>
                <w:lang w:val="en-US" w:eastAsia="en-GB"/>
              </w:rPr>
            </w:pPr>
            <w:r w:rsidRPr="00B1049B">
              <w:rPr>
                <w:color w:val="000000"/>
                <w:sz w:val="22"/>
                <w:szCs w:val="22"/>
                <w:lang w:val="en-US" w:eastAsia="en-GB"/>
              </w:rPr>
              <w:t>Yes</w:t>
            </w:r>
          </w:p>
        </w:tc>
        <w:tc>
          <w:tcPr>
            <w:tcW w:w="706" w:type="pct"/>
            <w:tcBorders>
              <w:top w:val="single" w:sz="4" w:space="0" w:color="auto"/>
              <w:bottom w:val="nil"/>
            </w:tcBorders>
            <w:vAlign w:val="center"/>
          </w:tcPr>
          <w:p w14:paraId="14020778" w14:textId="77777777" w:rsidR="001631C6" w:rsidRPr="00B1049B" w:rsidRDefault="001631C6" w:rsidP="008F5322">
            <w:pPr>
              <w:jc w:val="center"/>
              <w:rPr>
                <w:color w:val="000000"/>
                <w:sz w:val="22"/>
                <w:szCs w:val="22"/>
                <w:lang w:val="en-US" w:eastAsia="en-GB"/>
              </w:rPr>
            </w:pPr>
            <w:r w:rsidRPr="00B1049B">
              <w:rPr>
                <w:color w:val="000000"/>
                <w:sz w:val="22"/>
                <w:szCs w:val="22"/>
                <w:lang w:val="en-US" w:eastAsia="en-GB"/>
              </w:rPr>
              <w:t>yes</w:t>
            </w:r>
          </w:p>
        </w:tc>
      </w:tr>
      <w:tr w:rsidR="001631C6" w:rsidRPr="00B1049B" w14:paraId="080B570A" w14:textId="77777777" w:rsidTr="008F5322">
        <w:trPr>
          <w:trHeight w:val="80"/>
          <w:jc w:val="center"/>
        </w:trPr>
        <w:tc>
          <w:tcPr>
            <w:tcW w:w="2883" w:type="pct"/>
            <w:tcBorders>
              <w:top w:val="nil"/>
            </w:tcBorders>
            <w:shd w:val="clear" w:color="auto" w:fill="auto"/>
            <w:noWrap/>
            <w:vAlign w:val="center"/>
            <w:hideMark/>
          </w:tcPr>
          <w:p w14:paraId="743BD051"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Number of Observations</w:t>
            </w:r>
          </w:p>
        </w:tc>
        <w:tc>
          <w:tcPr>
            <w:tcW w:w="706" w:type="pct"/>
            <w:tcBorders>
              <w:top w:val="nil"/>
            </w:tcBorders>
          </w:tcPr>
          <w:p w14:paraId="35B3A0F9" w14:textId="77777777" w:rsidR="001631C6" w:rsidRPr="00B1049B" w:rsidRDefault="001631C6" w:rsidP="008F5322">
            <w:pPr>
              <w:jc w:val="center"/>
              <w:rPr>
                <w:sz w:val="22"/>
                <w:szCs w:val="22"/>
              </w:rPr>
            </w:pPr>
            <w:r w:rsidRPr="00B1049B">
              <w:rPr>
                <w:sz w:val="22"/>
                <w:szCs w:val="22"/>
              </w:rPr>
              <w:t>1,985</w:t>
            </w:r>
          </w:p>
        </w:tc>
        <w:tc>
          <w:tcPr>
            <w:tcW w:w="706" w:type="pct"/>
            <w:tcBorders>
              <w:top w:val="nil"/>
            </w:tcBorders>
          </w:tcPr>
          <w:p w14:paraId="47333983" w14:textId="77777777" w:rsidR="001631C6" w:rsidRPr="00B1049B" w:rsidRDefault="001631C6" w:rsidP="008F5322">
            <w:pPr>
              <w:jc w:val="center"/>
              <w:rPr>
                <w:sz w:val="22"/>
                <w:szCs w:val="22"/>
              </w:rPr>
            </w:pPr>
            <w:r w:rsidRPr="00B1049B">
              <w:rPr>
                <w:sz w:val="22"/>
                <w:szCs w:val="22"/>
              </w:rPr>
              <w:t>2,015</w:t>
            </w:r>
          </w:p>
        </w:tc>
        <w:tc>
          <w:tcPr>
            <w:tcW w:w="706" w:type="pct"/>
            <w:tcBorders>
              <w:top w:val="nil"/>
            </w:tcBorders>
          </w:tcPr>
          <w:p w14:paraId="13323441" w14:textId="77777777" w:rsidR="001631C6" w:rsidRPr="00B1049B" w:rsidRDefault="001631C6" w:rsidP="008F5322">
            <w:pPr>
              <w:jc w:val="center"/>
              <w:rPr>
                <w:sz w:val="22"/>
                <w:szCs w:val="22"/>
              </w:rPr>
            </w:pPr>
            <w:r w:rsidRPr="00B1049B">
              <w:rPr>
                <w:sz w:val="22"/>
                <w:szCs w:val="22"/>
              </w:rPr>
              <w:t>2,136</w:t>
            </w:r>
          </w:p>
        </w:tc>
      </w:tr>
      <w:tr w:rsidR="001631C6" w:rsidRPr="00B1049B" w14:paraId="295B6ADE" w14:textId="77777777" w:rsidTr="008F5322">
        <w:trPr>
          <w:trHeight w:val="80"/>
          <w:jc w:val="center"/>
        </w:trPr>
        <w:tc>
          <w:tcPr>
            <w:tcW w:w="2883" w:type="pct"/>
            <w:shd w:val="clear" w:color="auto" w:fill="auto"/>
            <w:noWrap/>
            <w:vAlign w:val="center"/>
            <w:hideMark/>
          </w:tcPr>
          <w:p w14:paraId="3616E1AA"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R</w:t>
            </w:r>
            <w:r w:rsidRPr="00B1049B">
              <w:rPr>
                <w:color w:val="000000"/>
                <w:sz w:val="22"/>
                <w:szCs w:val="22"/>
                <w:vertAlign w:val="superscript"/>
                <w:lang w:val="en-US" w:eastAsia="en-GB"/>
              </w:rPr>
              <w:t>2</w:t>
            </w:r>
          </w:p>
        </w:tc>
        <w:tc>
          <w:tcPr>
            <w:tcW w:w="706" w:type="pct"/>
          </w:tcPr>
          <w:p w14:paraId="26DC1817" w14:textId="77777777" w:rsidR="001631C6" w:rsidRPr="00B1049B" w:rsidRDefault="001631C6" w:rsidP="008F5322">
            <w:pPr>
              <w:jc w:val="center"/>
              <w:rPr>
                <w:sz w:val="22"/>
                <w:szCs w:val="22"/>
              </w:rPr>
            </w:pPr>
            <w:r w:rsidRPr="00B1049B">
              <w:rPr>
                <w:sz w:val="22"/>
                <w:szCs w:val="22"/>
              </w:rPr>
              <w:t>0.422</w:t>
            </w:r>
          </w:p>
        </w:tc>
        <w:tc>
          <w:tcPr>
            <w:tcW w:w="706" w:type="pct"/>
          </w:tcPr>
          <w:p w14:paraId="64950252" w14:textId="77777777" w:rsidR="001631C6" w:rsidRPr="00B1049B" w:rsidRDefault="001631C6" w:rsidP="008F5322">
            <w:pPr>
              <w:jc w:val="center"/>
              <w:rPr>
                <w:sz w:val="22"/>
                <w:szCs w:val="22"/>
              </w:rPr>
            </w:pPr>
            <w:r w:rsidRPr="00B1049B">
              <w:rPr>
                <w:sz w:val="22"/>
                <w:szCs w:val="22"/>
              </w:rPr>
              <w:t>0.436</w:t>
            </w:r>
          </w:p>
        </w:tc>
        <w:tc>
          <w:tcPr>
            <w:tcW w:w="706" w:type="pct"/>
          </w:tcPr>
          <w:p w14:paraId="4386E712" w14:textId="77777777" w:rsidR="001631C6" w:rsidRPr="00B1049B" w:rsidRDefault="001631C6" w:rsidP="008F5322">
            <w:pPr>
              <w:jc w:val="center"/>
              <w:rPr>
                <w:sz w:val="22"/>
                <w:szCs w:val="22"/>
              </w:rPr>
            </w:pPr>
            <w:r w:rsidRPr="00B1049B">
              <w:rPr>
                <w:sz w:val="22"/>
                <w:szCs w:val="22"/>
              </w:rPr>
              <w:t>0.371</w:t>
            </w:r>
          </w:p>
        </w:tc>
      </w:tr>
      <w:tr w:rsidR="001631C6" w:rsidRPr="00B1049B" w14:paraId="5CED106E" w14:textId="77777777" w:rsidTr="008F5322">
        <w:trPr>
          <w:trHeight w:val="80"/>
          <w:jc w:val="center"/>
        </w:trPr>
        <w:tc>
          <w:tcPr>
            <w:tcW w:w="2883" w:type="pct"/>
            <w:shd w:val="clear" w:color="auto" w:fill="auto"/>
            <w:noWrap/>
            <w:vAlign w:val="center"/>
          </w:tcPr>
          <w:p w14:paraId="331F8B82" w14:textId="77777777" w:rsidR="001631C6" w:rsidRPr="00B1049B" w:rsidRDefault="001631C6" w:rsidP="008F5322">
            <w:pPr>
              <w:rPr>
                <w:color w:val="000000"/>
                <w:sz w:val="22"/>
                <w:szCs w:val="22"/>
                <w:lang w:val="en-US" w:eastAsia="en-GB"/>
              </w:rPr>
            </w:pPr>
            <w:r w:rsidRPr="00B1049B">
              <w:rPr>
                <w:color w:val="000000"/>
                <w:sz w:val="22"/>
                <w:szCs w:val="22"/>
                <w:lang w:val="en-US" w:eastAsia="en-GB"/>
              </w:rPr>
              <w:t>Wald χ</w:t>
            </w:r>
            <w:r w:rsidRPr="00B1049B">
              <w:rPr>
                <w:color w:val="000000"/>
                <w:sz w:val="22"/>
                <w:szCs w:val="22"/>
                <w:vertAlign w:val="superscript"/>
                <w:lang w:val="en-US" w:eastAsia="en-GB"/>
              </w:rPr>
              <w:t>2</w:t>
            </w:r>
          </w:p>
        </w:tc>
        <w:tc>
          <w:tcPr>
            <w:tcW w:w="706" w:type="pct"/>
          </w:tcPr>
          <w:p w14:paraId="5C37D14B" w14:textId="77777777" w:rsidR="001631C6" w:rsidRPr="00B1049B" w:rsidRDefault="001631C6" w:rsidP="008F5322">
            <w:pPr>
              <w:jc w:val="center"/>
              <w:rPr>
                <w:sz w:val="22"/>
                <w:szCs w:val="22"/>
                <w:lang w:val="en-US"/>
              </w:rPr>
            </w:pPr>
            <w:r w:rsidRPr="00B1049B">
              <w:rPr>
                <w:sz w:val="22"/>
                <w:szCs w:val="22"/>
              </w:rPr>
              <w:t>1,169***</w:t>
            </w:r>
          </w:p>
        </w:tc>
        <w:tc>
          <w:tcPr>
            <w:tcW w:w="706" w:type="pct"/>
          </w:tcPr>
          <w:p w14:paraId="646506A1" w14:textId="77777777" w:rsidR="001631C6" w:rsidRPr="00B1049B" w:rsidRDefault="001631C6" w:rsidP="008F5322">
            <w:pPr>
              <w:jc w:val="center"/>
              <w:rPr>
                <w:sz w:val="22"/>
                <w:szCs w:val="22"/>
                <w:lang w:val="en-US"/>
              </w:rPr>
            </w:pPr>
            <w:r w:rsidRPr="00B1049B">
              <w:rPr>
                <w:sz w:val="22"/>
                <w:szCs w:val="22"/>
              </w:rPr>
              <w:t>1,110***</w:t>
            </w:r>
          </w:p>
        </w:tc>
        <w:tc>
          <w:tcPr>
            <w:tcW w:w="706" w:type="pct"/>
          </w:tcPr>
          <w:p w14:paraId="12BC4D45" w14:textId="77777777" w:rsidR="001631C6" w:rsidRPr="00B1049B" w:rsidRDefault="001631C6" w:rsidP="008F5322">
            <w:pPr>
              <w:jc w:val="center"/>
              <w:rPr>
                <w:sz w:val="22"/>
                <w:szCs w:val="22"/>
              </w:rPr>
            </w:pPr>
            <w:r w:rsidRPr="00B1049B">
              <w:rPr>
                <w:sz w:val="22"/>
                <w:szCs w:val="22"/>
              </w:rPr>
              <w:t>1,150***</w:t>
            </w:r>
          </w:p>
        </w:tc>
      </w:tr>
    </w:tbl>
    <w:p w14:paraId="0D9C26ED" w14:textId="77777777" w:rsidR="001631C6" w:rsidRDefault="001631C6" w:rsidP="001631C6">
      <w:pPr>
        <w:jc w:val="both"/>
        <w:rPr>
          <w:color w:val="000000"/>
          <w:sz w:val="20"/>
          <w:szCs w:val="20"/>
          <w:lang w:val="en-US"/>
        </w:rPr>
      </w:pPr>
    </w:p>
    <w:p w14:paraId="3A8E1935" w14:textId="77777777" w:rsidR="001631C6" w:rsidRDefault="001631C6" w:rsidP="001631C6">
      <w:pPr>
        <w:jc w:val="both"/>
        <w:rPr>
          <w:color w:val="000000"/>
          <w:sz w:val="20"/>
          <w:szCs w:val="20"/>
          <w:lang w:val="en-US"/>
        </w:rPr>
      </w:pPr>
    </w:p>
    <w:p w14:paraId="7869C830" w14:textId="77777777" w:rsidR="001631C6" w:rsidRPr="00DC68DD" w:rsidRDefault="001631C6" w:rsidP="001631C6">
      <w:pPr>
        <w:jc w:val="both"/>
        <w:rPr>
          <w:color w:val="000000"/>
          <w:sz w:val="20"/>
          <w:szCs w:val="20"/>
          <w:lang w:val="en-US"/>
        </w:rPr>
        <w:sectPr w:rsidR="001631C6" w:rsidRPr="00DC68DD" w:rsidSect="008F5322">
          <w:pgSz w:w="11906" w:h="16838" w:code="9"/>
          <w:pgMar w:top="1440" w:right="1440" w:bottom="1440" w:left="1440" w:header="709" w:footer="709" w:gutter="0"/>
          <w:cols w:space="708"/>
          <w:docGrid w:linePitch="360"/>
        </w:sectPr>
      </w:pPr>
    </w:p>
    <w:p w14:paraId="0D31D3A6" w14:textId="550F9E31" w:rsidR="001631C6" w:rsidRPr="00207BB5" w:rsidRDefault="001631C6" w:rsidP="001631C6">
      <w:pPr>
        <w:rPr>
          <w:rFonts w:eastAsiaTheme="majorEastAsia"/>
          <w:b/>
          <w:bCs/>
          <w:lang w:val="en-US"/>
        </w:rPr>
      </w:pPr>
      <w:r w:rsidRPr="00207BB5">
        <w:rPr>
          <w:b/>
          <w:lang w:val="en-US"/>
        </w:rPr>
        <w:lastRenderedPageBreak/>
        <w:t>Table 1</w:t>
      </w:r>
      <w:r w:rsidR="00CE29CC">
        <w:rPr>
          <w:b/>
          <w:lang w:val="en-US"/>
        </w:rPr>
        <w:t>0</w:t>
      </w:r>
    </w:p>
    <w:p w14:paraId="4B9144AC" w14:textId="77777777" w:rsidR="001631C6" w:rsidRPr="00207BB5" w:rsidRDefault="001631C6" w:rsidP="001631C6">
      <w:pPr>
        <w:pStyle w:val="Heading2"/>
        <w:spacing w:before="0"/>
        <w:jc w:val="both"/>
        <w:rPr>
          <w:rFonts w:cs="Times New Roman"/>
          <w:b/>
          <w:szCs w:val="24"/>
          <w:lang w:val="en-US"/>
        </w:rPr>
      </w:pPr>
      <w:r w:rsidRPr="00207BB5">
        <w:rPr>
          <w:rFonts w:cs="Times New Roman"/>
          <w:szCs w:val="24"/>
          <w:lang w:val="en-US"/>
        </w:rPr>
        <w:t>Impact of bookrunner lending proximity on at-issue credit spreads.</w:t>
      </w:r>
    </w:p>
    <w:p w14:paraId="1F044B42" w14:textId="77777777" w:rsidR="001631C6" w:rsidRPr="00DC68DD" w:rsidRDefault="001631C6" w:rsidP="001631C6">
      <w:pPr>
        <w:jc w:val="both"/>
        <w:rPr>
          <w:sz w:val="20"/>
          <w:szCs w:val="20"/>
          <w:lang w:val="en-US"/>
        </w:rPr>
      </w:pPr>
      <w:r w:rsidRPr="00DC68DD">
        <w:rPr>
          <w:sz w:val="20"/>
          <w:szCs w:val="20"/>
          <w:lang w:val="en-US"/>
        </w:rPr>
        <w:t xml:space="preserve">The table reports </w:t>
      </w:r>
      <w:r>
        <w:rPr>
          <w:sz w:val="20"/>
          <w:szCs w:val="20"/>
          <w:lang w:val="en-US"/>
        </w:rPr>
        <w:t>the second stage regression for</w:t>
      </w:r>
      <w:r w:rsidRPr="00DC68DD">
        <w:rPr>
          <w:sz w:val="20"/>
          <w:szCs w:val="20"/>
          <w:lang w:val="en-US"/>
        </w:rPr>
        <w:t xml:space="preserve"> </w:t>
      </w:r>
      <w:r>
        <w:rPr>
          <w:sz w:val="20"/>
          <w:szCs w:val="20"/>
          <w:lang w:val="en-US"/>
        </w:rPr>
        <w:t xml:space="preserve">instrumental variable </w:t>
      </w:r>
      <w:r w:rsidRPr="00DC68DD">
        <w:rPr>
          <w:sz w:val="20"/>
          <w:szCs w:val="20"/>
          <w:lang w:val="en-US"/>
        </w:rPr>
        <w:t>two-stage least squares (IV-2SLS) regressions</w:t>
      </w:r>
      <w:r w:rsidRPr="00DC68DD" w:rsidDel="00125C74">
        <w:rPr>
          <w:sz w:val="20"/>
          <w:szCs w:val="20"/>
          <w:lang w:val="en-US"/>
        </w:rPr>
        <w:t xml:space="preserve"> </w:t>
      </w:r>
      <w:r w:rsidRPr="00DC68DD">
        <w:rPr>
          <w:sz w:val="20"/>
          <w:szCs w:val="20"/>
          <w:lang w:val="en-US"/>
        </w:rPr>
        <w:t xml:space="preserve">predicting the at-issue credit spread </w:t>
      </w:r>
      <w:r>
        <w:rPr>
          <w:sz w:val="20"/>
          <w:szCs w:val="20"/>
          <w:lang w:val="en-US"/>
        </w:rPr>
        <w:t>of</w:t>
      </w:r>
      <w:r w:rsidRPr="00DC68DD">
        <w:rPr>
          <w:sz w:val="20"/>
          <w:szCs w:val="20"/>
          <w:lang w:val="en-US"/>
        </w:rPr>
        <w:t xml:space="preserve"> 1,223 euro-denominated public bond tranches issued by 324 Western European firms during 2001-2012. All variables are defined in Table 1. </w:t>
      </w:r>
      <w:r>
        <w:rPr>
          <w:sz w:val="20"/>
          <w:szCs w:val="20"/>
          <w:lang w:val="en-US"/>
        </w:rPr>
        <w:t>S</w:t>
      </w:r>
      <w:r w:rsidRPr="00DC68DD">
        <w:rPr>
          <w:sz w:val="20"/>
          <w:szCs w:val="20"/>
          <w:lang w:val="en-US"/>
        </w:rPr>
        <w:t xml:space="preserve">tandard errors </w:t>
      </w:r>
      <w:r>
        <w:rPr>
          <w:sz w:val="20"/>
          <w:szCs w:val="20"/>
          <w:lang w:val="en-US"/>
        </w:rPr>
        <w:t xml:space="preserve">clustered at the firm level </w:t>
      </w:r>
      <w:r w:rsidRPr="00DC68DD">
        <w:rPr>
          <w:sz w:val="20"/>
          <w:szCs w:val="20"/>
          <w:lang w:val="en-US"/>
        </w:rPr>
        <w:t xml:space="preserve">are reported in parenthesis. </w:t>
      </w:r>
      <w:r w:rsidRPr="00DC68DD">
        <w:rPr>
          <w:color w:val="000000"/>
          <w:sz w:val="20"/>
          <w:szCs w:val="20"/>
          <w:lang w:val="en-US" w:eastAsia="en-GB"/>
        </w:rPr>
        <w:t>***</w:t>
      </w:r>
      <w:r w:rsidRPr="00DC68DD">
        <w:rPr>
          <w:color w:val="000000"/>
          <w:sz w:val="20"/>
          <w:szCs w:val="20"/>
          <w:lang w:val="en-US"/>
        </w:rPr>
        <w:t>, **, and * denote significance at the 1%, 5%, and 10% levels respectively.</w:t>
      </w:r>
    </w:p>
    <w:tbl>
      <w:tblPr>
        <w:tblW w:w="5000" w:type="pct"/>
        <w:jc w:val="center"/>
        <w:tblLook w:val="04A0" w:firstRow="1" w:lastRow="0" w:firstColumn="1" w:lastColumn="0" w:noHBand="0" w:noVBand="1"/>
      </w:tblPr>
      <w:tblGrid>
        <w:gridCol w:w="4526"/>
        <w:gridCol w:w="1125"/>
        <w:gridCol w:w="1125"/>
        <w:gridCol w:w="1125"/>
        <w:gridCol w:w="1125"/>
      </w:tblGrid>
      <w:tr w:rsidR="00161CE5" w:rsidRPr="004F3D17" w14:paraId="0C22C9DA" w14:textId="77777777" w:rsidTr="00555663">
        <w:trPr>
          <w:trHeight w:val="89"/>
          <w:jc w:val="center"/>
        </w:trPr>
        <w:tc>
          <w:tcPr>
            <w:tcW w:w="2508" w:type="pct"/>
            <w:tcBorders>
              <w:top w:val="single" w:sz="4" w:space="0" w:color="auto"/>
              <w:bottom w:val="single" w:sz="4" w:space="0" w:color="auto"/>
            </w:tcBorders>
            <w:shd w:val="clear" w:color="auto" w:fill="auto"/>
            <w:vAlign w:val="bottom"/>
            <w:hideMark/>
          </w:tcPr>
          <w:p w14:paraId="02C7F57A" w14:textId="77777777" w:rsidR="00161CE5" w:rsidRPr="004F3D17" w:rsidRDefault="00161CE5" w:rsidP="008F5322">
            <w:pPr>
              <w:rPr>
                <w:color w:val="000000"/>
                <w:sz w:val="20"/>
                <w:szCs w:val="20"/>
                <w:lang w:val="en-US" w:eastAsia="en-GB"/>
              </w:rPr>
            </w:pPr>
            <w:bookmarkStart w:id="22" w:name="_Hlk75648473"/>
            <w:r w:rsidRPr="004F3D17">
              <w:rPr>
                <w:color w:val="000000"/>
                <w:sz w:val="20"/>
                <w:szCs w:val="20"/>
                <w:lang w:val="en-US" w:eastAsia="en-GB"/>
              </w:rPr>
              <w:t> </w:t>
            </w:r>
          </w:p>
        </w:tc>
        <w:tc>
          <w:tcPr>
            <w:tcW w:w="623" w:type="pct"/>
            <w:tcBorders>
              <w:top w:val="single" w:sz="4" w:space="0" w:color="auto"/>
              <w:bottom w:val="single" w:sz="4" w:space="0" w:color="auto"/>
            </w:tcBorders>
            <w:shd w:val="clear" w:color="auto" w:fill="auto"/>
            <w:vAlign w:val="center"/>
          </w:tcPr>
          <w:p w14:paraId="4C20FC45" w14:textId="77777777" w:rsidR="00161CE5" w:rsidRPr="004F3D17" w:rsidRDefault="00161CE5" w:rsidP="008F5322">
            <w:pPr>
              <w:jc w:val="center"/>
              <w:rPr>
                <w:bCs/>
                <w:color w:val="000000"/>
                <w:sz w:val="20"/>
                <w:szCs w:val="20"/>
                <w:lang w:val="en-US" w:eastAsia="en-GB"/>
              </w:rPr>
            </w:pPr>
            <w:r w:rsidRPr="004F3D17">
              <w:rPr>
                <w:bCs/>
                <w:color w:val="000000"/>
                <w:sz w:val="20"/>
                <w:szCs w:val="20"/>
                <w:lang w:val="en-US" w:eastAsia="en-GB"/>
              </w:rPr>
              <w:t>Model 1</w:t>
            </w:r>
          </w:p>
        </w:tc>
        <w:tc>
          <w:tcPr>
            <w:tcW w:w="623" w:type="pct"/>
            <w:tcBorders>
              <w:top w:val="single" w:sz="4" w:space="0" w:color="auto"/>
              <w:bottom w:val="single" w:sz="4" w:space="0" w:color="auto"/>
            </w:tcBorders>
            <w:shd w:val="clear" w:color="auto" w:fill="auto"/>
            <w:vAlign w:val="center"/>
          </w:tcPr>
          <w:p w14:paraId="287AD0B1" w14:textId="77777777" w:rsidR="00161CE5" w:rsidRPr="004F3D17" w:rsidRDefault="00161CE5" w:rsidP="008F5322">
            <w:pPr>
              <w:jc w:val="center"/>
              <w:rPr>
                <w:bCs/>
                <w:color w:val="000000"/>
                <w:sz w:val="20"/>
                <w:szCs w:val="20"/>
                <w:lang w:val="en-US" w:eastAsia="en-GB"/>
              </w:rPr>
            </w:pPr>
            <w:r w:rsidRPr="004F3D17">
              <w:rPr>
                <w:bCs/>
                <w:color w:val="000000"/>
                <w:sz w:val="20"/>
                <w:szCs w:val="20"/>
                <w:lang w:val="en-US" w:eastAsia="en-GB"/>
              </w:rPr>
              <w:t>Model 2</w:t>
            </w:r>
          </w:p>
        </w:tc>
        <w:tc>
          <w:tcPr>
            <w:tcW w:w="623" w:type="pct"/>
            <w:tcBorders>
              <w:top w:val="single" w:sz="4" w:space="0" w:color="auto"/>
              <w:bottom w:val="single" w:sz="4" w:space="0" w:color="auto"/>
            </w:tcBorders>
            <w:shd w:val="clear" w:color="auto" w:fill="auto"/>
            <w:vAlign w:val="center"/>
          </w:tcPr>
          <w:p w14:paraId="0AA4D6D1" w14:textId="77777777" w:rsidR="00161CE5" w:rsidRPr="004F3D17" w:rsidRDefault="00161CE5" w:rsidP="008F5322">
            <w:pPr>
              <w:jc w:val="center"/>
              <w:rPr>
                <w:bCs/>
                <w:color w:val="000000"/>
                <w:sz w:val="20"/>
                <w:szCs w:val="20"/>
                <w:lang w:val="en-US" w:eastAsia="en-GB"/>
              </w:rPr>
            </w:pPr>
            <w:r w:rsidRPr="004F3D17">
              <w:rPr>
                <w:bCs/>
                <w:color w:val="000000"/>
                <w:sz w:val="20"/>
                <w:szCs w:val="20"/>
                <w:lang w:val="en-US" w:eastAsia="en-GB"/>
              </w:rPr>
              <w:t>Model 3</w:t>
            </w:r>
          </w:p>
        </w:tc>
        <w:tc>
          <w:tcPr>
            <w:tcW w:w="623" w:type="pct"/>
            <w:tcBorders>
              <w:top w:val="single" w:sz="4" w:space="0" w:color="auto"/>
              <w:bottom w:val="single" w:sz="4" w:space="0" w:color="auto"/>
            </w:tcBorders>
            <w:vAlign w:val="center"/>
          </w:tcPr>
          <w:p w14:paraId="70D1D276" w14:textId="77777777" w:rsidR="00161CE5" w:rsidRPr="004F3D17" w:rsidRDefault="00161CE5" w:rsidP="008F5322">
            <w:pPr>
              <w:jc w:val="center"/>
              <w:rPr>
                <w:bCs/>
                <w:color w:val="000000"/>
                <w:sz w:val="20"/>
                <w:szCs w:val="20"/>
                <w:lang w:val="en-US" w:eastAsia="en-GB"/>
              </w:rPr>
            </w:pPr>
            <w:r w:rsidRPr="004F3D17">
              <w:rPr>
                <w:bCs/>
                <w:color w:val="000000"/>
                <w:sz w:val="20"/>
                <w:szCs w:val="20"/>
                <w:lang w:val="en-US" w:eastAsia="en-GB"/>
              </w:rPr>
              <w:t>Model 4</w:t>
            </w:r>
          </w:p>
        </w:tc>
      </w:tr>
      <w:tr w:rsidR="00161CE5" w:rsidRPr="004F3D17" w14:paraId="536B2012" w14:textId="77777777" w:rsidTr="00555663">
        <w:trPr>
          <w:trHeight w:val="66"/>
          <w:jc w:val="center"/>
        </w:trPr>
        <w:tc>
          <w:tcPr>
            <w:tcW w:w="2508" w:type="pct"/>
            <w:vMerge w:val="restart"/>
            <w:shd w:val="clear" w:color="auto" w:fill="auto"/>
            <w:noWrap/>
            <w:vAlign w:val="center"/>
            <w:hideMark/>
          </w:tcPr>
          <w:p w14:paraId="2DA657C2" w14:textId="77777777" w:rsidR="00161CE5" w:rsidRPr="004F3D17" w:rsidRDefault="00161CE5" w:rsidP="008F5322">
            <w:pPr>
              <w:rPr>
                <w:bCs/>
                <w:color w:val="000000"/>
                <w:sz w:val="20"/>
                <w:szCs w:val="20"/>
                <w:lang w:val="en-US" w:eastAsia="en-GB"/>
              </w:rPr>
            </w:pPr>
            <w:r w:rsidRPr="004F3D17">
              <w:rPr>
                <w:bCs/>
                <w:color w:val="000000"/>
                <w:sz w:val="20"/>
                <w:szCs w:val="20"/>
                <w:lang w:val="en-US" w:eastAsia="en-GB"/>
              </w:rPr>
              <w:t>Total BR domestic lending</w:t>
            </w:r>
          </w:p>
          <w:p w14:paraId="618183B8" w14:textId="77777777" w:rsidR="00161CE5" w:rsidRPr="004F3D17" w:rsidRDefault="00161CE5" w:rsidP="008F5322">
            <w:pPr>
              <w:rPr>
                <w:color w:val="000000"/>
                <w:sz w:val="20"/>
                <w:szCs w:val="20"/>
                <w:lang w:val="en-US" w:eastAsia="en-GB"/>
              </w:rPr>
            </w:pPr>
          </w:p>
        </w:tc>
        <w:tc>
          <w:tcPr>
            <w:tcW w:w="623" w:type="pct"/>
            <w:shd w:val="clear" w:color="auto" w:fill="auto"/>
          </w:tcPr>
          <w:p w14:paraId="40A7064E" w14:textId="77777777" w:rsidR="00161CE5" w:rsidRPr="004F3D17" w:rsidRDefault="00161CE5" w:rsidP="008F5322">
            <w:pPr>
              <w:jc w:val="center"/>
              <w:rPr>
                <w:sz w:val="20"/>
                <w:szCs w:val="20"/>
              </w:rPr>
            </w:pPr>
            <w:r w:rsidRPr="007C041A">
              <w:rPr>
                <w:sz w:val="20"/>
                <w:szCs w:val="20"/>
              </w:rPr>
              <w:t>-0.224***</w:t>
            </w:r>
          </w:p>
        </w:tc>
        <w:tc>
          <w:tcPr>
            <w:tcW w:w="623" w:type="pct"/>
            <w:shd w:val="clear" w:color="auto" w:fill="auto"/>
          </w:tcPr>
          <w:p w14:paraId="62A9BDB8" w14:textId="77777777" w:rsidR="00161CE5" w:rsidRPr="004F3D17" w:rsidRDefault="00161CE5" w:rsidP="008F5322">
            <w:pPr>
              <w:jc w:val="center"/>
              <w:rPr>
                <w:color w:val="000000"/>
                <w:sz w:val="20"/>
                <w:szCs w:val="20"/>
                <w:lang w:val="en-US" w:eastAsia="en-GB"/>
              </w:rPr>
            </w:pPr>
          </w:p>
        </w:tc>
        <w:tc>
          <w:tcPr>
            <w:tcW w:w="623" w:type="pct"/>
            <w:shd w:val="clear" w:color="auto" w:fill="auto"/>
          </w:tcPr>
          <w:p w14:paraId="24E01E74" w14:textId="77777777" w:rsidR="00161CE5" w:rsidRPr="004F3D17" w:rsidRDefault="00161CE5" w:rsidP="008F5322">
            <w:pPr>
              <w:jc w:val="center"/>
              <w:rPr>
                <w:sz w:val="20"/>
                <w:szCs w:val="20"/>
                <w:lang w:val="en-US" w:eastAsia="en-GB"/>
              </w:rPr>
            </w:pPr>
          </w:p>
        </w:tc>
        <w:tc>
          <w:tcPr>
            <w:tcW w:w="623" w:type="pct"/>
          </w:tcPr>
          <w:p w14:paraId="44FCFD1D" w14:textId="77777777" w:rsidR="00161CE5" w:rsidRPr="004F3D17" w:rsidRDefault="00161CE5" w:rsidP="008F5322">
            <w:pPr>
              <w:jc w:val="center"/>
              <w:rPr>
                <w:sz w:val="20"/>
                <w:szCs w:val="20"/>
                <w:lang w:val="en-US" w:eastAsia="en-GB"/>
              </w:rPr>
            </w:pPr>
          </w:p>
        </w:tc>
      </w:tr>
      <w:tr w:rsidR="00161CE5" w:rsidRPr="004F3D17" w14:paraId="490FF225" w14:textId="77777777" w:rsidTr="00555663">
        <w:trPr>
          <w:trHeight w:val="80"/>
          <w:jc w:val="center"/>
        </w:trPr>
        <w:tc>
          <w:tcPr>
            <w:tcW w:w="2508" w:type="pct"/>
            <w:vMerge/>
            <w:vAlign w:val="center"/>
            <w:hideMark/>
          </w:tcPr>
          <w:p w14:paraId="4FBA2868" w14:textId="77777777" w:rsidR="00161CE5" w:rsidRPr="004F3D17" w:rsidRDefault="00161CE5" w:rsidP="008F5322">
            <w:pPr>
              <w:rPr>
                <w:color w:val="000000"/>
                <w:sz w:val="20"/>
                <w:szCs w:val="20"/>
                <w:lang w:val="en-US" w:eastAsia="en-GB"/>
              </w:rPr>
            </w:pPr>
          </w:p>
        </w:tc>
        <w:tc>
          <w:tcPr>
            <w:tcW w:w="623" w:type="pct"/>
            <w:shd w:val="clear" w:color="auto" w:fill="auto"/>
          </w:tcPr>
          <w:p w14:paraId="33ACFDC4" w14:textId="77777777" w:rsidR="00161CE5" w:rsidRPr="004F3D17" w:rsidRDefault="00161CE5" w:rsidP="008F5322">
            <w:pPr>
              <w:jc w:val="center"/>
              <w:rPr>
                <w:sz w:val="20"/>
                <w:szCs w:val="20"/>
              </w:rPr>
            </w:pPr>
            <w:r w:rsidRPr="007C041A">
              <w:rPr>
                <w:sz w:val="20"/>
                <w:szCs w:val="20"/>
              </w:rPr>
              <w:t>(0.071)</w:t>
            </w:r>
          </w:p>
        </w:tc>
        <w:tc>
          <w:tcPr>
            <w:tcW w:w="623" w:type="pct"/>
            <w:shd w:val="clear" w:color="auto" w:fill="auto"/>
          </w:tcPr>
          <w:p w14:paraId="0E9015D5" w14:textId="77777777" w:rsidR="00161CE5" w:rsidRPr="004F3D17" w:rsidRDefault="00161CE5" w:rsidP="008F5322">
            <w:pPr>
              <w:jc w:val="center"/>
              <w:rPr>
                <w:bCs/>
                <w:color w:val="000000"/>
                <w:sz w:val="20"/>
                <w:szCs w:val="20"/>
                <w:lang w:val="en-US" w:eastAsia="en-GB"/>
              </w:rPr>
            </w:pPr>
          </w:p>
        </w:tc>
        <w:tc>
          <w:tcPr>
            <w:tcW w:w="623" w:type="pct"/>
            <w:shd w:val="clear" w:color="auto" w:fill="auto"/>
          </w:tcPr>
          <w:p w14:paraId="48A246BF" w14:textId="77777777" w:rsidR="00161CE5" w:rsidRPr="004F3D17" w:rsidRDefault="00161CE5" w:rsidP="008F5322">
            <w:pPr>
              <w:jc w:val="center"/>
              <w:rPr>
                <w:sz w:val="20"/>
                <w:szCs w:val="20"/>
                <w:lang w:val="en-US" w:eastAsia="en-GB"/>
              </w:rPr>
            </w:pPr>
          </w:p>
        </w:tc>
        <w:tc>
          <w:tcPr>
            <w:tcW w:w="623" w:type="pct"/>
          </w:tcPr>
          <w:p w14:paraId="1480FA56" w14:textId="77777777" w:rsidR="00161CE5" w:rsidRPr="004F3D17" w:rsidRDefault="00161CE5" w:rsidP="008F5322">
            <w:pPr>
              <w:jc w:val="center"/>
              <w:rPr>
                <w:sz w:val="20"/>
                <w:szCs w:val="20"/>
                <w:lang w:val="en-US" w:eastAsia="en-GB"/>
              </w:rPr>
            </w:pPr>
          </w:p>
        </w:tc>
      </w:tr>
      <w:tr w:rsidR="00161CE5" w:rsidRPr="004F3D17" w14:paraId="3321239E" w14:textId="77777777" w:rsidTr="00555663">
        <w:trPr>
          <w:trHeight w:val="230"/>
          <w:jc w:val="center"/>
        </w:trPr>
        <w:tc>
          <w:tcPr>
            <w:tcW w:w="2508" w:type="pct"/>
            <w:vMerge w:val="restart"/>
            <w:shd w:val="clear" w:color="auto" w:fill="auto"/>
            <w:vAlign w:val="center"/>
            <w:hideMark/>
          </w:tcPr>
          <w:p w14:paraId="03C942D9"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Average BR domestic lending</w:t>
            </w:r>
          </w:p>
          <w:p w14:paraId="5B16244B" w14:textId="77777777" w:rsidR="00161CE5" w:rsidRPr="004F3D17" w:rsidRDefault="00161CE5" w:rsidP="008F5322">
            <w:pPr>
              <w:rPr>
                <w:color w:val="000000"/>
                <w:sz w:val="20"/>
                <w:szCs w:val="20"/>
                <w:lang w:val="en-US" w:eastAsia="en-GB"/>
              </w:rPr>
            </w:pPr>
          </w:p>
        </w:tc>
        <w:tc>
          <w:tcPr>
            <w:tcW w:w="623" w:type="pct"/>
            <w:shd w:val="clear" w:color="auto" w:fill="auto"/>
          </w:tcPr>
          <w:p w14:paraId="7B7B4A8D" w14:textId="77777777" w:rsidR="00161CE5" w:rsidRPr="004F3D17" w:rsidRDefault="00161CE5" w:rsidP="008F5322">
            <w:pPr>
              <w:jc w:val="center"/>
              <w:rPr>
                <w:sz w:val="20"/>
                <w:szCs w:val="20"/>
                <w:lang w:val="en-US" w:eastAsia="en-GB"/>
              </w:rPr>
            </w:pPr>
          </w:p>
        </w:tc>
        <w:tc>
          <w:tcPr>
            <w:tcW w:w="623" w:type="pct"/>
            <w:shd w:val="clear" w:color="auto" w:fill="auto"/>
          </w:tcPr>
          <w:p w14:paraId="43E80659" w14:textId="77777777" w:rsidR="00161CE5" w:rsidRPr="004F3D17" w:rsidRDefault="00161CE5" w:rsidP="008F5322">
            <w:pPr>
              <w:jc w:val="center"/>
              <w:rPr>
                <w:sz w:val="20"/>
                <w:szCs w:val="20"/>
              </w:rPr>
            </w:pPr>
            <w:r w:rsidRPr="007C041A">
              <w:rPr>
                <w:sz w:val="20"/>
                <w:szCs w:val="20"/>
              </w:rPr>
              <w:t>-0.228***</w:t>
            </w:r>
          </w:p>
        </w:tc>
        <w:tc>
          <w:tcPr>
            <w:tcW w:w="623" w:type="pct"/>
            <w:shd w:val="clear" w:color="auto" w:fill="auto"/>
          </w:tcPr>
          <w:p w14:paraId="37485960" w14:textId="77777777" w:rsidR="00161CE5" w:rsidRPr="004F3D17" w:rsidRDefault="00161CE5" w:rsidP="008F5322">
            <w:pPr>
              <w:jc w:val="center"/>
              <w:rPr>
                <w:sz w:val="20"/>
                <w:szCs w:val="20"/>
              </w:rPr>
            </w:pPr>
          </w:p>
        </w:tc>
        <w:tc>
          <w:tcPr>
            <w:tcW w:w="623" w:type="pct"/>
          </w:tcPr>
          <w:p w14:paraId="6D9997EE" w14:textId="77777777" w:rsidR="00161CE5" w:rsidRPr="004F3D17" w:rsidRDefault="00161CE5" w:rsidP="008F5322">
            <w:pPr>
              <w:jc w:val="center"/>
              <w:rPr>
                <w:sz w:val="20"/>
                <w:szCs w:val="20"/>
              </w:rPr>
            </w:pPr>
          </w:p>
        </w:tc>
      </w:tr>
      <w:tr w:rsidR="00161CE5" w:rsidRPr="004F3D17" w14:paraId="72FDCBB5" w14:textId="77777777" w:rsidTr="00555663">
        <w:trPr>
          <w:trHeight w:val="230"/>
          <w:jc w:val="center"/>
        </w:trPr>
        <w:tc>
          <w:tcPr>
            <w:tcW w:w="2508" w:type="pct"/>
            <w:vMerge/>
            <w:vAlign w:val="center"/>
            <w:hideMark/>
          </w:tcPr>
          <w:p w14:paraId="196040DD" w14:textId="77777777" w:rsidR="00161CE5" w:rsidRPr="004F3D17" w:rsidRDefault="00161CE5" w:rsidP="008F5322">
            <w:pPr>
              <w:rPr>
                <w:color w:val="000000"/>
                <w:sz w:val="20"/>
                <w:szCs w:val="20"/>
                <w:lang w:val="en-US" w:eastAsia="en-GB"/>
              </w:rPr>
            </w:pPr>
          </w:p>
        </w:tc>
        <w:tc>
          <w:tcPr>
            <w:tcW w:w="623" w:type="pct"/>
            <w:shd w:val="clear" w:color="auto" w:fill="auto"/>
          </w:tcPr>
          <w:p w14:paraId="1CA5174F" w14:textId="77777777" w:rsidR="00161CE5" w:rsidRPr="004F3D17" w:rsidRDefault="00161CE5" w:rsidP="008F5322">
            <w:pPr>
              <w:jc w:val="center"/>
              <w:rPr>
                <w:sz w:val="20"/>
                <w:szCs w:val="20"/>
                <w:lang w:val="en-US" w:eastAsia="en-GB"/>
              </w:rPr>
            </w:pPr>
          </w:p>
        </w:tc>
        <w:tc>
          <w:tcPr>
            <w:tcW w:w="623" w:type="pct"/>
            <w:shd w:val="clear" w:color="auto" w:fill="auto"/>
          </w:tcPr>
          <w:p w14:paraId="047BEDF2" w14:textId="77777777" w:rsidR="00161CE5" w:rsidRPr="004F3D17" w:rsidRDefault="00161CE5" w:rsidP="008F5322">
            <w:pPr>
              <w:jc w:val="center"/>
              <w:rPr>
                <w:sz w:val="20"/>
                <w:szCs w:val="20"/>
              </w:rPr>
            </w:pPr>
            <w:r w:rsidRPr="007C041A">
              <w:rPr>
                <w:sz w:val="20"/>
                <w:szCs w:val="20"/>
              </w:rPr>
              <w:t>(0.071)</w:t>
            </w:r>
          </w:p>
        </w:tc>
        <w:tc>
          <w:tcPr>
            <w:tcW w:w="623" w:type="pct"/>
            <w:shd w:val="clear" w:color="auto" w:fill="auto"/>
          </w:tcPr>
          <w:p w14:paraId="216411E4" w14:textId="77777777" w:rsidR="00161CE5" w:rsidRPr="004F3D17" w:rsidRDefault="00161CE5" w:rsidP="008F5322">
            <w:pPr>
              <w:jc w:val="center"/>
              <w:rPr>
                <w:sz w:val="20"/>
                <w:szCs w:val="20"/>
              </w:rPr>
            </w:pPr>
          </w:p>
        </w:tc>
        <w:tc>
          <w:tcPr>
            <w:tcW w:w="623" w:type="pct"/>
          </w:tcPr>
          <w:p w14:paraId="170F1B6B" w14:textId="77777777" w:rsidR="00161CE5" w:rsidRPr="004F3D17" w:rsidRDefault="00161CE5" w:rsidP="008F5322">
            <w:pPr>
              <w:jc w:val="center"/>
              <w:rPr>
                <w:sz w:val="20"/>
                <w:szCs w:val="20"/>
              </w:rPr>
            </w:pPr>
          </w:p>
        </w:tc>
      </w:tr>
      <w:tr w:rsidR="00161CE5" w:rsidRPr="004F3D17" w14:paraId="56840F16" w14:textId="77777777" w:rsidTr="00555663">
        <w:trPr>
          <w:trHeight w:val="230"/>
          <w:jc w:val="center"/>
        </w:trPr>
        <w:tc>
          <w:tcPr>
            <w:tcW w:w="2508" w:type="pct"/>
            <w:vMerge w:val="restart"/>
            <w:vAlign w:val="center"/>
          </w:tcPr>
          <w:p w14:paraId="0D7CE51B"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Average balance sheet lending to issuer country</w:t>
            </w:r>
          </w:p>
          <w:p w14:paraId="0B6DE426" w14:textId="77777777" w:rsidR="00161CE5" w:rsidRPr="004F3D17" w:rsidRDefault="00161CE5" w:rsidP="008F5322">
            <w:pPr>
              <w:rPr>
                <w:color w:val="000000"/>
                <w:sz w:val="20"/>
                <w:szCs w:val="20"/>
                <w:lang w:val="en-US" w:eastAsia="en-GB"/>
              </w:rPr>
            </w:pPr>
          </w:p>
        </w:tc>
        <w:tc>
          <w:tcPr>
            <w:tcW w:w="623" w:type="pct"/>
            <w:shd w:val="clear" w:color="auto" w:fill="auto"/>
          </w:tcPr>
          <w:p w14:paraId="11D64725" w14:textId="77777777" w:rsidR="00161CE5" w:rsidRPr="004F3D17" w:rsidRDefault="00161CE5" w:rsidP="008F5322">
            <w:pPr>
              <w:jc w:val="center"/>
              <w:rPr>
                <w:sz w:val="20"/>
                <w:szCs w:val="20"/>
                <w:lang w:val="en-US" w:eastAsia="en-GB"/>
              </w:rPr>
            </w:pPr>
          </w:p>
        </w:tc>
        <w:tc>
          <w:tcPr>
            <w:tcW w:w="623" w:type="pct"/>
            <w:shd w:val="clear" w:color="auto" w:fill="auto"/>
          </w:tcPr>
          <w:p w14:paraId="647418E7" w14:textId="77777777" w:rsidR="00161CE5" w:rsidRPr="004F3D17" w:rsidRDefault="00161CE5" w:rsidP="008F5322">
            <w:pPr>
              <w:jc w:val="center"/>
              <w:rPr>
                <w:sz w:val="20"/>
                <w:szCs w:val="20"/>
              </w:rPr>
            </w:pPr>
          </w:p>
        </w:tc>
        <w:tc>
          <w:tcPr>
            <w:tcW w:w="623" w:type="pct"/>
            <w:shd w:val="clear" w:color="auto" w:fill="auto"/>
          </w:tcPr>
          <w:p w14:paraId="54EC342D" w14:textId="77777777" w:rsidR="00161CE5" w:rsidRPr="004F3D17" w:rsidRDefault="00161CE5" w:rsidP="008F5322">
            <w:pPr>
              <w:jc w:val="center"/>
              <w:rPr>
                <w:sz w:val="20"/>
                <w:szCs w:val="20"/>
              </w:rPr>
            </w:pPr>
            <w:r w:rsidRPr="007C041A">
              <w:rPr>
                <w:sz w:val="20"/>
                <w:szCs w:val="20"/>
              </w:rPr>
              <w:t>-0.545***</w:t>
            </w:r>
          </w:p>
        </w:tc>
        <w:tc>
          <w:tcPr>
            <w:tcW w:w="623" w:type="pct"/>
          </w:tcPr>
          <w:p w14:paraId="049A8F86" w14:textId="77777777" w:rsidR="00161CE5" w:rsidRPr="004F3D17" w:rsidRDefault="00161CE5" w:rsidP="008F5322">
            <w:pPr>
              <w:jc w:val="center"/>
              <w:rPr>
                <w:sz w:val="20"/>
                <w:szCs w:val="20"/>
              </w:rPr>
            </w:pPr>
          </w:p>
        </w:tc>
      </w:tr>
      <w:tr w:rsidR="00161CE5" w:rsidRPr="004F3D17" w14:paraId="349B296A" w14:textId="77777777" w:rsidTr="00555663">
        <w:trPr>
          <w:trHeight w:val="230"/>
          <w:jc w:val="center"/>
        </w:trPr>
        <w:tc>
          <w:tcPr>
            <w:tcW w:w="2508" w:type="pct"/>
            <w:vMerge/>
            <w:vAlign w:val="center"/>
          </w:tcPr>
          <w:p w14:paraId="23439B4E" w14:textId="77777777" w:rsidR="00161CE5" w:rsidRPr="004F3D17" w:rsidRDefault="00161CE5" w:rsidP="008F5322">
            <w:pPr>
              <w:rPr>
                <w:color w:val="000000"/>
                <w:sz w:val="20"/>
                <w:szCs w:val="20"/>
                <w:lang w:val="en-US" w:eastAsia="en-GB"/>
              </w:rPr>
            </w:pPr>
          </w:p>
        </w:tc>
        <w:tc>
          <w:tcPr>
            <w:tcW w:w="623" w:type="pct"/>
            <w:shd w:val="clear" w:color="auto" w:fill="auto"/>
          </w:tcPr>
          <w:p w14:paraId="73A9D0C8" w14:textId="77777777" w:rsidR="00161CE5" w:rsidRPr="004F3D17" w:rsidRDefault="00161CE5" w:rsidP="008F5322">
            <w:pPr>
              <w:jc w:val="center"/>
              <w:rPr>
                <w:sz w:val="20"/>
                <w:szCs w:val="20"/>
                <w:lang w:val="en-US" w:eastAsia="en-GB"/>
              </w:rPr>
            </w:pPr>
          </w:p>
        </w:tc>
        <w:tc>
          <w:tcPr>
            <w:tcW w:w="623" w:type="pct"/>
            <w:shd w:val="clear" w:color="auto" w:fill="auto"/>
          </w:tcPr>
          <w:p w14:paraId="54BB7381" w14:textId="77777777" w:rsidR="00161CE5" w:rsidRPr="004F3D17" w:rsidRDefault="00161CE5" w:rsidP="008F5322">
            <w:pPr>
              <w:jc w:val="center"/>
              <w:rPr>
                <w:sz w:val="20"/>
                <w:szCs w:val="20"/>
              </w:rPr>
            </w:pPr>
          </w:p>
        </w:tc>
        <w:tc>
          <w:tcPr>
            <w:tcW w:w="623" w:type="pct"/>
            <w:shd w:val="clear" w:color="auto" w:fill="auto"/>
          </w:tcPr>
          <w:p w14:paraId="364AF69A" w14:textId="77777777" w:rsidR="00161CE5" w:rsidRPr="004F3D17" w:rsidRDefault="00161CE5" w:rsidP="008F5322">
            <w:pPr>
              <w:jc w:val="center"/>
              <w:rPr>
                <w:sz w:val="20"/>
                <w:szCs w:val="20"/>
              </w:rPr>
            </w:pPr>
            <w:r w:rsidRPr="007C041A">
              <w:rPr>
                <w:sz w:val="20"/>
                <w:szCs w:val="20"/>
              </w:rPr>
              <w:t>(0.176)</w:t>
            </w:r>
          </w:p>
        </w:tc>
        <w:tc>
          <w:tcPr>
            <w:tcW w:w="623" w:type="pct"/>
          </w:tcPr>
          <w:p w14:paraId="74E34A82" w14:textId="77777777" w:rsidR="00161CE5" w:rsidRPr="004F3D17" w:rsidRDefault="00161CE5" w:rsidP="008F5322">
            <w:pPr>
              <w:jc w:val="center"/>
              <w:rPr>
                <w:sz w:val="20"/>
                <w:szCs w:val="20"/>
              </w:rPr>
            </w:pPr>
          </w:p>
        </w:tc>
      </w:tr>
      <w:tr w:rsidR="00161CE5" w:rsidRPr="004F3D17" w14:paraId="551696B9" w14:textId="77777777" w:rsidTr="00555663">
        <w:trPr>
          <w:trHeight w:val="230"/>
          <w:jc w:val="center"/>
        </w:trPr>
        <w:tc>
          <w:tcPr>
            <w:tcW w:w="2508" w:type="pct"/>
            <w:vMerge w:val="restart"/>
            <w:vAlign w:val="center"/>
          </w:tcPr>
          <w:p w14:paraId="3F9098E1" w14:textId="77777777" w:rsidR="00161CE5" w:rsidRPr="004F3D17" w:rsidRDefault="00161CE5" w:rsidP="008F5322">
            <w:pPr>
              <w:rPr>
                <w:bCs/>
                <w:color w:val="000000"/>
                <w:sz w:val="20"/>
                <w:szCs w:val="20"/>
                <w:lang w:val="en-US" w:eastAsia="en-GB"/>
              </w:rPr>
            </w:pPr>
            <w:r w:rsidRPr="004F3D17">
              <w:rPr>
                <w:bCs/>
                <w:color w:val="000000"/>
                <w:sz w:val="20"/>
                <w:szCs w:val="20"/>
                <w:lang w:val="en-US" w:eastAsia="en-GB"/>
              </w:rPr>
              <w:t>BR domestic lending * Bank relative size</w:t>
            </w:r>
          </w:p>
          <w:p w14:paraId="2945D39F" w14:textId="77777777" w:rsidR="00161CE5" w:rsidRPr="004F3D17" w:rsidRDefault="00161CE5" w:rsidP="008F5322">
            <w:pPr>
              <w:rPr>
                <w:color w:val="000000"/>
                <w:sz w:val="20"/>
                <w:szCs w:val="20"/>
                <w:lang w:val="en-US" w:eastAsia="en-GB"/>
              </w:rPr>
            </w:pPr>
          </w:p>
        </w:tc>
        <w:tc>
          <w:tcPr>
            <w:tcW w:w="623" w:type="pct"/>
            <w:shd w:val="clear" w:color="auto" w:fill="auto"/>
          </w:tcPr>
          <w:p w14:paraId="76D4331B" w14:textId="77777777" w:rsidR="00161CE5" w:rsidRPr="004F3D17" w:rsidRDefault="00161CE5" w:rsidP="008F5322">
            <w:pPr>
              <w:jc w:val="center"/>
              <w:rPr>
                <w:sz w:val="20"/>
                <w:szCs w:val="20"/>
                <w:lang w:val="en-US" w:eastAsia="en-GB"/>
              </w:rPr>
            </w:pPr>
          </w:p>
        </w:tc>
        <w:tc>
          <w:tcPr>
            <w:tcW w:w="623" w:type="pct"/>
            <w:shd w:val="clear" w:color="auto" w:fill="auto"/>
          </w:tcPr>
          <w:p w14:paraId="45B9836D" w14:textId="77777777" w:rsidR="00161CE5" w:rsidRPr="004F3D17" w:rsidRDefault="00161CE5" w:rsidP="008F5322">
            <w:pPr>
              <w:jc w:val="center"/>
              <w:rPr>
                <w:sz w:val="20"/>
                <w:szCs w:val="20"/>
              </w:rPr>
            </w:pPr>
          </w:p>
        </w:tc>
        <w:tc>
          <w:tcPr>
            <w:tcW w:w="623" w:type="pct"/>
            <w:shd w:val="clear" w:color="auto" w:fill="auto"/>
          </w:tcPr>
          <w:p w14:paraId="78F3C6BC" w14:textId="77777777" w:rsidR="00161CE5" w:rsidRPr="004F3D17" w:rsidRDefault="00161CE5" w:rsidP="008F5322">
            <w:pPr>
              <w:jc w:val="center"/>
              <w:rPr>
                <w:sz w:val="20"/>
                <w:szCs w:val="20"/>
              </w:rPr>
            </w:pPr>
          </w:p>
        </w:tc>
        <w:tc>
          <w:tcPr>
            <w:tcW w:w="623" w:type="pct"/>
          </w:tcPr>
          <w:p w14:paraId="3B1C07D8" w14:textId="77777777" w:rsidR="00161CE5" w:rsidRPr="004F3D17" w:rsidRDefault="00161CE5" w:rsidP="008F5322">
            <w:pPr>
              <w:jc w:val="center"/>
              <w:rPr>
                <w:sz w:val="20"/>
                <w:szCs w:val="20"/>
              </w:rPr>
            </w:pPr>
            <w:r w:rsidRPr="007C041A">
              <w:rPr>
                <w:sz w:val="20"/>
                <w:szCs w:val="20"/>
              </w:rPr>
              <w:t>-0.357***</w:t>
            </w:r>
          </w:p>
        </w:tc>
      </w:tr>
      <w:tr w:rsidR="00161CE5" w:rsidRPr="004F3D17" w14:paraId="65109D9E" w14:textId="77777777" w:rsidTr="00555663">
        <w:trPr>
          <w:trHeight w:val="230"/>
          <w:jc w:val="center"/>
        </w:trPr>
        <w:tc>
          <w:tcPr>
            <w:tcW w:w="2508" w:type="pct"/>
            <w:vMerge/>
            <w:vAlign w:val="center"/>
          </w:tcPr>
          <w:p w14:paraId="5EA12414" w14:textId="77777777" w:rsidR="00161CE5" w:rsidRPr="004F3D17" w:rsidRDefault="00161CE5" w:rsidP="008F5322">
            <w:pPr>
              <w:rPr>
                <w:color w:val="000000"/>
                <w:sz w:val="20"/>
                <w:szCs w:val="20"/>
                <w:lang w:val="en-US" w:eastAsia="en-GB"/>
              </w:rPr>
            </w:pPr>
          </w:p>
        </w:tc>
        <w:tc>
          <w:tcPr>
            <w:tcW w:w="623" w:type="pct"/>
            <w:shd w:val="clear" w:color="auto" w:fill="auto"/>
          </w:tcPr>
          <w:p w14:paraId="66F1EA2E" w14:textId="77777777" w:rsidR="00161CE5" w:rsidRPr="004F3D17" w:rsidRDefault="00161CE5" w:rsidP="008F5322">
            <w:pPr>
              <w:jc w:val="center"/>
              <w:rPr>
                <w:sz w:val="20"/>
                <w:szCs w:val="20"/>
                <w:lang w:val="en-US" w:eastAsia="en-GB"/>
              </w:rPr>
            </w:pPr>
          </w:p>
        </w:tc>
        <w:tc>
          <w:tcPr>
            <w:tcW w:w="623" w:type="pct"/>
            <w:shd w:val="clear" w:color="auto" w:fill="auto"/>
          </w:tcPr>
          <w:p w14:paraId="69B1DB86" w14:textId="77777777" w:rsidR="00161CE5" w:rsidRPr="004F3D17" w:rsidRDefault="00161CE5" w:rsidP="008F5322">
            <w:pPr>
              <w:jc w:val="center"/>
              <w:rPr>
                <w:sz w:val="20"/>
                <w:szCs w:val="20"/>
              </w:rPr>
            </w:pPr>
          </w:p>
        </w:tc>
        <w:tc>
          <w:tcPr>
            <w:tcW w:w="623" w:type="pct"/>
            <w:shd w:val="clear" w:color="auto" w:fill="auto"/>
          </w:tcPr>
          <w:p w14:paraId="673F8456" w14:textId="77777777" w:rsidR="00161CE5" w:rsidRPr="004F3D17" w:rsidRDefault="00161CE5" w:rsidP="008F5322">
            <w:pPr>
              <w:jc w:val="center"/>
              <w:rPr>
                <w:sz w:val="20"/>
                <w:szCs w:val="20"/>
              </w:rPr>
            </w:pPr>
          </w:p>
        </w:tc>
        <w:tc>
          <w:tcPr>
            <w:tcW w:w="623" w:type="pct"/>
          </w:tcPr>
          <w:p w14:paraId="0AC4BD39" w14:textId="77777777" w:rsidR="00161CE5" w:rsidRPr="004F3D17" w:rsidRDefault="00161CE5" w:rsidP="008F5322">
            <w:pPr>
              <w:jc w:val="center"/>
              <w:rPr>
                <w:sz w:val="20"/>
                <w:szCs w:val="20"/>
              </w:rPr>
            </w:pPr>
            <w:r w:rsidRPr="007C041A">
              <w:rPr>
                <w:sz w:val="20"/>
                <w:szCs w:val="20"/>
              </w:rPr>
              <w:t>(0.116)</w:t>
            </w:r>
          </w:p>
        </w:tc>
      </w:tr>
      <w:tr w:rsidR="00161CE5" w:rsidRPr="004F3D17" w14:paraId="3EB5CA3E" w14:textId="77777777" w:rsidTr="00555663">
        <w:trPr>
          <w:trHeight w:val="80"/>
          <w:jc w:val="center"/>
        </w:trPr>
        <w:tc>
          <w:tcPr>
            <w:tcW w:w="2508" w:type="pct"/>
            <w:vMerge w:val="restart"/>
            <w:shd w:val="clear" w:color="auto" w:fill="auto"/>
            <w:noWrap/>
            <w:vAlign w:val="center"/>
          </w:tcPr>
          <w:p w14:paraId="49C5F9DC" w14:textId="77777777" w:rsidR="00161CE5" w:rsidRPr="004F3D17" w:rsidRDefault="00161CE5" w:rsidP="008F5322">
            <w:pPr>
              <w:rPr>
                <w:bCs/>
                <w:color w:val="000000"/>
                <w:sz w:val="20"/>
                <w:szCs w:val="20"/>
                <w:lang w:val="en-US" w:eastAsia="en-GB"/>
              </w:rPr>
            </w:pPr>
            <w:r w:rsidRPr="004F3D17">
              <w:rPr>
                <w:bCs/>
                <w:color w:val="000000"/>
                <w:sz w:val="20"/>
                <w:szCs w:val="20"/>
                <w:lang w:val="en-US" w:eastAsia="en-GB"/>
              </w:rPr>
              <w:t>% of BRs prior lender</w:t>
            </w:r>
          </w:p>
        </w:tc>
        <w:tc>
          <w:tcPr>
            <w:tcW w:w="623" w:type="pct"/>
            <w:shd w:val="clear" w:color="auto" w:fill="auto"/>
          </w:tcPr>
          <w:p w14:paraId="4B0F384D" w14:textId="77777777" w:rsidR="00161CE5" w:rsidRPr="004F3D17" w:rsidRDefault="00161CE5" w:rsidP="008F5322">
            <w:pPr>
              <w:jc w:val="center"/>
              <w:rPr>
                <w:sz w:val="20"/>
                <w:szCs w:val="20"/>
              </w:rPr>
            </w:pPr>
            <w:r w:rsidRPr="007C041A">
              <w:rPr>
                <w:sz w:val="20"/>
                <w:szCs w:val="20"/>
              </w:rPr>
              <w:t>0.022</w:t>
            </w:r>
          </w:p>
        </w:tc>
        <w:tc>
          <w:tcPr>
            <w:tcW w:w="623" w:type="pct"/>
            <w:shd w:val="clear" w:color="auto" w:fill="auto"/>
          </w:tcPr>
          <w:p w14:paraId="21EFB179" w14:textId="77777777" w:rsidR="00161CE5" w:rsidRPr="004F3D17" w:rsidRDefault="00161CE5" w:rsidP="008F5322">
            <w:pPr>
              <w:jc w:val="center"/>
              <w:rPr>
                <w:sz w:val="20"/>
                <w:szCs w:val="20"/>
              </w:rPr>
            </w:pPr>
            <w:r w:rsidRPr="007C041A">
              <w:rPr>
                <w:sz w:val="20"/>
                <w:szCs w:val="20"/>
              </w:rPr>
              <w:t>-0.012</w:t>
            </w:r>
          </w:p>
        </w:tc>
        <w:tc>
          <w:tcPr>
            <w:tcW w:w="623" w:type="pct"/>
            <w:shd w:val="clear" w:color="auto" w:fill="auto"/>
          </w:tcPr>
          <w:p w14:paraId="03783E16" w14:textId="77777777" w:rsidR="00161CE5" w:rsidRPr="004F3D17" w:rsidRDefault="00161CE5" w:rsidP="008F5322">
            <w:pPr>
              <w:jc w:val="center"/>
              <w:rPr>
                <w:sz w:val="20"/>
                <w:szCs w:val="20"/>
              </w:rPr>
            </w:pPr>
            <w:r w:rsidRPr="007C041A">
              <w:rPr>
                <w:sz w:val="20"/>
                <w:szCs w:val="20"/>
              </w:rPr>
              <w:t>0.042</w:t>
            </w:r>
          </w:p>
        </w:tc>
        <w:tc>
          <w:tcPr>
            <w:tcW w:w="623" w:type="pct"/>
          </w:tcPr>
          <w:p w14:paraId="36F27E47" w14:textId="77777777" w:rsidR="00161CE5" w:rsidRPr="004F3D17" w:rsidRDefault="00161CE5" w:rsidP="008F5322">
            <w:pPr>
              <w:jc w:val="center"/>
              <w:rPr>
                <w:sz w:val="20"/>
                <w:szCs w:val="20"/>
              </w:rPr>
            </w:pPr>
            <w:r w:rsidRPr="007C041A">
              <w:rPr>
                <w:sz w:val="20"/>
                <w:szCs w:val="20"/>
              </w:rPr>
              <w:t>0.074</w:t>
            </w:r>
          </w:p>
        </w:tc>
      </w:tr>
      <w:tr w:rsidR="00161CE5" w:rsidRPr="004F3D17" w14:paraId="0FAE00FC" w14:textId="77777777" w:rsidTr="00555663">
        <w:trPr>
          <w:trHeight w:val="80"/>
          <w:jc w:val="center"/>
        </w:trPr>
        <w:tc>
          <w:tcPr>
            <w:tcW w:w="2508" w:type="pct"/>
            <w:vMerge/>
            <w:shd w:val="clear" w:color="auto" w:fill="auto"/>
            <w:noWrap/>
            <w:vAlign w:val="center"/>
          </w:tcPr>
          <w:p w14:paraId="5F1C8E14" w14:textId="77777777" w:rsidR="00161CE5" w:rsidRPr="004F3D17" w:rsidRDefault="00161CE5" w:rsidP="008F5322">
            <w:pPr>
              <w:rPr>
                <w:color w:val="000000"/>
                <w:sz w:val="20"/>
                <w:szCs w:val="20"/>
                <w:lang w:val="en-US" w:eastAsia="en-GB"/>
              </w:rPr>
            </w:pPr>
          </w:p>
        </w:tc>
        <w:tc>
          <w:tcPr>
            <w:tcW w:w="623" w:type="pct"/>
            <w:shd w:val="clear" w:color="auto" w:fill="auto"/>
          </w:tcPr>
          <w:p w14:paraId="65838222" w14:textId="77777777" w:rsidR="00161CE5" w:rsidRPr="004F3D17" w:rsidRDefault="00161CE5" w:rsidP="008F5322">
            <w:pPr>
              <w:jc w:val="center"/>
              <w:rPr>
                <w:sz w:val="20"/>
                <w:szCs w:val="20"/>
              </w:rPr>
            </w:pPr>
            <w:r w:rsidRPr="007C041A">
              <w:rPr>
                <w:sz w:val="20"/>
                <w:szCs w:val="20"/>
              </w:rPr>
              <w:t>(0.046)</w:t>
            </w:r>
          </w:p>
        </w:tc>
        <w:tc>
          <w:tcPr>
            <w:tcW w:w="623" w:type="pct"/>
            <w:shd w:val="clear" w:color="auto" w:fill="auto"/>
          </w:tcPr>
          <w:p w14:paraId="01244FA3" w14:textId="77777777" w:rsidR="00161CE5" w:rsidRPr="004F3D17" w:rsidRDefault="00161CE5" w:rsidP="008F5322">
            <w:pPr>
              <w:jc w:val="center"/>
              <w:rPr>
                <w:sz w:val="20"/>
                <w:szCs w:val="20"/>
              </w:rPr>
            </w:pPr>
            <w:r w:rsidRPr="007C041A">
              <w:rPr>
                <w:sz w:val="20"/>
                <w:szCs w:val="20"/>
              </w:rPr>
              <w:t>(0.043)</w:t>
            </w:r>
          </w:p>
        </w:tc>
        <w:tc>
          <w:tcPr>
            <w:tcW w:w="623" w:type="pct"/>
            <w:shd w:val="clear" w:color="auto" w:fill="auto"/>
          </w:tcPr>
          <w:p w14:paraId="690FC84D" w14:textId="77777777" w:rsidR="00161CE5" w:rsidRPr="004F3D17" w:rsidRDefault="00161CE5" w:rsidP="008F5322">
            <w:pPr>
              <w:jc w:val="center"/>
              <w:rPr>
                <w:sz w:val="20"/>
                <w:szCs w:val="20"/>
              </w:rPr>
            </w:pPr>
            <w:r w:rsidRPr="007C041A">
              <w:rPr>
                <w:sz w:val="20"/>
                <w:szCs w:val="20"/>
              </w:rPr>
              <w:t>(0.052)</w:t>
            </w:r>
          </w:p>
        </w:tc>
        <w:tc>
          <w:tcPr>
            <w:tcW w:w="623" w:type="pct"/>
          </w:tcPr>
          <w:p w14:paraId="1D8412A2" w14:textId="77777777" w:rsidR="00161CE5" w:rsidRPr="004F3D17" w:rsidRDefault="00161CE5" w:rsidP="008F5322">
            <w:pPr>
              <w:jc w:val="center"/>
              <w:rPr>
                <w:sz w:val="20"/>
                <w:szCs w:val="20"/>
              </w:rPr>
            </w:pPr>
            <w:r w:rsidRPr="007C041A">
              <w:rPr>
                <w:sz w:val="20"/>
                <w:szCs w:val="20"/>
              </w:rPr>
              <w:t>(0.055)</w:t>
            </w:r>
          </w:p>
        </w:tc>
      </w:tr>
      <w:tr w:rsidR="00161CE5" w:rsidRPr="004F3D17" w14:paraId="7105AC3A" w14:textId="77777777" w:rsidTr="00555663">
        <w:trPr>
          <w:trHeight w:val="80"/>
          <w:jc w:val="center"/>
        </w:trPr>
        <w:tc>
          <w:tcPr>
            <w:tcW w:w="2508" w:type="pct"/>
            <w:vMerge w:val="restart"/>
            <w:shd w:val="clear" w:color="auto" w:fill="auto"/>
            <w:noWrap/>
            <w:vAlign w:val="center"/>
          </w:tcPr>
          <w:p w14:paraId="21688E67"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Firm size</w:t>
            </w:r>
          </w:p>
        </w:tc>
        <w:tc>
          <w:tcPr>
            <w:tcW w:w="623" w:type="pct"/>
            <w:shd w:val="clear" w:color="auto" w:fill="auto"/>
          </w:tcPr>
          <w:p w14:paraId="432BCA81" w14:textId="77777777" w:rsidR="00161CE5" w:rsidRPr="004F3D17" w:rsidRDefault="00161CE5" w:rsidP="008F5322">
            <w:pPr>
              <w:jc w:val="center"/>
              <w:rPr>
                <w:sz w:val="20"/>
                <w:szCs w:val="20"/>
              </w:rPr>
            </w:pPr>
            <w:r w:rsidRPr="007C041A">
              <w:rPr>
                <w:sz w:val="20"/>
                <w:szCs w:val="20"/>
              </w:rPr>
              <w:t>-0.066***</w:t>
            </w:r>
          </w:p>
        </w:tc>
        <w:tc>
          <w:tcPr>
            <w:tcW w:w="623" w:type="pct"/>
            <w:shd w:val="clear" w:color="auto" w:fill="auto"/>
          </w:tcPr>
          <w:p w14:paraId="02047C7A" w14:textId="77777777" w:rsidR="00161CE5" w:rsidRPr="004F3D17" w:rsidRDefault="00161CE5" w:rsidP="008F5322">
            <w:pPr>
              <w:jc w:val="center"/>
              <w:rPr>
                <w:sz w:val="20"/>
                <w:szCs w:val="20"/>
              </w:rPr>
            </w:pPr>
            <w:r w:rsidRPr="007C041A">
              <w:rPr>
                <w:sz w:val="20"/>
                <w:szCs w:val="20"/>
              </w:rPr>
              <w:t>-0.062***</w:t>
            </w:r>
          </w:p>
        </w:tc>
        <w:tc>
          <w:tcPr>
            <w:tcW w:w="623" w:type="pct"/>
            <w:shd w:val="clear" w:color="auto" w:fill="auto"/>
          </w:tcPr>
          <w:p w14:paraId="0127FDFC" w14:textId="77777777" w:rsidR="00161CE5" w:rsidRPr="004F3D17" w:rsidRDefault="00161CE5" w:rsidP="008F5322">
            <w:pPr>
              <w:jc w:val="center"/>
              <w:rPr>
                <w:sz w:val="20"/>
                <w:szCs w:val="20"/>
              </w:rPr>
            </w:pPr>
            <w:r w:rsidRPr="007C041A">
              <w:rPr>
                <w:sz w:val="20"/>
                <w:szCs w:val="20"/>
              </w:rPr>
              <w:t>-0.085***</w:t>
            </w:r>
          </w:p>
        </w:tc>
        <w:tc>
          <w:tcPr>
            <w:tcW w:w="623" w:type="pct"/>
          </w:tcPr>
          <w:p w14:paraId="76475FB9" w14:textId="77777777" w:rsidR="00161CE5" w:rsidRPr="004F3D17" w:rsidRDefault="00161CE5" w:rsidP="008F5322">
            <w:pPr>
              <w:jc w:val="center"/>
              <w:rPr>
                <w:sz w:val="20"/>
                <w:szCs w:val="20"/>
              </w:rPr>
            </w:pPr>
            <w:r w:rsidRPr="007C041A">
              <w:rPr>
                <w:sz w:val="20"/>
                <w:szCs w:val="20"/>
              </w:rPr>
              <w:t>-0.086***</w:t>
            </w:r>
          </w:p>
        </w:tc>
      </w:tr>
      <w:tr w:rsidR="00161CE5" w:rsidRPr="004F3D17" w14:paraId="77487CFE" w14:textId="77777777" w:rsidTr="00555663">
        <w:trPr>
          <w:trHeight w:val="80"/>
          <w:jc w:val="center"/>
        </w:trPr>
        <w:tc>
          <w:tcPr>
            <w:tcW w:w="2508" w:type="pct"/>
            <w:vMerge/>
            <w:shd w:val="clear" w:color="auto" w:fill="auto"/>
            <w:noWrap/>
            <w:vAlign w:val="center"/>
          </w:tcPr>
          <w:p w14:paraId="01AD31C6" w14:textId="77777777" w:rsidR="00161CE5" w:rsidRPr="004F3D17" w:rsidRDefault="00161CE5" w:rsidP="008F5322">
            <w:pPr>
              <w:rPr>
                <w:color w:val="000000"/>
                <w:sz w:val="20"/>
                <w:szCs w:val="20"/>
                <w:lang w:val="en-US" w:eastAsia="en-GB"/>
              </w:rPr>
            </w:pPr>
          </w:p>
        </w:tc>
        <w:tc>
          <w:tcPr>
            <w:tcW w:w="623" w:type="pct"/>
            <w:shd w:val="clear" w:color="auto" w:fill="auto"/>
          </w:tcPr>
          <w:p w14:paraId="6C5B206A" w14:textId="77777777" w:rsidR="00161CE5" w:rsidRPr="004F3D17" w:rsidRDefault="00161CE5" w:rsidP="008F5322">
            <w:pPr>
              <w:jc w:val="center"/>
              <w:rPr>
                <w:sz w:val="20"/>
                <w:szCs w:val="20"/>
              </w:rPr>
            </w:pPr>
            <w:r w:rsidRPr="007C041A">
              <w:rPr>
                <w:sz w:val="20"/>
                <w:szCs w:val="20"/>
              </w:rPr>
              <w:t>(0.022)</w:t>
            </w:r>
          </w:p>
        </w:tc>
        <w:tc>
          <w:tcPr>
            <w:tcW w:w="623" w:type="pct"/>
            <w:shd w:val="clear" w:color="auto" w:fill="auto"/>
          </w:tcPr>
          <w:p w14:paraId="7EF77825" w14:textId="77777777" w:rsidR="00161CE5" w:rsidRPr="004F3D17" w:rsidRDefault="00161CE5" w:rsidP="008F5322">
            <w:pPr>
              <w:jc w:val="center"/>
              <w:rPr>
                <w:sz w:val="20"/>
                <w:szCs w:val="20"/>
              </w:rPr>
            </w:pPr>
            <w:r w:rsidRPr="007C041A">
              <w:rPr>
                <w:sz w:val="20"/>
                <w:szCs w:val="20"/>
              </w:rPr>
              <w:t>(0.021)</w:t>
            </w:r>
          </w:p>
        </w:tc>
        <w:tc>
          <w:tcPr>
            <w:tcW w:w="623" w:type="pct"/>
            <w:shd w:val="clear" w:color="auto" w:fill="auto"/>
          </w:tcPr>
          <w:p w14:paraId="76C91B19" w14:textId="77777777" w:rsidR="00161CE5" w:rsidRPr="004F3D17" w:rsidRDefault="00161CE5" w:rsidP="008F5322">
            <w:pPr>
              <w:jc w:val="center"/>
              <w:rPr>
                <w:sz w:val="20"/>
                <w:szCs w:val="20"/>
              </w:rPr>
            </w:pPr>
            <w:r w:rsidRPr="007C041A">
              <w:rPr>
                <w:sz w:val="20"/>
                <w:szCs w:val="20"/>
              </w:rPr>
              <w:t>(0.023)</w:t>
            </w:r>
          </w:p>
        </w:tc>
        <w:tc>
          <w:tcPr>
            <w:tcW w:w="623" w:type="pct"/>
          </w:tcPr>
          <w:p w14:paraId="1C21916F" w14:textId="77777777" w:rsidR="00161CE5" w:rsidRPr="004F3D17" w:rsidRDefault="00161CE5" w:rsidP="008F5322">
            <w:pPr>
              <w:jc w:val="center"/>
              <w:rPr>
                <w:sz w:val="20"/>
                <w:szCs w:val="20"/>
              </w:rPr>
            </w:pPr>
            <w:r w:rsidRPr="007C041A">
              <w:rPr>
                <w:sz w:val="20"/>
                <w:szCs w:val="20"/>
              </w:rPr>
              <w:t>(0.024)</w:t>
            </w:r>
          </w:p>
        </w:tc>
      </w:tr>
      <w:tr w:rsidR="00161CE5" w:rsidRPr="004F3D17" w14:paraId="7AF887B0" w14:textId="77777777" w:rsidTr="00555663">
        <w:trPr>
          <w:trHeight w:val="80"/>
          <w:jc w:val="center"/>
        </w:trPr>
        <w:tc>
          <w:tcPr>
            <w:tcW w:w="2508" w:type="pct"/>
            <w:vMerge w:val="restart"/>
            <w:shd w:val="clear" w:color="auto" w:fill="auto"/>
            <w:noWrap/>
            <w:vAlign w:val="center"/>
          </w:tcPr>
          <w:p w14:paraId="32F01C07"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Profitability</w:t>
            </w:r>
          </w:p>
        </w:tc>
        <w:tc>
          <w:tcPr>
            <w:tcW w:w="623" w:type="pct"/>
            <w:shd w:val="clear" w:color="auto" w:fill="auto"/>
          </w:tcPr>
          <w:p w14:paraId="407006D8" w14:textId="77777777" w:rsidR="00161CE5" w:rsidRPr="004F3D17" w:rsidRDefault="00161CE5" w:rsidP="008F5322">
            <w:pPr>
              <w:jc w:val="center"/>
              <w:rPr>
                <w:sz w:val="20"/>
                <w:szCs w:val="20"/>
              </w:rPr>
            </w:pPr>
            <w:r w:rsidRPr="007C041A">
              <w:rPr>
                <w:sz w:val="20"/>
                <w:szCs w:val="20"/>
              </w:rPr>
              <w:t>-1.491***</w:t>
            </w:r>
          </w:p>
        </w:tc>
        <w:tc>
          <w:tcPr>
            <w:tcW w:w="623" w:type="pct"/>
            <w:shd w:val="clear" w:color="auto" w:fill="auto"/>
          </w:tcPr>
          <w:p w14:paraId="24C35F31" w14:textId="77777777" w:rsidR="00161CE5" w:rsidRPr="004F3D17" w:rsidRDefault="00161CE5" w:rsidP="008F5322">
            <w:pPr>
              <w:jc w:val="center"/>
              <w:rPr>
                <w:sz w:val="20"/>
                <w:szCs w:val="20"/>
              </w:rPr>
            </w:pPr>
            <w:r w:rsidRPr="007C041A">
              <w:rPr>
                <w:sz w:val="20"/>
                <w:szCs w:val="20"/>
              </w:rPr>
              <w:t>-1.478***</w:t>
            </w:r>
          </w:p>
        </w:tc>
        <w:tc>
          <w:tcPr>
            <w:tcW w:w="623" w:type="pct"/>
            <w:shd w:val="clear" w:color="auto" w:fill="auto"/>
          </w:tcPr>
          <w:p w14:paraId="7627A2A7" w14:textId="77777777" w:rsidR="00161CE5" w:rsidRPr="004F3D17" w:rsidRDefault="00161CE5" w:rsidP="008F5322">
            <w:pPr>
              <w:jc w:val="center"/>
              <w:rPr>
                <w:sz w:val="20"/>
                <w:szCs w:val="20"/>
              </w:rPr>
            </w:pPr>
            <w:r w:rsidRPr="007C041A">
              <w:rPr>
                <w:sz w:val="20"/>
                <w:szCs w:val="20"/>
              </w:rPr>
              <w:t>-1.780***</w:t>
            </w:r>
          </w:p>
        </w:tc>
        <w:tc>
          <w:tcPr>
            <w:tcW w:w="623" w:type="pct"/>
          </w:tcPr>
          <w:p w14:paraId="6997E849" w14:textId="77777777" w:rsidR="00161CE5" w:rsidRPr="004F3D17" w:rsidRDefault="00161CE5" w:rsidP="008F5322">
            <w:pPr>
              <w:jc w:val="center"/>
              <w:rPr>
                <w:sz w:val="20"/>
                <w:szCs w:val="20"/>
              </w:rPr>
            </w:pPr>
            <w:r w:rsidRPr="007C041A">
              <w:rPr>
                <w:sz w:val="20"/>
                <w:szCs w:val="20"/>
              </w:rPr>
              <w:t>-1.747***</w:t>
            </w:r>
          </w:p>
        </w:tc>
      </w:tr>
      <w:tr w:rsidR="00161CE5" w:rsidRPr="004F3D17" w14:paraId="1989DFC5" w14:textId="77777777" w:rsidTr="00555663">
        <w:trPr>
          <w:trHeight w:val="80"/>
          <w:jc w:val="center"/>
        </w:trPr>
        <w:tc>
          <w:tcPr>
            <w:tcW w:w="2508" w:type="pct"/>
            <w:vMerge/>
            <w:shd w:val="clear" w:color="auto" w:fill="auto"/>
            <w:noWrap/>
            <w:vAlign w:val="center"/>
          </w:tcPr>
          <w:p w14:paraId="2B7A75EE" w14:textId="77777777" w:rsidR="00161CE5" w:rsidRPr="004F3D17" w:rsidRDefault="00161CE5" w:rsidP="008F5322">
            <w:pPr>
              <w:rPr>
                <w:color w:val="000000"/>
                <w:sz w:val="20"/>
                <w:szCs w:val="20"/>
                <w:lang w:val="en-US" w:eastAsia="en-GB"/>
              </w:rPr>
            </w:pPr>
          </w:p>
        </w:tc>
        <w:tc>
          <w:tcPr>
            <w:tcW w:w="623" w:type="pct"/>
            <w:shd w:val="clear" w:color="auto" w:fill="auto"/>
          </w:tcPr>
          <w:p w14:paraId="140B0334" w14:textId="77777777" w:rsidR="00161CE5" w:rsidRPr="004F3D17" w:rsidRDefault="00161CE5" w:rsidP="008F5322">
            <w:pPr>
              <w:jc w:val="center"/>
              <w:rPr>
                <w:sz w:val="20"/>
                <w:szCs w:val="20"/>
              </w:rPr>
            </w:pPr>
            <w:r w:rsidRPr="007C041A">
              <w:rPr>
                <w:sz w:val="20"/>
                <w:szCs w:val="20"/>
              </w:rPr>
              <w:t>(0.443)</w:t>
            </w:r>
          </w:p>
        </w:tc>
        <w:tc>
          <w:tcPr>
            <w:tcW w:w="623" w:type="pct"/>
            <w:shd w:val="clear" w:color="auto" w:fill="auto"/>
          </w:tcPr>
          <w:p w14:paraId="0586B045" w14:textId="77777777" w:rsidR="00161CE5" w:rsidRPr="004F3D17" w:rsidRDefault="00161CE5" w:rsidP="008F5322">
            <w:pPr>
              <w:jc w:val="center"/>
              <w:rPr>
                <w:sz w:val="20"/>
                <w:szCs w:val="20"/>
              </w:rPr>
            </w:pPr>
            <w:r w:rsidRPr="007C041A">
              <w:rPr>
                <w:sz w:val="20"/>
                <w:szCs w:val="20"/>
              </w:rPr>
              <w:t>(0.431)</w:t>
            </w:r>
          </w:p>
        </w:tc>
        <w:tc>
          <w:tcPr>
            <w:tcW w:w="623" w:type="pct"/>
            <w:shd w:val="clear" w:color="auto" w:fill="auto"/>
          </w:tcPr>
          <w:p w14:paraId="1B24FA65" w14:textId="77777777" w:rsidR="00161CE5" w:rsidRPr="004F3D17" w:rsidRDefault="00161CE5" w:rsidP="008F5322">
            <w:pPr>
              <w:jc w:val="center"/>
              <w:rPr>
                <w:sz w:val="20"/>
                <w:szCs w:val="20"/>
              </w:rPr>
            </w:pPr>
            <w:r w:rsidRPr="007C041A">
              <w:rPr>
                <w:sz w:val="20"/>
                <w:szCs w:val="20"/>
              </w:rPr>
              <w:t>(0.479)</w:t>
            </w:r>
          </w:p>
        </w:tc>
        <w:tc>
          <w:tcPr>
            <w:tcW w:w="623" w:type="pct"/>
          </w:tcPr>
          <w:p w14:paraId="74A6B86C" w14:textId="77777777" w:rsidR="00161CE5" w:rsidRPr="004F3D17" w:rsidRDefault="00161CE5" w:rsidP="008F5322">
            <w:pPr>
              <w:jc w:val="center"/>
              <w:rPr>
                <w:sz w:val="20"/>
                <w:szCs w:val="20"/>
              </w:rPr>
            </w:pPr>
            <w:r w:rsidRPr="007C041A">
              <w:rPr>
                <w:sz w:val="20"/>
                <w:szCs w:val="20"/>
              </w:rPr>
              <w:t>(0.487)</w:t>
            </w:r>
          </w:p>
        </w:tc>
      </w:tr>
      <w:tr w:rsidR="00161CE5" w:rsidRPr="004F3D17" w14:paraId="31DB5140" w14:textId="77777777" w:rsidTr="00555663">
        <w:trPr>
          <w:trHeight w:val="80"/>
          <w:jc w:val="center"/>
        </w:trPr>
        <w:tc>
          <w:tcPr>
            <w:tcW w:w="2508" w:type="pct"/>
            <w:vMerge w:val="restart"/>
            <w:shd w:val="clear" w:color="auto" w:fill="auto"/>
            <w:noWrap/>
            <w:vAlign w:val="center"/>
          </w:tcPr>
          <w:p w14:paraId="595A3FB6"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Intangible assets</w:t>
            </w:r>
          </w:p>
        </w:tc>
        <w:tc>
          <w:tcPr>
            <w:tcW w:w="623" w:type="pct"/>
            <w:shd w:val="clear" w:color="auto" w:fill="auto"/>
          </w:tcPr>
          <w:p w14:paraId="764B1D54" w14:textId="77777777" w:rsidR="00161CE5" w:rsidRPr="004F3D17" w:rsidRDefault="00161CE5" w:rsidP="008F5322">
            <w:pPr>
              <w:jc w:val="center"/>
              <w:rPr>
                <w:sz w:val="20"/>
                <w:szCs w:val="20"/>
              </w:rPr>
            </w:pPr>
            <w:r w:rsidRPr="007C041A">
              <w:rPr>
                <w:sz w:val="20"/>
                <w:szCs w:val="20"/>
              </w:rPr>
              <w:t>-0.056</w:t>
            </w:r>
          </w:p>
        </w:tc>
        <w:tc>
          <w:tcPr>
            <w:tcW w:w="623" w:type="pct"/>
            <w:shd w:val="clear" w:color="auto" w:fill="auto"/>
          </w:tcPr>
          <w:p w14:paraId="3AB11527" w14:textId="77777777" w:rsidR="00161CE5" w:rsidRPr="004F3D17" w:rsidRDefault="00161CE5" w:rsidP="008F5322">
            <w:pPr>
              <w:jc w:val="center"/>
              <w:rPr>
                <w:sz w:val="20"/>
                <w:szCs w:val="20"/>
              </w:rPr>
            </w:pPr>
            <w:r w:rsidRPr="007C041A">
              <w:rPr>
                <w:sz w:val="20"/>
                <w:szCs w:val="20"/>
              </w:rPr>
              <w:t>-0.064</w:t>
            </w:r>
          </w:p>
        </w:tc>
        <w:tc>
          <w:tcPr>
            <w:tcW w:w="623" w:type="pct"/>
            <w:shd w:val="clear" w:color="auto" w:fill="auto"/>
          </w:tcPr>
          <w:p w14:paraId="368559E7" w14:textId="77777777" w:rsidR="00161CE5" w:rsidRPr="004F3D17" w:rsidRDefault="00161CE5" w:rsidP="008F5322">
            <w:pPr>
              <w:jc w:val="center"/>
              <w:rPr>
                <w:sz w:val="20"/>
                <w:szCs w:val="20"/>
              </w:rPr>
            </w:pPr>
            <w:r w:rsidRPr="007C041A">
              <w:rPr>
                <w:sz w:val="20"/>
                <w:szCs w:val="20"/>
              </w:rPr>
              <w:t>-0.088</w:t>
            </w:r>
          </w:p>
        </w:tc>
        <w:tc>
          <w:tcPr>
            <w:tcW w:w="623" w:type="pct"/>
          </w:tcPr>
          <w:p w14:paraId="34D6B980" w14:textId="77777777" w:rsidR="00161CE5" w:rsidRPr="004F3D17" w:rsidRDefault="00161CE5" w:rsidP="008F5322">
            <w:pPr>
              <w:jc w:val="center"/>
              <w:rPr>
                <w:sz w:val="20"/>
                <w:szCs w:val="20"/>
              </w:rPr>
            </w:pPr>
            <w:r w:rsidRPr="007C041A">
              <w:rPr>
                <w:sz w:val="20"/>
                <w:szCs w:val="20"/>
              </w:rPr>
              <w:t>-0.117</w:t>
            </w:r>
          </w:p>
        </w:tc>
      </w:tr>
      <w:tr w:rsidR="00161CE5" w:rsidRPr="004F3D17" w14:paraId="7F83D672" w14:textId="77777777" w:rsidTr="00555663">
        <w:trPr>
          <w:trHeight w:val="80"/>
          <w:jc w:val="center"/>
        </w:trPr>
        <w:tc>
          <w:tcPr>
            <w:tcW w:w="2508" w:type="pct"/>
            <w:vMerge/>
            <w:shd w:val="clear" w:color="auto" w:fill="auto"/>
            <w:noWrap/>
            <w:vAlign w:val="center"/>
          </w:tcPr>
          <w:p w14:paraId="45C8D1A7" w14:textId="77777777" w:rsidR="00161CE5" w:rsidRPr="004F3D17" w:rsidRDefault="00161CE5" w:rsidP="008F5322">
            <w:pPr>
              <w:rPr>
                <w:color w:val="000000"/>
                <w:sz w:val="20"/>
                <w:szCs w:val="20"/>
                <w:lang w:val="en-US" w:eastAsia="en-GB"/>
              </w:rPr>
            </w:pPr>
          </w:p>
        </w:tc>
        <w:tc>
          <w:tcPr>
            <w:tcW w:w="623" w:type="pct"/>
            <w:shd w:val="clear" w:color="auto" w:fill="auto"/>
          </w:tcPr>
          <w:p w14:paraId="441FBF7F" w14:textId="77777777" w:rsidR="00161CE5" w:rsidRPr="004F3D17" w:rsidRDefault="00161CE5" w:rsidP="008F5322">
            <w:pPr>
              <w:jc w:val="center"/>
              <w:rPr>
                <w:sz w:val="20"/>
                <w:szCs w:val="20"/>
              </w:rPr>
            </w:pPr>
            <w:r w:rsidRPr="007C041A">
              <w:rPr>
                <w:sz w:val="20"/>
                <w:szCs w:val="20"/>
              </w:rPr>
              <w:t>(0.085)</w:t>
            </w:r>
          </w:p>
        </w:tc>
        <w:tc>
          <w:tcPr>
            <w:tcW w:w="623" w:type="pct"/>
            <w:shd w:val="clear" w:color="auto" w:fill="auto"/>
          </w:tcPr>
          <w:p w14:paraId="11023E16" w14:textId="77777777" w:rsidR="00161CE5" w:rsidRPr="004F3D17" w:rsidRDefault="00161CE5" w:rsidP="008F5322">
            <w:pPr>
              <w:jc w:val="center"/>
              <w:rPr>
                <w:sz w:val="20"/>
                <w:szCs w:val="20"/>
              </w:rPr>
            </w:pPr>
            <w:r w:rsidRPr="007C041A">
              <w:rPr>
                <w:sz w:val="20"/>
                <w:szCs w:val="20"/>
              </w:rPr>
              <w:t>(0.085)</w:t>
            </w:r>
          </w:p>
        </w:tc>
        <w:tc>
          <w:tcPr>
            <w:tcW w:w="623" w:type="pct"/>
            <w:shd w:val="clear" w:color="auto" w:fill="auto"/>
          </w:tcPr>
          <w:p w14:paraId="1E148864" w14:textId="77777777" w:rsidR="00161CE5" w:rsidRPr="004F3D17" w:rsidRDefault="00161CE5" w:rsidP="008F5322">
            <w:pPr>
              <w:jc w:val="center"/>
              <w:rPr>
                <w:sz w:val="20"/>
                <w:szCs w:val="20"/>
              </w:rPr>
            </w:pPr>
            <w:r w:rsidRPr="007C041A">
              <w:rPr>
                <w:sz w:val="20"/>
                <w:szCs w:val="20"/>
              </w:rPr>
              <w:t>(0.089)</w:t>
            </w:r>
          </w:p>
        </w:tc>
        <w:tc>
          <w:tcPr>
            <w:tcW w:w="623" w:type="pct"/>
          </w:tcPr>
          <w:p w14:paraId="14C1393A" w14:textId="77777777" w:rsidR="00161CE5" w:rsidRPr="004F3D17" w:rsidRDefault="00161CE5" w:rsidP="008F5322">
            <w:pPr>
              <w:jc w:val="center"/>
              <w:rPr>
                <w:sz w:val="20"/>
                <w:szCs w:val="20"/>
              </w:rPr>
            </w:pPr>
            <w:r w:rsidRPr="007C041A">
              <w:rPr>
                <w:sz w:val="20"/>
                <w:szCs w:val="20"/>
              </w:rPr>
              <w:t>(0.089)</w:t>
            </w:r>
          </w:p>
        </w:tc>
      </w:tr>
      <w:tr w:rsidR="00161CE5" w:rsidRPr="004F3D17" w14:paraId="03FA4FDA" w14:textId="77777777" w:rsidTr="00555663">
        <w:trPr>
          <w:trHeight w:val="80"/>
          <w:jc w:val="center"/>
        </w:trPr>
        <w:tc>
          <w:tcPr>
            <w:tcW w:w="2508" w:type="pct"/>
            <w:vMerge w:val="restart"/>
            <w:shd w:val="clear" w:color="auto" w:fill="auto"/>
            <w:noWrap/>
            <w:vAlign w:val="center"/>
          </w:tcPr>
          <w:p w14:paraId="7FC6D6FC"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Leverage</w:t>
            </w:r>
          </w:p>
        </w:tc>
        <w:tc>
          <w:tcPr>
            <w:tcW w:w="623" w:type="pct"/>
            <w:shd w:val="clear" w:color="auto" w:fill="auto"/>
          </w:tcPr>
          <w:p w14:paraId="0A328041" w14:textId="77777777" w:rsidR="00161CE5" w:rsidRPr="004F3D17" w:rsidRDefault="00161CE5" w:rsidP="008F5322">
            <w:pPr>
              <w:jc w:val="center"/>
              <w:rPr>
                <w:sz w:val="20"/>
                <w:szCs w:val="20"/>
              </w:rPr>
            </w:pPr>
            <w:r w:rsidRPr="007C041A">
              <w:rPr>
                <w:sz w:val="20"/>
                <w:szCs w:val="20"/>
              </w:rPr>
              <w:t>0.259*</w:t>
            </w:r>
          </w:p>
        </w:tc>
        <w:tc>
          <w:tcPr>
            <w:tcW w:w="623" w:type="pct"/>
            <w:shd w:val="clear" w:color="auto" w:fill="auto"/>
          </w:tcPr>
          <w:p w14:paraId="4E6EF715" w14:textId="77777777" w:rsidR="00161CE5" w:rsidRPr="004F3D17" w:rsidRDefault="00161CE5" w:rsidP="008F5322">
            <w:pPr>
              <w:jc w:val="center"/>
              <w:rPr>
                <w:sz w:val="20"/>
                <w:szCs w:val="20"/>
              </w:rPr>
            </w:pPr>
            <w:r w:rsidRPr="007C041A">
              <w:rPr>
                <w:sz w:val="20"/>
                <w:szCs w:val="20"/>
              </w:rPr>
              <w:t>0.261*</w:t>
            </w:r>
          </w:p>
        </w:tc>
        <w:tc>
          <w:tcPr>
            <w:tcW w:w="623" w:type="pct"/>
            <w:shd w:val="clear" w:color="auto" w:fill="auto"/>
          </w:tcPr>
          <w:p w14:paraId="1209C6AF" w14:textId="77777777" w:rsidR="00161CE5" w:rsidRPr="004F3D17" w:rsidRDefault="00161CE5" w:rsidP="008F5322">
            <w:pPr>
              <w:jc w:val="center"/>
              <w:rPr>
                <w:sz w:val="20"/>
                <w:szCs w:val="20"/>
              </w:rPr>
            </w:pPr>
            <w:r w:rsidRPr="007C041A">
              <w:rPr>
                <w:sz w:val="20"/>
                <w:szCs w:val="20"/>
              </w:rPr>
              <w:t>0.087</w:t>
            </w:r>
          </w:p>
        </w:tc>
        <w:tc>
          <w:tcPr>
            <w:tcW w:w="623" w:type="pct"/>
          </w:tcPr>
          <w:p w14:paraId="1C17EA30" w14:textId="77777777" w:rsidR="00161CE5" w:rsidRPr="004F3D17" w:rsidRDefault="00161CE5" w:rsidP="008F5322">
            <w:pPr>
              <w:jc w:val="center"/>
              <w:rPr>
                <w:sz w:val="20"/>
                <w:szCs w:val="20"/>
              </w:rPr>
            </w:pPr>
            <w:r w:rsidRPr="007C041A">
              <w:rPr>
                <w:sz w:val="20"/>
                <w:szCs w:val="20"/>
              </w:rPr>
              <w:t>0.189</w:t>
            </w:r>
          </w:p>
        </w:tc>
      </w:tr>
      <w:tr w:rsidR="00161CE5" w:rsidRPr="004F3D17" w14:paraId="2124F2BB" w14:textId="77777777" w:rsidTr="00555663">
        <w:trPr>
          <w:trHeight w:val="80"/>
          <w:jc w:val="center"/>
        </w:trPr>
        <w:tc>
          <w:tcPr>
            <w:tcW w:w="2508" w:type="pct"/>
            <w:vMerge/>
            <w:shd w:val="clear" w:color="auto" w:fill="auto"/>
            <w:noWrap/>
            <w:vAlign w:val="center"/>
          </w:tcPr>
          <w:p w14:paraId="34D61724" w14:textId="77777777" w:rsidR="00161CE5" w:rsidRPr="004F3D17" w:rsidRDefault="00161CE5" w:rsidP="008F5322">
            <w:pPr>
              <w:rPr>
                <w:color w:val="000000"/>
                <w:sz w:val="20"/>
                <w:szCs w:val="20"/>
                <w:lang w:val="en-US" w:eastAsia="en-GB"/>
              </w:rPr>
            </w:pPr>
          </w:p>
        </w:tc>
        <w:tc>
          <w:tcPr>
            <w:tcW w:w="623" w:type="pct"/>
            <w:shd w:val="clear" w:color="auto" w:fill="auto"/>
          </w:tcPr>
          <w:p w14:paraId="14429BB8" w14:textId="77777777" w:rsidR="00161CE5" w:rsidRPr="004F3D17" w:rsidRDefault="00161CE5" w:rsidP="008F5322">
            <w:pPr>
              <w:jc w:val="center"/>
              <w:rPr>
                <w:sz w:val="20"/>
                <w:szCs w:val="20"/>
              </w:rPr>
            </w:pPr>
            <w:r w:rsidRPr="007C041A">
              <w:rPr>
                <w:sz w:val="20"/>
                <w:szCs w:val="20"/>
              </w:rPr>
              <w:t>(0.150)</w:t>
            </w:r>
          </w:p>
        </w:tc>
        <w:tc>
          <w:tcPr>
            <w:tcW w:w="623" w:type="pct"/>
            <w:shd w:val="clear" w:color="auto" w:fill="auto"/>
          </w:tcPr>
          <w:p w14:paraId="5A5C9AF0" w14:textId="77777777" w:rsidR="00161CE5" w:rsidRPr="004F3D17" w:rsidRDefault="00161CE5" w:rsidP="008F5322">
            <w:pPr>
              <w:jc w:val="center"/>
              <w:rPr>
                <w:sz w:val="20"/>
                <w:szCs w:val="20"/>
              </w:rPr>
            </w:pPr>
            <w:r w:rsidRPr="007C041A">
              <w:rPr>
                <w:sz w:val="20"/>
                <w:szCs w:val="20"/>
              </w:rPr>
              <w:t>(0.153)</w:t>
            </w:r>
          </w:p>
        </w:tc>
        <w:tc>
          <w:tcPr>
            <w:tcW w:w="623" w:type="pct"/>
            <w:shd w:val="clear" w:color="auto" w:fill="auto"/>
          </w:tcPr>
          <w:p w14:paraId="2DB0D2C3" w14:textId="77777777" w:rsidR="00161CE5" w:rsidRPr="004F3D17" w:rsidRDefault="00161CE5" w:rsidP="008F5322">
            <w:pPr>
              <w:jc w:val="center"/>
              <w:rPr>
                <w:sz w:val="20"/>
                <w:szCs w:val="20"/>
              </w:rPr>
            </w:pPr>
            <w:r w:rsidRPr="007C041A">
              <w:rPr>
                <w:sz w:val="20"/>
                <w:szCs w:val="20"/>
              </w:rPr>
              <w:t>(0.174)</w:t>
            </w:r>
          </w:p>
        </w:tc>
        <w:tc>
          <w:tcPr>
            <w:tcW w:w="623" w:type="pct"/>
          </w:tcPr>
          <w:p w14:paraId="73925A0E" w14:textId="77777777" w:rsidR="00161CE5" w:rsidRPr="004F3D17" w:rsidRDefault="00161CE5" w:rsidP="008F5322">
            <w:pPr>
              <w:jc w:val="center"/>
              <w:rPr>
                <w:sz w:val="20"/>
                <w:szCs w:val="20"/>
              </w:rPr>
            </w:pPr>
            <w:r w:rsidRPr="007C041A">
              <w:rPr>
                <w:sz w:val="20"/>
                <w:szCs w:val="20"/>
              </w:rPr>
              <w:t>(0.153)</w:t>
            </w:r>
          </w:p>
        </w:tc>
      </w:tr>
      <w:tr w:rsidR="00161CE5" w:rsidRPr="004F3D17" w14:paraId="5B6CB129" w14:textId="77777777" w:rsidTr="00555663">
        <w:trPr>
          <w:trHeight w:val="80"/>
          <w:jc w:val="center"/>
        </w:trPr>
        <w:tc>
          <w:tcPr>
            <w:tcW w:w="2508" w:type="pct"/>
            <w:vMerge w:val="restart"/>
            <w:shd w:val="clear" w:color="auto" w:fill="auto"/>
            <w:noWrap/>
            <w:vAlign w:val="center"/>
          </w:tcPr>
          <w:p w14:paraId="2180B492"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Growth opportunities</w:t>
            </w:r>
          </w:p>
        </w:tc>
        <w:tc>
          <w:tcPr>
            <w:tcW w:w="623" w:type="pct"/>
            <w:shd w:val="clear" w:color="auto" w:fill="auto"/>
          </w:tcPr>
          <w:p w14:paraId="619C0733" w14:textId="77777777" w:rsidR="00161CE5" w:rsidRPr="004F3D17" w:rsidRDefault="00161CE5" w:rsidP="008F5322">
            <w:pPr>
              <w:jc w:val="center"/>
              <w:rPr>
                <w:sz w:val="20"/>
                <w:szCs w:val="20"/>
              </w:rPr>
            </w:pPr>
            <w:r w:rsidRPr="007C041A">
              <w:rPr>
                <w:sz w:val="20"/>
                <w:szCs w:val="20"/>
              </w:rPr>
              <w:t>-0.062</w:t>
            </w:r>
          </w:p>
        </w:tc>
        <w:tc>
          <w:tcPr>
            <w:tcW w:w="623" w:type="pct"/>
            <w:shd w:val="clear" w:color="auto" w:fill="auto"/>
          </w:tcPr>
          <w:p w14:paraId="39CD1847" w14:textId="77777777" w:rsidR="00161CE5" w:rsidRPr="004F3D17" w:rsidRDefault="00161CE5" w:rsidP="008F5322">
            <w:pPr>
              <w:jc w:val="center"/>
              <w:rPr>
                <w:sz w:val="20"/>
                <w:szCs w:val="20"/>
              </w:rPr>
            </w:pPr>
            <w:r w:rsidRPr="007C041A">
              <w:rPr>
                <w:sz w:val="20"/>
                <w:szCs w:val="20"/>
              </w:rPr>
              <w:t>-0.079**</w:t>
            </w:r>
          </w:p>
        </w:tc>
        <w:tc>
          <w:tcPr>
            <w:tcW w:w="623" w:type="pct"/>
            <w:shd w:val="clear" w:color="auto" w:fill="auto"/>
          </w:tcPr>
          <w:p w14:paraId="0C293317" w14:textId="77777777" w:rsidR="00161CE5" w:rsidRPr="004F3D17" w:rsidRDefault="00161CE5" w:rsidP="008F5322">
            <w:pPr>
              <w:jc w:val="center"/>
              <w:rPr>
                <w:sz w:val="20"/>
                <w:szCs w:val="20"/>
              </w:rPr>
            </w:pPr>
            <w:r w:rsidRPr="007C041A">
              <w:rPr>
                <w:sz w:val="20"/>
                <w:szCs w:val="20"/>
              </w:rPr>
              <w:t>-0.028</w:t>
            </w:r>
          </w:p>
        </w:tc>
        <w:tc>
          <w:tcPr>
            <w:tcW w:w="623" w:type="pct"/>
          </w:tcPr>
          <w:p w14:paraId="23999DEC" w14:textId="77777777" w:rsidR="00161CE5" w:rsidRPr="004F3D17" w:rsidRDefault="00161CE5" w:rsidP="008F5322">
            <w:pPr>
              <w:jc w:val="center"/>
              <w:rPr>
                <w:sz w:val="20"/>
                <w:szCs w:val="20"/>
              </w:rPr>
            </w:pPr>
            <w:r w:rsidRPr="007C041A">
              <w:rPr>
                <w:sz w:val="20"/>
                <w:szCs w:val="20"/>
              </w:rPr>
              <w:t>-0.023</w:t>
            </w:r>
          </w:p>
        </w:tc>
      </w:tr>
      <w:tr w:rsidR="00161CE5" w:rsidRPr="004F3D17" w14:paraId="522867FD" w14:textId="77777777" w:rsidTr="00555663">
        <w:trPr>
          <w:trHeight w:val="80"/>
          <w:jc w:val="center"/>
        </w:trPr>
        <w:tc>
          <w:tcPr>
            <w:tcW w:w="2508" w:type="pct"/>
            <w:vMerge/>
            <w:shd w:val="clear" w:color="auto" w:fill="auto"/>
            <w:noWrap/>
            <w:vAlign w:val="center"/>
          </w:tcPr>
          <w:p w14:paraId="73D55FD0" w14:textId="77777777" w:rsidR="00161CE5" w:rsidRPr="004F3D17" w:rsidRDefault="00161CE5" w:rsidP="008F5322">
            <w:pPr>
              <w:rPr>
                <w:color w:val="000000"/>
                <w:sz w:val="20"/>
                <w:szCs w:val="20"/>
                <w:lang w:val="en-US" w:eastAsia="en-GB"/>
              </w:rPr>
            </w:pPr>
          </w:p>
        </w:tc>
        <w:tc>
          <w:tcPr>
            <w:tcW w:w="623" w:type="pct"/>
            <w:shd w:val="clear" w:color="auto" w:fill="auto"/>
          </w:tcPr>
          <w:p w14:paraId="5BC99A4F" w14:textId="77777777" w:rsidR="00161CE5" w:rsidRPr="004F3D17" w:rsidRDefault="00161CE5" w:rsidP="008F5322">
            <w:pPr>
              <w:jc w:val="center"/>
              <w:rPr>
                <w:sz w:val="20"/>
                <w:szCs w:val="20"/>
              </w:rPr>
            </w:pPr>
            <w:r w:rsidRPr="007C041A">
              <w:rPr>
                <w:sz w:val="20"/>
                <w:szCs w:val="20"/>
              </w:rPr>
              <w:t>(0.040)</w:t>
            </w:r>
          </w:p>
        </w:tc>
        <w:tc>
          <w:tcPr>
            <w:tcW w:w="623" w:type="pct"/>
            <w:shd w:val="clear" w:color="auto" w:fill="auto"/>
          </w:tcPr>
          <w:p w14:paraId="6031AA54" w14:textId="77777777" w:rsidR="00161CE5" w:rsidRPr="004F3D17" w:rsidRDefault="00161CE5" w:rsidP="008F5322">
            <w:pPr>
              <w:jc w:val="center"/>
              <w:rPr>
                <w:sz w:val="20"/>
                <w:szCs w:val="20"/>
              </w:rPr>
            </w:pPr>
            <w:r w:rsidRPr="007C041A">
              <w:rPr>
                <w:sz w:val="20"/>
                <w:szCs w:val="20"/>
              </w:rPr>
              <w:t>(0.038)</w:t>
            </w:r>
          </w:p>
        </w:tc>
        <w:tc>
          <w:tcPr>
            <w:tcW w:w="623" w:type="pct"/>
            <w:shd w:val="clear" w:color="auto" w:fill="auto"/>
          </w:tcPr>
          <w:p w14:paraId="6C604C5A" w14:textId="77777777" w:rsidR="00161CE5" w:rsidRPr="004F3D17" w:rsidRDefault="00161CE5" w:rsidP="008F5322">
            <w:pPr>
              <w:jc w:val="center"/>
              <w:rPr>
                <w:sz w:val="20"/>
                <w:szCs w:val="20"/>
              </w:rPr>
            </w:pPr>
            <w:r w:rsidRPr="007C041A">
              <w:rPr>
                <w:sz w:val="20"/>
                <w:szCs w:val="20"/>
              </w:rPr>
              <w:t>(0.052)</w:t>
            </w:r>
          </w:p>
        </w:tc>
        <w:tc>
          <w:tcPr>
            <w:tcW w:w="623" w:type="pct"/>
          </w:tcPr>
          <w:p w14:paraId="455E11DB" w14:textId="77777777" w:rsidR="00161CE5" w:rsidRPr="004F3D17" w:rsidRDefault="00161CE5" w:rsidP="008F5322">
            <w:pPr>
              <w:jc w:val="center"/>
              <w:rPr>
                <w:sz w:val="20"/>
                <w:szCs w:val="20"/>
              </w:rPr>
            </w:pPr>
            <w:r w:rsidRPr="007C041A">
              <w:rPr>
                <w:sz w:val="20"/>
                <w:szCs w:val="20"/>
              </w:rPr>
              <w:t>(0.052)</w:t>
            </w:r>
          </w:p>
        </w:tc>
      </w:tr>
      <w:tr w:rsidR="00161CE5" w:rsidRPr="004F3D17" w14:paraId="2A4C5389" w14:textId="77777777" w:rsidTr="00555663">
        <w:trPr>
          <w:trHeight w:val="80"/>
          <w:jc w:val="center"/>
        </w:trPr>
        <w:tc>
          <w:tcPr>
            <w:tcW w:w="2508" w:type="pct"/>
            <w:vMerge w:val="restart"/>
            <w:shd w:val="clear" w:color="auto" w:fill="auto"/>
            <w:noWrap/>
            <w:vAlign w:val="center"/>
          </w:tcPr>
          <w:p w14:paraId="732A3018" w14:textId="77777777" w:rsidR="00161CE5" w:rsidRPr="004F3D17" w:rsidRDefault="00161CE5" w:rsidP="008F5322">
            <w:pPr>
              <w:rPr>
                <w:color w:val="000000"/>
                <w:sz w:val="20"/>
                <w:szCs w:val="20"/>
                <w:lang w:val="en-US" w:eastAsia="en-GB"/>
              </w:rPr>
            </w:pPr>
            <w:r w:rsidRPr="004F3D17">
              <w:rPr>
                <w:color w:val="000000"/>
                <w:sz w:val="20"/>
                <w:szCs w:val="20"/>
                <w:lang w:val="en-US" w:eastAsia="en-GB"/>
              </w:rPr>
              <w:t>Government owned</w:t>
            </w:r>
          </w:p>
        </w:tc>
        <w:tc>
          <w:tcPr>
            <w:tcW w:w="623" w:type="pct"/>
            <w:shd w:val="clear" w:color="auto" w:fill="auto"/>
          </w:tcPr>
          <w:p w14:paraId="34840B18" w14:textId="77777777" w:rsidR="00161CE5" w:rsidRPr="004F3D17" w:rsidRDefault="00161CE5" w:rsidP="008F5322">
            <w:pPr>
              <w:jc w:val="center"/>
              <w:rPr>
                <w:sz w:val="20"/>
                <w:szCs w:val="20"/>
              </w:rPr>
            </w:pPr>
            <w:r w:rsidRPr="007C041A">
              <w:rPr>
                <w:sz w:val="20"/>
                <w:szCs w:val="20"/>
              </w:rPr>
              <w:t>0.132</w:t>
            </w:r>
          </w:p>
        </w:tc>
        <w:tc>
          <w:tcPr>
            <w:tcW w:w="623" w:type="pct"/>
            <w:shd w:val="clear" w:color="auto" w:fill="auto"/>
          </w:tcPr>
          <w:p w14:paraId="48AA73A8" w14:textId="77777777" w:rsidR="00161CE5" w:rsidRPr="004F3D17" w:rsidRDefault="00161CE5" w:rsidP="008F5322">
            <w:pPr>
              <w:jc w:val="center"/>
              <w:rPr>
                <w:sz w:val="20"/>
                <w:szCs w:val="20"/>
              </w:rPr>
            </w:pPr>
            <w:r w:rsidRPr="007C041A">
              <w:rPr>
                <w:sz w:val="20"/>
                <w:szCs w:val="20"/>
              </w:rPr>
              <w:t>0.162</w:t>
            </w:r>
          </w:p>
        </w:tc>
        <w:tc>
          <w:tcPr>
            <w:tcW w:w="623" w:type="pct"/>
            <w:shd w:val="clear" w:color="auto" w:fill="auto"/>
          </w:tcPr>
          <w:p w14:paraId="4E23C900" w14:textId="77777777" w:rsidR="00161CE5" w:rsidRPr="004F3D17" w:rsidRDefault="00161CE5" w:rsidP="008F5322">
            <w:pPr>
              <w:jc w:val="center"/>
              <w:rPr>
                <w:sz w:val="20"/>
                <w:szCs w:val="20"/>
              </w:rPr>
            </w:pPr>
            <w:r w:rsidRPr="007C041A">
              <w:rPr>
                <w:sz w:val="20"/>
                <w:szCs w:val="20"/>
              </w:rPr>
              <w:t>0.031</w:t>
            </w:r>
          </w:p>
        </w:tc>
        <w:tc>
          <w:tcPr>
            <w:tcW w:w="623" w:type="pct"/>
          </w:tcPr>
          <w:p w14:paraId="4DE2DE17" w14:textId="77777777" w:rsidR="00161CE5" w:rsidRPr="004F3D17" w:rsidRDefault="00161CE5" w:rsidP="008F5322">
            <w:pPr>
              <w:jc w:val="center"/>
              <w:rPr>
                <w:sz w:val="20"/>
                <w:szCs w:val="20"/>
              </w:rPr>
            </w:pPr>
            <w:r w:rsidRPr="007C041A">
              <w:rPr>
                <w:sz w:val="20"/>
                <w:szCs w:val="20"/>
              </w:rPr>
              <w:t>0.085</w:t>
            </w:r>
          </w:p>
        </w:tc>
      </w:tr>
      <w:tr w:rsidR="00161CE5" w:rsidRPr="004F3D17" w14:paraId="3EFDCB86" w14:textId="77777777" w:rsidTr="00555663">
        <w:trPr>
          <w:trHeight w:val="80"/>
          <w:jc w:val="center"/>
        </w:trPr>
        <w:tc>
          <w:tcPr>
            <w:tcW w:w="2508" w:type="pct"/>
            <w:vMerge/>
            <w:shd w:val="clear" w:color="auto" w:fill="auto"/>
            <w:noWrap/>
            <w:vAlign w:val="center"/>
          </w:tcPr>
          <w:p w14:paraId="4D2D88FC" w14:textId="77777777" w:rsidR="00161CE5" w:rsidRPr="004F3D17" w:rsidRDefault="00161CE5" w:rsidP="008F5322">
            <w:pPr>
              <w:rPr>
                <w:color w:val="000000"/>
                <w:sz w:val="20"/>
                <w:szCs w:val="20"/>
                <w:lang w:val="en-US" w:eastAsia="en-GB"/>
              </w:rPr>
            </w:pPr>
          </w:p>
        </w:tc>
        <w:tc>
          <w:tcPr>
            <w:tcW w:w="623" w:type="pct"/>
            <w:shd w:val="clear" w:color="auto" w:fill="auto"/>
          </w:tcPr>
          <w:p w14:paraId="66ECF9B2" w14:textId="77777777" w:rsidR="00161CE5" w:rsidRPr="004F3D17" w:rsidRDefault="00161CE5" w:rsidP="008F5322">
            <w:pPr>
              <w:jc w:val="center"/>
              <w:rPr>
                <w:sz w:val="20"/>
                <w:szCs w:val="20"/>
              </w:rPr>
            </w:pPr>
            <w:r w:rsidRPr="007C041A">
              <w:rPr>
                <w:sz w:val="20"/>
                <w:szCs w:val="20"/>
              </w:rPr>
              <w:t>(0.110)</w:t>
            </w:r>
          </w:p>
        </w:tc>
        <w:tc>
          <w:tcPr>
            <w:tcW w:w="623" w:type="pct"/>
            <w:shd w:val="clear" w:color="auto" w:fill="auto"/>
          </w:tcPr>
          <w:p w14:paraId="2C340CD0" w14:textId="77777777" w:rsidR="00161CE5" w:rsidRPr="004F3D17" w:rsidRDefault="00161CE5" w:rsidP="008F5322">
            <w:pPr>
              <w:jc w:val="center"/>
              <w:rPr>
                <w:sz w:val="20"/>
                <w:szCs w:val="20"/>
              </w:rPr>
            </w:pPr>
            <w:r w:rsidRPr="007C041A">
              <w:rPr>
                <w:sz w:val="20"/>
                <w:szCs w:val="20"/>
              </w:rPr>
              <w:t>(0.112)</w:t>
            </w:r>
          </w:p>
        </w:tc>
        <w:tc>
          <w:tcPr>
            <w:tcW w:w="623" w:type="pct"/>
            <w:shd w:val="clear" w:color="auto" w:fill="auto"/>
          </w:tcPr>
          <w:p w14:paraId="63DC57A9" w14:textId="77777777" w:rsidR="00161CE5" w:rsidRPr="004F3D17" w:rsidRDefault="00161CE5" w:rsidP="008F5322">
            <w:pPr>
              <w:jc w:val="center"/>
              <w:rPr>
                <w:sz w:val="20"/>
                <w:szCs w:val="20"/>
              </w:rPr>
            </w:pPr>
            <w:r w:rsidRPr="007C041A">
              <w:rPr>
                <w:sz w:val="20"/>
                <w:szCs w:val="20"/>
              </w:rPr>
              <w:t>(0.122)</w:t>
            </w:r>
          </w:p>
        </w:tc>
        <w:tc>
          <w:tcPr>
            <w:tcW w:w="623" w:type="pct"/>
          </w:tcPr>
          <w:p w14:paraId="171BCEE8" w14:textId="77777777" w:rsidR="00161CE5" w:rsidRPr="004F3D17" w:rsidRDefault="00161CE5" w:rsidP="008F5322">
            <w:pPr>
              <w:jc w:val="center"/>
              <w:rPr>
                <w:sz w:val="20"/>
                <w:szCs w:val="20"/>
              </w:rPr>
            </w:pPr>
            <w:r w:rsidRPr="007C041A">
              <w:rPr>
                <w:sz w:val="20"/>
                <w:szCs w:val="20"/>
              </w:rPr>
              <w:t>(0.113)</w:t>
            </w:r>
          </w:p>
        </w:tc>
      </w:tr>
      <w:tr w:rsidR="00161CE5" w:rsidRPr="004F3D17" w14:paraId="0AB52C06" w14:textId="556C5DEC" w:rsidTr="00161CE5">
        <w:trPr>
          <w:trHeight w:val="80"/>
          <w:jc w:val="center"/>
        </w:trPr>
        <w:tc>
          <w:tcPr>
            <w:tcW w:w="2508" w:type="pct"/>
            <w:shd w:val="clear" w:color="auto" w:fill="auto"/>
            <w:noWrap/>
            <w:vAlign w:val="center"/>
          </w:tcPr>
          <w:p w14:paraId="05DD3854" w14:textId="1D8AC571" w:rsidR="00161CE5" w:rsidRPr="004F3D17" w:rsidRDefault="00161CE5" w:rsidP="00161CE5">
            <w:pPr>
              <w:rPr>
                <w:color w:val="000000"/>
                <w:sz w:val="20"/>
                <w:szCs w:val="20"/>
                <w:lang w:val="en-US" w:eastAsia="en-GB"/>
              </w:rPr>
            </w:pPr>
            <w:r w:rsidRPr="00654FBE">
              <w:rPr>
                <w:color w:val="000000"/>
                <w:sz w:val="20"/>
                <w:szCs w:val="20"/>
                <w:lang w:val="en-US" w:eastAsia="en-GB"/>
              </w:rPr>
              <w:t>Maturity</w:t>
            </w:r>
          </w:p>
        </w:tc>
        <w:tc>
          <w:tcPr>
            <w:tcW w:w="623" w:type="pct"/>
            <w:shd w:val="clear" w:color="auto" w:fill="auto"/>
          </w:tcPr>
          <w:p w14:paraId="12C6B3AD" w14:textId="6FC540B6" w:rsidR="00161CE5" w:rsidRPr="007C041A" w:rsidRDefault="00161CE5" w:rsidP="00161CE5">
            <w:pPr>
              <w:jc w:val="center"/>
              <w:rPr>
                <w:sz w:val="20"/>
                <w:szCs w:val="20"/>
              </w:rPr>
            </w:pPr>
            <w:r w:rsidRPr="007C041A">
              <w:rPr>
                <w:sz w:val="20"/>
                <w:szCs w:val="20"/>
              </w:rPr>
              <w:t>0.141***</w:t>
            </w:r>
          </w:p>
        </w:tc>
        <w:tc>
          <w:tcPr>
            <w:tcW w:w="623" w:type="pct"/>
            <w:shd w:val="clear" w:color="auto" w:fill="auto"/>
          </w:tcPr>
          <w:p w14:paraId="6BE7C06C" w14:textId="7D507CF3" w:rsidR="00161CE5" w:rsidRPr="007C041A" w:rsidRDefault="00161CE5" w:rsidP="00161CE5">
            <w:pPr>
              <w:jc w:val="center"/>
              <w:rPr>
                <w:sz w:val="20"/>
                <w:szCs w:val="20"/>
              </w:rPr>
            </w:pPr>
            <w:r w:rsidRPr="007C041A">
              <w:rPr>
                <w:sz w:val="20"/>
                <w:szCs w:val="20"/>
              </w:rPr>
              <w:t>0.131***</w:t>
            </w:r>
          </w:p>
        </w:tc>
        <w:tc>
          <w:tcPr>
            <w:tcW w:w="623" w:type="pct"/>
            <w:shd w:val="clear" w:color="auto" w:fill="auto"/>
          </w:tcPr>
          <w:p w14:paraId="34CDE180" w14:textId="13D679C8" w:rsidR="00161CE5" w:rsidRPr="007C041A" w:rsidRDefault="00161CE5" w:rsidP="00161CE5">
            <w:pPr>
              <w:jc w:val="center"/>
              <w:rPr>
                <w:sz w:val="20"/>
                <w:szCs w:val="20"/>
              </w:rPr>
            </w:pPr>
            <w:r w:rsidRPr="007C041A">
              <w:rPr>
                <w:sz w:val="20"/>
                <w:szCs w:val="20"/>
              </w:rPr>
              <w:t>0.121***</w:t>
            </w:r>
          </w:p>
        </w:tc>
        <w:tc>
          <w:tcPr>
            <w:tcW w:w="623" w:type="pct"/>
          </w:tcPr>
          <w:p w14:paraId="5950C57D" w14:textId="260A98BE" w:rsidR="00161CE5" w:rsidRPr="007C041A" w:rsidRDefault="00161CE5" w:rsidP="00161CE5">
            <w:pPr>
              <w:jc w:val="center"/>
              <w:rPr>
                <w:sz w:val="20"/>
                <w:szCs w:val="20"/>
              </w:rPr>
            </w:pPr>
            <w:r w:rsidRPr="007C041A">
              <w:rPr>
                <w:sz w:val="20"/>
                <w:szCs w:val="20"/>
              </w:rPr>
              <w:t>0.166***</w:t>
            </w:r>
          </w:p>
        </w:tc>
      </w:tr>
      <w:tr w:rsidR="00161CE5" w:rsidRPr="004F3D17" w14:paraId="7B3CCDB1" w14:textId="77777777" w:rsidTr="00161CE5">
        <w:trPr>
          <w:trHeight w:val="80"/>
          <w:jc w:val="center"/>
        </w:trPr>
        <w:tc>
          <w:tcPr>
            <w:tcW w:w="2508" w:type="pct"/>
            <w:shd w:val="clear" w:color="auto" w:fill="auto"/>
            <w:noWrap/>
            <w:vAlign w:val="center"/>
          </w:tcPr>
          <w:p w14:paraId="0FC74072" w14:textId="77777777" w:rsidR="00161CE5" w:rsidRPr="00654FBE" w:rsidRDefault="00161CE5" w:rsidP="00161CE5">
            <w:pPr>
              <w:rPr>
                <w:color w:val="000000"/>
                <w:sz w:val="20"/>
                <w:szCs w:val="20"/>
                <w:lang w:val="en-US" w:eastAsia="en-GB"/>
              </w:rPr>
            </w:pPr>
          </w:p>
        </w:tc>
        <w:tc>
          <w:tcPr>
            <w:tcW w:w="623" w:type="pct"/>
            <w:shd w:val="clear" w:color="auto" w:fill="auto"/>
          </w:tcPr>
          <w:p w14:paraId="6A000717" w14:textId="66AC0472" w:rsidR="00161CE5" w:rsidRPr="007C041A" w:rsidRDefault="00161CE5" w:rsidP="00161CE5">
            <w:pPr>
              <w:jc w:val="center"/>
              <w:rPr>
                <w:sz w:val="20"/>
                <w:szCs w:val="20"/>
              </w:rPr>
            </w:pPr>
            <w:r w:rsidRPr="007C041A">
              <w:rPr>
                <w:sz w:val="20"/>
                <w:szCs w:val="20"/>
              </w:rPr>
              <w:t>(0.033)</w:t>
            </w:r>
          </w:p>
        </w:tc>
        <w:tc>
          <w:tcPr>
            <w:tcW w:w="623" w:type="pct"/>
            <w:shd w:val="clear" w:color="auto" w:fill="auto"/>
          </w:tcPr>
          <w:p w14:paraId="1E1CE79B" w14:textId="70338112" w:rsidR="00161CE5" w:rsidRPr="007C041A" w:rsidRDefault="00161CE5" w:rsidP="00161CE5">
            <w:pPr>
              <w:jc w:val="center"/>
              <w:rPr>
                <w:sz w:val="20"/>
                <w:szCs w:val="20"/>
              </w:rPr>
            </w:pPr>
            <w:r w:rsidRPr="007C041A">
              <w:rPr>
                <w:sz w:val="20"/>
                <w:szCs w:val="20"/>
              </w:rPr>
              <w:t>(0.033)</w:t>
            </w:r>
          </w:p>
        </w:tc>
        <w:tc>
          <w:tcPr>
            <w:tcW w:w="623" w:type="pct"/>
            <w:shd w:val="clear" w:color="auto" w:fill="auto"/>
          </w:tcPr>
          <w:p w14:paraId="55EDEE83" w14:textId="02EB92D1" w:rsidR="00161CE5" w:rsidRPr="007C041A" w:rsidRDefault="00161CE5" w:rsidP="00161CE5">
            <w:pPr>
              <w:jc w:val="center"/>
              <w:rPr>
                <w:sz w:val="20"/>
                <w:szCs w:val="20"/>
              </w:rPr>
            </w:pPr>
            <w:r w:rsidRPr="007C041A">
              <w:rPr>
                <w:sz w:val="20"/>
                <w:szCs w:val="20"/>
              </w:rPr>
              <w:t>(0.037)</w:t>
            </w:r>
          </w:p>
        </w:tc>
        <w:tc>
          <w:tcPr>
            <w:tcW w:w="623" w:type="pct"/>
          </w:tcPr>
          <w:p w14:paraId="23E40330" w14:textId="226C1865" w:rsidR="00161CE5" w:rsidRPr="007C041A" w:rsidRDefault="00161CE5" w:rsidP="00161CE5">
            <w:pPr>
              <w:jc w:val="center"/>
              <w:rPr>
                <w:sz w:val="20"/>
                <w:szCs w:val="20"/>
              </w:rPr>
            </w:pPr>
            <w:r w:rsidRPr="007C041A">
              <w:rPr>
                <w:sz w:val="20"/>
                <w:szCs w:val="20"/>
              </w:rPr>
              <w:t>(0.037)</w:t>
            </w:r>
          </w:p>
        </w:tc>
      </w:tr>
      <w:tr w:rsidR="00161CE5" w:rsidRPr="004F3D17" w14:paraId="0BD460AC" w14:textId="77777777" w:rsidTr="00161CE5">
        <w:trPr>
          <w:trHeight w:val="80"/>
          <w:jc w:val="center"/>
        </w:trPr>
        <w:tc>
          <w:tcPr>
            <w:tcW w:w="2508" w:type="pct"/>
            <w:shd w:val="clear" w:color="auto" w:fill="auto"/>
            <w:noWrap/>
            <w:vAlign w:val="center"/>
          </w:tcPr>
          <w:p w14:paraId="0C2C5765" w14:textId="6D8D680B" w:rsidR="00161CE5" w:rsidRPr="00654FBE" w:rsidRDefault="00161CE5" w:rsidP="00161CE5">
            <w:pPr>
              <w:rPr>
                <w:color w:val="000000"/>
                <w:sz w:val="20"/>
                <w:szCs w:val="20"/>
                <w:lang w:val="en-US" w:eastAsia="en-GB"/>
              </w:rPr>
            </w:pPr>
            <w:r w:rsidRPr="00654FBE">
              <w:rPr>
                <w:color w:val="000000"/>
                <w:sz w:val="20"/>
                <w:szCs w:val="20"/>
                <w:lang w:val="en-US" w:eastAsia="en-GB"/>
              </w:rPr>
              <w:t>Tranche size</w:t>
            </w:r>
          </w:p>
        </w:tc>
        <w:tc>
          <w:tcPr>
            <w:tcW w:w="623" w:type="pct"/>
            <w:shd w:val="clear" w:color="auto" w:fill="auto"/>
          </w:tcPr>
          <w:p w14:paraId="1C216302" w14:textId="64DD6BB9" w:rsidR="00161CE5" w:rsidRPr="007C041A" w:rsidRDefault="00161CE5" w:rsidP="00161CE5">
            <w:pPr>
              <w:jc w:val="center"/>
              <w:rPr>
                <w:sz w:val="20"/>
                <w:szCs w:val="20"/>
              </w:rPr>
            </w:pPr>
            <w:r w:rsidRPr="007C041A">
              <w:rPr>
                <w:sz w:val="20"/>
                <w:szCs w:val="20"/>
              </w:rPr>
              <w:t>0.183***</w:t>
            </w:r>
          </w:p>
        </w:tc>
        <w:tc>
          <w:tcPr>
            <w:tcW w:w="623" w:type="pct"/>
            <w:shd w:val="clear" w:color="auto" w:fill="auto"/>
          </w:tcPr>
          <w:p w14:paraId="47E008BC" w14:textId="1D7A909F" w:rsidR="00161CE5" w:rsidRPr="007C041A" w:rsidRDefault="00161CE5" w:rsidP="00161CE5">
            <w:pPr>
              <w:jc w:val="center"/>
              <w:rPr>
                <w:sz w:val="20"/>
                <w:szCs w:val="20"/>
              </w:rPr>
            </w:pPr>
            <w:r w:rsidRPr="007C041A">
              <w:rPr>
                <w:sz w:val="20"/>
                <w:szCs w:val="20"/>
              </w:rPr>
              <w:t>0.130***</w:t>
            </w:r>
          </w:p>
        </w:tc>
        <w:tc>
          <w:tcPr>
            <w:tcW w:w="623" w:type="pct"/>
            <w:shd w:val="clear" w:color="auto" w:fill="auto"/>
          </w:tcPr>
          <w:p w14:paraId="78BBF94C" w14:textId="020AD345" w:rsidR="00161CE5" w:rsidRPr="007C041A" w:rsidRDefault="00161CE5" w:rsidP="00161CE5">
            <w:pPr>
              <w:jc w:val="center"/>
              <w:rPr>
                <w:sz w:val="20"/>
                <w:szCs w:val="20"/>
              </w:rPr>
            </w:pPr>
            <w:r w:rsidRPr="007C041A">
              <w:rPr>
                <w:sz w:val="20"/>
                <w:szCs w:val="20"/>
              </w:rPr>
              <w:t>0.111**</w:t>
            </w:r>
          </w:p>
        </w:tc>
        <w:tc>
          <w:tcPr>
            <w:tcW w:w="623" w:type="pct"/>
          </w:tcPr>
          <w:p w14:paraId="5E57D31E" w14:textId="7457B7AF" w:rsidR="00161CE5" w:rsidRPr="007C041A" w:rsidRDefault="00161CE5" w:rsidP="00161CE5">
            <w:pPr>
              <w:jc w:val="center"/>
              <w:rPr>
                <w:sz w:val="20"/>
                <w:szCs w:val="20"/>
              </w:rPr>
            </w:pPr>
            <w:r w:rsidRPr="007C041A">
              <w:rPr>
                <w:sz w:val="20"/>
                <w:szCs w:val="20"/>
              </w:rPr>
              <w:t>0.193***</w:t>
            </w:r>
          </w:p>
        </w:tc>
      </w:tr>
      <w:tr w:rsidR="00161CE5" w:rsidRPr="004F3D17" w14:paraId="49FCEBEC" w14:textId="77777777" w:rsidTr="00161CE5">
        <w:trPr>
          <w:trHeight w:val="80"/>
          <w:jc w:val="center"/>
        </w:trPr>
        <w:tc>
          <w:tcPr>
            <w:tcW w:w="2508" w:type="pct"/>
            <w:shd w:val="clear" w:color="auto" w:fill="auto"/>
            <w:noWrap/>
            <w:vAlign w:val="center"/>
          </w:tcPr>
          <w:p w14:paraId="3C24A3E3" w14:textId="77777777" w:rsidR="00161CE5" w:rsidRPr="00654FBE" w:rsidRDefault="00161CE5" w:rsidP="00161CE5">
            <w:pPr>
              <w:rPr>
                <w:color w:val="000000"/>
                <w:sz w:val="20"/>
                <w:szCs w:val="20"/>
                <w:lang w:val="en-US" w:eastAsia="en-GB"/>
              </w:rPr>
            </w:pPr>
          </w:p>
        </w:tc>
        <w:tc>
          <w:tcPr>
            <w:tcW w:w="623" w:type="pct"/>
            <w:shd w:val="clear" w:color="auto" w:fill="auto"/>
          </w:tcPr>
          <w:p w14:paraId="64B003D8" w14:textId="06F3AAF5" w:rsidR="00161CE5" w:rsidRPr="007C041A" w:rsidRDefault="00161CE5" w:rsidP="00161CE5">
            <w:pPr>
              <w:jc w:val="center"/>
              <w:rPr>
                <w:sz w:val="20"/>
                <w:szCs w:val="20"/>
              </w:rPr>
            </w:pPr>
            <w:r w:rsidRPr="007C041A">
              <w:rPr>
                <w:sz w:val="20"/>
                <w:szCs w:val="20"/>
              </w:rPr>
              <w:t>(0.044)</w:t>
            </w:r>
          </w:p>
        </w:tc>
        <w:tc>
          <w:tcPr>
            <w:tcW w:w="623" w:type="pct"/>
            <w:shd w:val="clear" w:color="auto" w:fill="auto"/>
          </w:tcPr>
          <w:p w14:paraId="4F906124" w14:textId="4CF233E6" w:rsidR="00161CE5" w:rsidRPr="007C041A" w:rsidRDefault="00161CE5" w:rsidP="00161CE5">
            <w:pPr>
              <w:jc w:val="center"/>
              <w:rPr>
                <w:sz w:val="20"/>
                <w:szCs w:val="20"/>
              </w:rPr>
            </w:pPr>
            <w:r w:rsidRPr="007C041A">
              <w:rPr>
                <w:sz w:val="20"/>
                <w:szCs w:val="20"/>
              </w:rPr>
              <w:t>(0.041)</w:t>
            </w:r>
          </w:p>
        </w:tc>
        <w:tc>
          <w:tcPr>
            <w:tcW w:w="623" w:type="pct"/>
            <w:shd w:val="clear" w:color="auto" w:fill="auto"/>
          </w:tcPr>
          <w:p w14:paraId="70EB7C97" w14:textId="02BDCF8E" w:rsidR="00161CE5" w:rsidRPr="007C041A" w:rsidRDefault="00161CE5" w:rsidP="00161CE5">
            <w:pPr>
              <w:jc w:val="center"/>
              <w:rPr>
                <w:sz w:val="20"/>
                <w:szCs w:val="20"/>
              </w:rPr>
            </w:pPr>
            <w:r w:rsidRPr="007C041A">
              <w:rPr>
                <w:sz w:val="20"/>
                <w:szCs w:val="20"/>
              </w:rPr>
              <w:t>(0.047)</w:t>
            </w:r>
          </w:p>
        </w:tc>
        <w:tc>
          <w:tcPr>
            <w:tcW w:w="623" w:type="pct"/>
          </w:tcPr>
          <w:p w14:paraId="151796E2" w14:textId="46D03BA0" w:rsidR="00161CE5" w:rsidRPr="007C041A" w:rsidRDefault="00161CE5" w:rsidP="00161CE5">
            <w:pPr>
              <w:jc w:val="center"/>
              <w:rPr>
                <w:sz w:val="20"/>
                <w:szCs w:val="20"/>
              </w:rPr>
            </w:pPr>
            <w:r w:rsidRPr="007C041A">
              <w:rPr>
                <w:sz w:val="20"/>
                <w:szCs w:val="20"/>
              </w:rPr>
              <w:t>(0.049)</w:t>
            </w:r>
          </w:p>
        </w:tc>
      </w:tr>
      <w:tr w:rsidR="00161CE5" w:rsidRPr="004F3D17" w14:paraId="78D3011D" w14:textId="77777777" w:rsidTr="00161CE5">
        <w:trPr>
          <w:trHeight w:val="80"/>
          <w:jc w:val="center"/>
        </w:trPr>
        <w:tc>
          <w:tcPr>
            <w:tcW w:w="2508" w:type="pct"/>
            <w:shd w:val="clear" w:color="auto" w:fill="auto"/>
            <w:noWrap/>
            <w:vAlign w:val="center"/>
          </w:tcPr>
          <w:p w14:paraId="6721ED71" w14:textId="51DEAB04" w:rsidR="00161CE5" w:rsidRPr="00654FBE" w:rsidRDefault="00161CE5" w:rsidP="00161CE5">
            <w:pPr>
              <w:rPr>
                <w:color w:val="000000"/>
                <w:sz w:val="20"/>
                <w:szCs w:val="20"/>
                <w:lang w:val="en-US" w:eastAsia="en-GB"/>
              </w:rPr>
            </w:pPr>
            <w:r w:rsidRPr="00654FBE">
              <w:rPr>
                <w:color w:val="000000"/>
                <w:sz w:val="20"/>
                <w:szCs w:val="20"/>
                <w:lang w:val="en-US" w:eastAsia="en-GB"/>
              </w:rPr>
              <w:t>Multi-tranche</w:t>
            </w:r>
          </w:p>
        </w:tc>
        <w:tc>
          <w:tcPr>
            <w:tcW w:w="623" w:type="pct"/>
            <w:shd w:val="clear" w:color="auto" w:fill="auto"/>
          </w:tcPr>
          <w:p w14:paraId="1B9EEF88" w14:textId="6653A9F8" w:rsidR="00161CE5" w:rsidRPr="007C041A" w:rsidRDefault="00161CE5" w:rsidP="00161CE5">
            <w:pPr>
              <w:jc w:val="center"/>
              <w:rPr>
                <w:sz w:val="20"/>
                <w:szCs w:val="20"/>
              </w:rPr>
            </w:pPr>
            <w:r w:rsidRPr="007C041A">
              <w:rPr>
                <w:sz w:val="20"/>
                <w:szCs w:val="20"/>
              </w:rPr>
              <w:t>0.078*</w:t>
            </w:r>
          </w:p>
        </w:tc>
        <w:tc>
          <w:tcPr>
            <w:tcW w:w="623" w:type="pct"/>
            <w:shd w:val="clear" w:color="auto" w:fill="auto"/>
          </w:tcPr>
          <w:p w14:paraId="3B57E1F7" w14:textId="32AC700D" w:rsidR="00161CE5" w:rsidRPr="007C041A" w:rsidRDefault="00161CE5" w:rsidP="00161CE5">
            <w:pPr>
              <w:jc w:val="center"/>
              <w:rPr>
                <w:sz w:val="20"/>
                <w:szCs w:val="20"/>
              </w:rPr>
            </w:pPr>
            <w:r w:rsidRPr="007C041A">
              <w:rPr>
                <w:sz w:val="20"/>
                <w:szCs w:val="20"/>
              </w:rPr>
              <w:t>0.021</w:t>
            </w:r>
          </w:p>
        </w:tc>
        <w:tc>
          <w:tcPr>
            <w:tcW w:w="623" w:type="pct"/>
            <w:shd w:val="clear" w:color="auto" w:fill="auto"/>
          </w:tcPr>
          <w:p w14:paraId="358484FE" w14:textId="1C537E36" w:rsidR="00161CE5" w:rsidRPr="007C041A" w:rsidRDefault="00161CE5" w:rsidP="00161CE5">
            <w:pPr>
              <w:jc w:val="center"/>
              <w:rPr>
                <w:sz w:val="20"/>
                <w:szCs w:val="20"/>
              </w:rPr>
            </w:pPr>
            <w:r w:rsidRPr="007C041A">
              <w:rPr>
                <w:sz w:val="20"/>
                <w:szCs w:val="20"/>
              </w:rPr>
              <w:t>0.106**</w:t>
            </w:r>
          </w:p>
        </w:tc>
        <w:tc>
          <w:tcPr>
            <w:tcW w:w="623" w:type="pct"/>
          </w:tcPr>
          <w:p w14:paraId="37EEC9F5" w14:textId="4A1DAF24" w:rsidR="00161CE5" w:rsidRPr="007C041A" w:rsidRDefault="00161CE5" w:rsidP="00161CE5">
            <w:pPr>
              <w:jc w:val="center"/>
              <w:rPr>
                <w:sz w:val="20"/>
                <w:szCs w:val="20"/>
              </w:rPr>
            </w:pPr>
            <w:r w:rsidRPr="007C041A">
              <w:rPr>
                <w:sz w:val="20"/>
                <w:szCs w:val="20"/>
              </w:rPr>
              <w:t>0.139**</w:t>
            </w:r>
          </w:p>
        </w:tc>
      </w:tr>
      <w:tr w:rsidR="00161CE5" w:rsidRPr="004F3D17" w14:paraId="51EC4C7A" w14:textId="77777777" w:rsidTr="00161CE5">
        <w:trPr>
          <w:trHeight w:val="80"/>
          <w:jc w:val="center"/>
        </w:trPr>
        <w:tc>
          <w:tcPr>
            <w:tcW w:w="2508" w:type="pct"/>
            <w:shd w:val="clear" w:color="auto" w:fill="auto"/>
            <w:noWrap/>
            <w:vAlign w:val="center"/>
          </w:tcPr>
          <w:p w14:paraId="60A38759" w14:textId="77777777" w:rsidR="00161CE5" w:rsidRPr="00654FBE" w:rsidRDefault="00161CE5" w:rsidP="00161CE5">
            <w:pPr>
              <w:rPr>
                <w:color w:val="000000"/>
                <w:sz w:val="20"/>
                <w:szCs w:val="20"/>
                <w:lang w:val="en-US" w:eastAsia="en-GB"/>
              </w:rPr>
            </w:pPr>
          </w:p>
        </w:tc>
        <w:tc>
          <w:tcPr>
            <w:tcW w:w="623" w:type="pct"/>
            <w:shd w:val="clear" w:color="auto" w:fill="auto"/>
          </w:tcPr>
          <w:p w14:paraId="7C8C5A30" w14:textId="713EBA69" w:rsidR="00161CE5" w:rsidRPr="007C041A" w:rsidRDefault="00161CE5" w:rsidP="00161CE5">
            <w:pPr>
              <w:jc w:val="center"/>
              <w:rPr>
                <w:sz w:val="20"/>
                <w:szCs w:val="20"/>
              </w:rPr>
            </w:pPr>
            <w:r w:rsidRPr="007C041A">
              <w:rPr>
                <w:sz w:val="20"/>
                <w:szCs w:val="20"/>
              </w:rPr>
              <w:t>(0.043)</w:t>
            </w:r>
          </w:p>
        </w:tc>
        <w:tc>
          <w:tcPr>
            <w:tcW w:w="623" w:type="pct"/>
            <w:shd w:val="clear" w:color="auto" w:fill="auto"/>
          </w:tcPr>
          <w:p w14:paraId="2F6CE31E" w14:textId="0E824309" w:rsidR="00161CE5" w:rsidRPr="007C041A" w:rsidRDefault="00161CE5" w:rsidP="00161CE5">
            <w:pPr>
              <w:jc w:val="center"/>
              <w:rPr>
                <w:sz w:val="20"/>
                <w:szCs w:val="20"/>
              </w:rPr>
            </w:pPr>
            <w:r w:rsidRPr="007C041A">
              <w:rPr>
                <w:sz w:val="20"/>
                <w:szCs w:val="20"/>
              </w:rPr>
              <w:t>(0.039)</w:t>
            </w:r>
          </w:p>
        </w:tc>
        <w:tc>
          <w:tcPr>
            <w:tcW w:w="623" w:type="pct"/>
            <w:shd w:val="clear" w:color="auto" w:fill="auto"/>
          </w:tcPr>
          <w:p w14:paraId="7F51BD27" w14:textId="36527188" w:rsidR="00161CE5" w:rsidRPr="007C041A" w:rsidRDefault="00161CE5" w:rsidP="00161CE5">
            <w:pPr>
              <w:jc w:val="center"/>
              <w:rPr>
                <w:sz w:val="20"/>
                <w:szCs w:val="20"/>
              </w:rPr>
            </w:pPr>
            <w:r w:rsidRPr="007C041A">
              <w:rPr>
                <w:sz w:val="20"/>
                <w:szCs w:val="20"/>
              </w:rPr>
              <w:t>(0.050)</w:t>
            </w:r>
          </w:p>
        </w:tc>
        <w:tc>
          <w:tcPr>
            <w:tcW w:w="623" w:type="pct"/>
          </w:tcPr>
          <w:p w14:paraId="7DD27767" w14:textId="13DA5044" w:rsidR="00161CE5" w:rsidRPr="007C041A" w:rsidRDefault="00161CE5" w:rsidP="00161CE5">
            <w:pPr>
              <w:jc w:val="center"/>
              <w:rPr>
                <w:sz w:val="20"/>
                <w:szCs w:val="20"/>
              </w:rPr>
            </w:pPr>
            <w:r w:rsidRPr="007C041A">
              <w:rPr>
                <w:sz w:val="20"/>
                <w:szCs w:val="20"/>
              </w:rPr>
              <w:t>(0.055)</w:t>
            </w:r>
          </w:p>
        </w:tc>
      </w:tr>
      <w:tr w:rsidR="00161CE5" w:rsidRPr="004F3D17" w14:paraId="4962B540" w14:textId="77777777" w:rsidTr="00161CE5">
        <w:trPr>
          <w:trHeight w:val="80"/>
          <w:jc w:val="center"/>
        </w:trPr>
        <w:tc>
          <w:tcPr>
            <w:tcW w:w="2508" w:type="pct"/>
            <w:shd w:val="clear" w:color="auto" w:fill="auto"/>
            <w:noWrap/>
            <w:vAlign w:val="center"/>
          </w:tcPr>
          <w:p w14:paraId="7BC1D86A" w14:textId="6AD035C2" w:rsidR="00161CE5" w:rsidRPr="00654FBE" w:rsidRDefault="00161CE5" w:rsidP="00161CE5">
            <w:pPr>
              <w:rPr>
                <w:color w:val="000000"/>
                <w:sz w:val="20"/>
                <w:szCs w:val="20"/>
                <w:lang w:val="en-US" w:eastAsia="en-GB"/>
              </w:rPr>
            </w:pPr>
            <w:r w:rsidRPr="00654FBE">
              <w:rPr>
                <w:color w:val="000000"/>
                <w:sz w:val="20"/>
                <w:szCs w:val="20"/>
                <w:lang w:val="en-US" w:eastAsia="en-GB"/>
              </w:rPr>
              <w:t>AA-BBB spread</w:t>
            </w:r>
          </w:p>
        </w:tc>
        <w:tc>
          <w:tcPr>
            <w:tcW w:w="623" w:type="pct"/>
            <w:shd w:val="clear" w:color="auto" w:fill="auto"/>
          </w:tcPr>
          <w:p w14:paraId="56984368" w14:textId="50AB47B1" w:rsidR="00161CE5" w:rsidRPr="007C041A" w:rsidRDefault="00161CE5" w:rsidP="00161CE5">
            <w:pPr>
              <w:jc w:val="center"/>
              <w:rPr>
                <w:sz w:val="20"/>
                <w:szCs w:val="20"/>
              </w:rPr>
            </w:pPr>
            <w:r w:rsidRPr="007C041A">
              <w:rPr>
                <w:sz w:val="20"/>
                <w:szCs w:val="20"/>
              </w:rPr>
              <w:t>0.317***</w:t>
            </w:r>
          </w:p>
        </w:tc>
        <w:tc>
          <w:tcPr>
            <w:tcW w:w="623" w:type="pct"/>
            <w:shd w:val="clear" w:color="auto" w:fill="auto"/>
          </w:tcPr>
          <w:p w14:paraId="2A5ED203" w14:textId="55EA20A6" w:rsidR="00161CE5" w:rsidRPr="007C041A" w:rsidRDefault="00161CE5" w:rsidP="00161CE5">
            <w:pPr>
              <w:jc w:val="center"/>
              <w:rPr>
                <w:sz w:val="20"/>
                <w:szCs w:val="20"/>
              </w:rPr>
            </w:pPr>
            <w:r w:rsidRPr="007C041A">
              <w:rPr>
                <w:sz w:val="20"/>
                <w:szCs w:val="20"/>
              </w:rPr>
              <w:t>0.314***</w:t>
            </w:r>
          </w:p>
        </w:tc>
        <w:tc>
          <w:tcPr>
            <w:tcW w:w="623" w:type="pct"/>
            <w:shd w:val="clear" w:color="auto" w:fill="auto"/>
          </w:tcPr>
          <w:p w14:paraId="12AB7FC7" w14:textId="11F367DC" w:rsidR="00161CE5" w:rsidRPr="007C041A" w:rsidRDefault="00161CE5" w:rsidP="00161CE5">
            <w:pPr>
              <w:jc w:val="center"/>
              <w:rPr>
                <w:sz w:val="20"/>
                <w:szCs w:val="20"/>
              </w:rPr>
            </w:pPr>
            <w:r w:rsidRPr="007C041A">
              <w:rPr>
                <w:sz w:val="20"/>
                <w:szCs w:val="20"/>
              </w:rPr>
              <w:t>0.305***</w:t>
            </w:r>
          </w:p>
        </w:tc>
        <w:tc>
          <w:tcPr>
            <w:tcW w:w="623" w:type="pct"/>
          </w:tcPr>
          <w:p w14:paraId="5851C218" w14:textId="41E41772" w:rsidR="00161CE5" w:rsidRPr="007C041A" w:rsidRDefault="00161CE5" w:rsidP="00161CE5">
            <w:pPr>
              <w:jc w:val="center"/>
              <w:rPr>
                <w:sz w:val="20"/>
                <w:szCs w:val="20"/>
              </w:rPr>
            </w:pPr>
            <w:r w:rsidRPr="007C041A">
              <w:rPr>
                <w:sz w:val="20"/>
                <w:szCs w:val="20"/>
              </w:rPr>
              <w:t>0.316***</w:t>
            </w:r>
          </w:p>
        </w:tc>
      </w:tr>
      <w:tr w:rsidR="00161CE5" w:rsidRPr="004F3D17" w14:paraId="050AE40B" w14:textId="77777777" w:rsidTr="00161CE5">
        <w:trPr>
          <w:trHeight w:val="80"/>
          <w:jc w:val="center"/>
        </w:trPr>
        <w:tc>
          <w:tcPr>
            <w:tcW w:w="2508" w:type="pct"/>
            <w:shd w:val="clear" w:color="auto" w:fill="auto"/>
            <w:noWrap/>
            <w:vAlign w:val="center"/>
          </w:tcPr>
          <w:p w14:paraId="16B58346" w14:textId="77777777" w:rsidR="00161CE5" w:rsidRPr="00654FBE" w:rsidRDefault="00161CE5" w:rsidP="00161CE5">
            <w:pPr>
              <w:rPr>
                <w:color w:val="000000"/>
                <w:sz w:val="20"/>
                <w:szCs w:val="20"/>
                <w:lang w:val="en-US" w:eastAsia="en-GB"/>
              </w:rPr>
            </w:pPr>
          </w:p>
        </w:tc>
        <w:tc>
          <w:tcPr>
            <w:tcW w:w="623" w:type="pct"/>
            <w:shd w:val="clear" w:color="auto" w:fill="auto"/>
          </w:tcPr>
          <w:p w14:paraId="4C79CC8D" w14:textId="0DDB27B5" w:rsidR="00161CE5" w:rsidRPr="007C041A" w:rsidRDefault="00161CE5" w:rsidP="00161CE5">
            <w:pPr>
              <w:jc w:val="center"/>
              <w:rPr>
                <w:sz w:val="20"/>
                <w:szCs w:val="20"/>
              </w:rPr>
            </w:pPr>
            <w:r w:rsidRPr="007C041A">
              <w:rPr>
                <w:sz w:val="20"/>
                <w:szCs w:val="20"/>
              </w:rPr>
              <w:t>(0.045)</w:t>
            </w:r>
          </w:p>
        </w:tc>
        <w:tc>
          <w:tcPr>
            <w:tcW w:w="623" w:type="pct"/>
            <w:shd w:val="clear" w:color="auto" w:fill="auto"/>
          </w:tcPr>
          <w:p w14:paraId="77A918EF" w14:textId="2B8EF697" w:rsidR="00161CE5" w:rsidRPr="007C041A" w:rsidRDefault="00161CE5" w:rsidP="00161CE5">
            <w:pPr>
              <w:jc w:val="center"/>
              <w:rPr>
                <w:sz w:val="20"/>
                <w:szCs w:val="20"/>
              </w:rPr>
            </w:pPr>
            <w:r w:rsidRPr="007C041A">
              <w:rPr>
                <w:sz w:val="20"/>
                <w:szCs w:val="20"/>
              </w:rPr>
              <w:t>(0.045)</w:t>
            </w:r>
          </w:p>
        </w:tc>
        <w:tc>
          <w:tcPr>
            <w:tcW w:w="623" w:type="pct"/>
            <w:shd w:val="clear" w:color="auto" w:fill="auto"/>
          </w:tcPr>
          <w:p w14:paraId="2D2E6F41" w14:textId="2696BC4C" w:rsidR="00161CE5" w:rsidRPr="007C041A" w:rsidRDefault="00161CE5" w:rsidP="00161CE5">
            <w:pPr>
              <w:jc w:val="center"/>
              <w:rPr>
                <w:sz w:val="20"/>
                <w:szCs w:val="20"/>
              </w:rPr>
            </w:pPr>
            <w:r w:rsidRPr="007C041A">
              <w:rPr>
                <w:sz w:val="20"/>
                <w:szCs w:val="20"/>
              </w:rPr>
              <w:t>(0.046)</w:t>
            </w:r>
          </w:p>
        </w:tc>
        <w:tc>
          <w:tcPr>
            <w:tcW w:w="623" w:type="pct"/>
          </w:tcPr>
          <w:p w14:paraId="696ECFC7" w14:textId="7FC28759" w:rsidR="00161CE5" w:rsidRPr="007C041A" w:rsidRDefault="00161CE5" w:rsidP="00161CE5">
            <w:pPr>
              <w:jc w:val="center"/>
              <w:rPr>
                <w:sz w:val="20"/>
                <w:szCs w:val="20"/>
              </w:rPr>
            </w:pPr>
            <w:r w:rsidRPr="007C041A">
              <w:rPr>
                <w:sz w:val="20"/>
                <w:szCs w:val="20"/>
              </w:rPr>
              <w:t>(0.046)</w:t>
            </w:r>
          </w:p>
        </w:tc>
      </w:tr>
      <w:tr w:rsidR="00161CE5" w:rsidRPr="004F3D17" w14:paraId="32123759" w14:textId="77777777" w:rsidTr="00161CE5">
        <w:trPr>
          <w:trHeight w:val="80"/>
          <w:jc w:val="center"/>
        </w:trPr>
        <w:tc>
          <w:tcPr>
            <w:tcW w:w="2508" w:type="pct"/>
            <w:shd w:val="clear" w:color="auto" w:fill="auto"/>
            <w:noWrap/>
            <w:vAlign w:val="center"/>
          </w:tcPr>
          <w:p w14:paraId="1E3B00FA" w14:textId="7FE21344" w:rsidR="00161CE5" w:rsidRPr="00654FBE" w:rsidRDefault="00161CE5" w:rsidP="00161CE5">
            <w:pPr>
              <w:rPr>
                <w:color w:val="000000"/>
                <w:sz w:val="20"/>
                <w:szCs w:val="20"/>
                <w:lang w:val="en-US" w:eastAsia="en-GB"/>
              </w:rPr>
            </w:pPr>
            <w:r w:rsidRPr="00654FBE">
              <w:rPr>
                <w:color w:val="000000"/>
                <w:sz w:val="20"/>
                <w:szCs w:val="20"/>
                <w:lang w:val="en-US" w:eastAsia="en-GB"/>
              </w:rPr>
              <w:t>Constant</w:t>
            </w:r>
          </w:p>
        </w:tc>
        <w:tc>
          <w:tcPr>
            <w:tcW w:w="623" w:type="pct"/>
            <w:shd w:val="clear" w:color="auto" w:fill="auto"/>
          </w:tcPr>
          <w:p w14:paraId="58A137C9" w14:textId="1F0A11EA" w:rsidR="00161CE5" w:rsidRPr="007C041A" w:rsidRDefault="00161CE5" w:rsidP="00161CE5">
            <w:pPr>
              <w:jc w:val="center"/>
              <w:rPr>
                <w:sz w:val="20"/>
                <w:szCs w:val="20"/>
              </w:rPr>
            </w:pPr>
            <w:r w:rsidRPr="007C041A">
              <w:rPr>
                <w:sz w:val="20"/>
                <w:szCs w:val="20"/>
              </w:rPr>
              <w:t>1.487</w:t>
            </w:r>
          </w:p>
        </w:tc>
        <w:tc>
          <w:tcPr>
            <w:tcW w:w="623" w:type="pct"/>
            <w:shd w:val="clear" w:color="auto" w:fill="auto"/>
          </w:tcPr>
          <w:p w14:paraId="3BE5EE64" w14:textId="605DFB5F" w:rsidR="00161CE5" w:rsidRPr="007C041A" w:rsidRDefault="00161CE5" w:rsidP="00161CE5">
            <w:pPr>
              <w:jc w:val="center"/>
              <w:rPr>
                <w:sz w:val="20"/>
                <w:szCs w:val="20"/>
              </w:rPr>
            </w:pPr>
            <w:r w:rsidRPr="007C041A">
              <w:rPr>
                <w:sz w:val="20"/>
                <w:szCs w:val="20"/>
              </w:rPr>
              <w:t>2.389**</w:t>
            </w:r>
          </w:p>
        </w:tc>
        <w:tc>
          <w:tcPr>
            <w:tcW w:w="623" w:type="pct"/>
            <w:shd w:val="clear" w:color="auto" w:fill="auto"/>
          </w:tcPr>
          <w:p w14:paraId="7EF73A08" w14:textId="108162A7" w:rsidR="00161CE5" w:rsidRPr="007C041A" w:rsidRDefault="00161CE5" w:rsidP="00161CE5">
            <w:pPr>
              <w:jc w:val="center"/>
              <w:rPr>
                <w:sz w:val="20"/>
                <w:szCs w:val="20"/>
              </w:rPr>
            </w:pPr>
            <w:r w:rsidRPr="007C041A">
              <w:rPr>
                <w:sz w:val="20"/>
                <w:szCs w:val="20"/>
              </w:rPr>
              <w:t>0.875</w:t>
            </w:r>
          </w:p>
        </w:tc>
        <w:tc>
          <w:tcPr>
            <w:tcW w:w="623" w:type="pct"/>
          </w:tcPr>
          <w:p w14:paraId="6D7A3E96" w14:textId="4EB24CCD" w:rsidR="00161CE5" w:rsidRPr="007C041A" w:rsidRDefault="00161CE5" w:rsidP="00161CE5">
            <w:pPr>
              <w:jc w:val="center"/>
              <w:rPr>
                <w:sz w:val="20"/>
                <w:szCs w:val="20"/>
              </w:rPr>
            </w:pPr>
            <w:r w:rsidRPr="007C041A">
              <w:rPr>
                <w:sz w:val="20"/>
                <w:szCs w:val="20"/>
              </w:rPr>
              <w:t>2.165*</w:t>
            </w:r>
          </w:p>
        </w:tc>
      </w:tr>
      <w:tr w:rsidR="00161CE5" w:rsidRPr="004F3D17" w14:paraId="4F7BDFA4" w14:textId="77777777" w:rsidTr="00161CE5">
        <w:trPr>
          <w:trHeight w:val="80"/>
          <w:jc w:val="center"/>
        </w:trPr>
        <w:tc>
          <w:tcPr>
            <w:tcW w:w="2508" w:type="pct"/>
            <w:tcBorders>
              <w:bottom w:val="single" w:sz="4" w:space="0" w:color="auto"/>
            </w:tcBorders>
            <w:shd w:val="clear" w:color="auto" w:fill="auto"/>
            <w:noWrap/>
            <w:vAlign w:val="center"/>
          </w:tcPr>
          <w:p w14:paraId="29DA7BB2" w14:textId="77777777" w:rsidR="00161CE5" w:rsidRPr="00654FBE" w:rsidRDefault="00161CE5" w:rsidP="00161CE5">
            <w:pPr>
              <w:rPr>
                <w:color w:val="000000"/>
                <w:sz w:val="20"/>
                <w:szCs w:val="20"/>
                <w:lang w:val="en-US" w:eastAsia="en-GB"/>
              </w:rPr>
            </w:pPr>
          </w:p>
        </w:tc>
        <w:tc>
          <w:tcPr>
            <w:tcW w:w="623" w:type="pct"/>
            <w:tcBorders>
              <w:bottom w:val="single" w:sz="4" w:space="0" w:color="auto"/>
            </w:tcBorders>
            <w:shd w:val="clear" w:color="auto" w:fill="auto"/>
          </w:tcPr>
          <w:p w14:paraId="3DC817E8" w14:textId="5E3F67B9" w:rsidR="00161CE5" w:rsidRPr="007C041A" w:rsidRDefault="00161CE5" w:rsidP="00161CE5">
            <w:pPr>
              <w:jc w:val="center"/>
              <w:rPr>
                <w:sz w:val="20"/>
                <w:szCs w:val="20"/>
              </w:rPr>
            </w:pPr>
            <w:r w:rsidRPr="007C041A">
              <w:rPr>
                <w:sz w:val="20"/>
                <w:szCs w:val="20"/>
              </w:rPr>
              <w:t>(0.982)</w:t>
            </w:r>
          </w:p>
        </w:tc>
        <w:tc>
          <w:tcPr>
            <w:tcW w:w="623" w:type="pct"/>
            <w:tcBorders>
              <w:bottom w:val="single" w:sz="4" w:space="0" w:color="auto"/>
            </w:tcBorders>
            <w:shd w:val="clear" w:color="auto" w:fill="auto"/>
          </w:tcPr>
          <w:p w14:paraId="4049FA9F" w14:textId="417B198C" w:rsidR="00161CE5" w:rsidRPr="007C041A" w:rsidRDefault="00161CE5" w:rsidP="00161CE5">
            <w:pPr>
              <w:jc w:val="center"/>
              <w:rPr>
                <w:sz w:val="20"/>
                <w:szCs w:val="20"/>
              </w:rPr>
            </w:pPr>
            <w:r w:rsidRPr="007C041A">
              <w:rPr>
                <w:sz w:val="20"/>
                <w:szCs w:val="20"/>
              </w:rPr>
              <w:t>(1.129)</w:t>
            </w:r>
          </w:p>
        </w:tc>
        <w:tc>
          <w:tcPr>
            <w:tcW w:w="623" w:type="pct"/>
            <w:tcBorders>
              <w:bottom w:val="single" w:sz="4" w:space="0" w:color="auto"/>
            </w:tcBorders>
            <w:shd w:val="clear" w:color="auto" w:fill="auto"/>
          </w:tcPr>
          <w:p w14:paraId="71206958" w14:textId="2A8FD492" w:rsidR="00161CE5" w:rsidRPr="007C041A" w:rsidRDefault="00161CE5" w:rsidP="00161CE5">
            <w:pPr>
              <w:jc w:val="center"/>
              <w:rPr>
                <w:sz w:val="20"/>
                <w:szCs w:val="20"/>
              </w:rPr>
            </w:pPr>
            <w:r w:rsidRPr="007C041A">
              <w:rPr>
                <w:sz w:val="20"/>
                <w:szCs w:val="20"/>
              </w:rPr>
              <w:t>(0.990)</w:t>
            </w:r>
          </w:p>
        </w:tc>
        <w:tc>
          <w:tcPr>
            <w:tcW w:w="623" w:type="pct"/>
            <w:tcBorders>
              <w:bottom w:val="single" w:sz="4" w:space="0" w:color="auto"/>
            </w:tcBorders>
          </w:tcPr>
          <w:p w14:paraId="03764F08" w14:textId="6ADAAE2B" w:rsidR="00161CE5" w:rsidRPr="007C041A" w:rsidRDefault="00161CE5" w:rsidP="00161CE5">
            <w:pPr>
              <w:jc w:val="center"/>
              <w:rPr>
                <w:sz w:val="20"/>
                <w:szCs w:val="20"/>
              </w:rPr>
            </w:pPr>
            <w:r w:rsidRPr="007C041A">
              <w:rPr>
                <w:sz w:val="20"/>
                <w:szCs w:val="20"/>
              </w:rPr>
              <w:t>(1.194)</w:t>
            </w:r>
          </w:p>
        </w:tc>
      </w:tr>
      <w:tr w:rsidR="00161CE5" w:rsidRPr="004F3D17" w14:paraId="47AAAB20" w14:textId="77777777" w:rsidTr="00161CE5">
        <w:trPr>
          <w:trHeight w:val="80"/>
          <w:jc w:val="center"/>
        </w:trPr>
        <w:tc>
          <w:tcPr>
            <w:tcW w:w="2508" w:type="pct"/>
            <w:tcBorders>
              <w:top w:val="single" w:sz="4" w:space="0" w:color="auto"/>
            </w:tcBorders>
            <w:shd w:val="clear" w:color="auto" w:fill="auto"/>
            <w:noWrap/>
            <w:vAlign w:val="center"/>
          </w:tcPr>
          <w:p w14:paraId="3C5CD086" w14:textId="7973CEE0" w:rsidR="00161CE5" w:rsidRPr="00654FBE" w:rsidRDefault="00161CE5" w:rsidP="00161CE5">
            <w:pPr>
              <w:rPr>
                <w:color w:val="000000"/>
                <w:sz w:val="20"/>
                <w:szCs w:val="20"/>
                <w:lang w:val="en-US" w:eastAsia="en-GB"/>
              </w:rPr>
            </w:pPr>
            <w:r w:rsidRPr="00654FBE">
              <w:rPr>
                <w:color w:val="000000"/>
                <w:sz w:val="20"/>
                <w:szCs w:val="20"/>
                <w:lang w:val="en-US" w:eastAsia="en-GB"/>
              </w:rPr>
              <w:t>Credit rating, Year, Sector and Country dummies</w:t>
            </w:r>
          </w:p>
        </w:tc>
        <w:tc>
          <w:tcPr>
            <w:tcW w:w="623" w:type="pct"/>
            <w:tcBorders>
              <w:top w:val="single" w:sz="4" w:space="0" w:color="auto"/>
            </w:tcBorders>
            <w:shd w:val="clear" w:color="auto" w:fill="auto"/>
            <w:vAlign w:val="center"/>
          </w:tcPr>
          <w:p w14:paraId="4FB870CE" w14:textId="6AD468EC" w:rsidR="00161CE5" w:rsidRPr="007C041A" w:rsidRDefault="00161CE5" w:rsidP="00161CE5">
            <w:pPr>
              <w:jc w:val="center"/>
              <w:rPr>
                <w:sz w:val="20"/>
                <w:szCs w:val="20"/>
              </w:rPr>
            </w:pPr>
            <w:r w:rsidRPr="00654FBE">
              <w:rPr>
                <w:color w:val="000000"/>
                <w:sz w:val="20"/>
                <w:szCs w:val="20"/>
                <w:lang w:val="en-US" w:eastAsia="en-GB"/>
              </w:rPr>
              <w:t>yes</w:t>
            </w:r>
          </w:p>
        </w:tc>
        <w:tc>
          <w:tcPr>
            <w:tcW w:w="623" w:type="pct"/>
            <w:tcBorders>
              <w:top w:val="single" w:sz="4" w:space="0" w:color="auto"/>
            </w:tcBorders>
            <w:shd w:val="clear" w:color="auto" w:fill="auto"/>
            <w:vAlign w:val="center"/>
          </w:tcPr>
          <w:p w14:paraId="71CC7DA7" w14:textId="71CA282F" w:rsidR="00161CE5" w:rsidRPr="007C041A" w:rsidRDefault="00161CE5" w:rsidP="00161CE5">
            <w:pPr>
              <w:jc w:val="center"/>
              <w:rPr>
                <w:sz w:val="20"/>
                <w:szCs w:val="20"/>
              </w:rPr>
            </w:pPr>
            <w:r w:rsidRPr="00654FBE">
              <w:rPr>
                <w:color w:val="000000"/>
                <w:sz w:val="20"/>
                <w:szCs w:val="20"/>
                <w:lang w:val="en-US" w:eastAsia="en-GB"/>
              </w:rPr>
              <w:t>yes</w:t>
            </w:r>
          </w:p>
        </w:tc>
        <w:tc>
          <w:tcPr>
            <w:tcW w:w="623" w:type="pct"/>
            <w:tcBorders>
              <w:top w:val="single" w:sz="4" w:space="0" w:color="auto"/>
            </w:tcBorders>
            <w:shd w:val="clear" w:color="auto" w:fill="auto"/>
            <w:vAlign w:val="center"/>
          </w:tcPr>
          <w:p w14:paraId="4CFD624F" w14:textId="7374760D" w:rsidR="00161CE5" w:rsidRPr="007C041A" w:rsidRDefault="00161CE5" w:rsidP="00161CE5">
            <w:pPr>
              <w:jc w:val="center"/>
              <w:rPr>
                <w:sz w:val="20"/>
                <w:szCs w:val="20"/>
              </w:rPr>
            </w:pPr>
            <w:r w:rsidRPr="00654FBE">
              <w:rPr>
                <w:color w:val="000000"/>
                <w:sz w:val="20"/>
                <w:szCs w:val="20"/>
                <w:lang w:val="en-US" w:eastAsia="en-GB"/>
              </w:rPr>
              <w:t>yes</w:t>
            </w:r>
          </w:p>
        </w:tc>
        <w:tc>
          <w:tcPr>
            <w:tcW w:w="623" w:type="pct"/>
            <w:tcBorders>
              <w:top w:val="single" w:sz="4" w:space="0" w:color="auto"/>
            </w:tcBorders>
            <w:vAlign w:val="center"/>
          </w:tcPr>
          <w:p w14:paraId="2FB1473E" w14:textId="55E1CEFA" w:rsidR="00161CE5" w:rsidRPr="007C041A" w:rsidRDefault="00161CE5" w:rsidP="00161CE5">
            <w:pPr>
              <w:jc w:val="center"/>
              <w:rPr>
                <w:sz w:val="20"/>
                <w:szCs w:val="20"/>
              </w:rPr>
            </w:pPr>
            <w:r w:rsidRPr="00654FBE">
              <w:rPr>
                <w:color w:val="000000"/>
                <w:sz w:val="20"/>
                <w:szCs w:val="20"/>
                <w:lang w:val="en-US" w:eastAsia="en-GB"/>
              </w:rPr>
              <w:t>yes</w:t>
            </w:r>
          </w:p>
        </w:tc>
      </w:tr>
      <w:tr w:rsidR="00161CE5" w:rsidRPr="004F3D17" w14:paraId="519DD8AB" w14:textId="77777777" w:rsidTr="00161CE5">
        <w:trPr>
          <w:trHeight w:val="80"/>
          <w:jc w:val="center"/>
        </w:trPr>
        <w:tc>
          <w:tcPr>
            <w:tcW w:w="2508" w:type="pct"/>
            <w:shd w:val="clear" w:color="auto" w:fill="auto"/>
            <w:noWrap/>
            <w:vAlign w:val="center"/>
          </w:tcPr>
          <w:p w14:paraId="6EA9B190" w14:textId="2F8DEFCA" w:rsidR="00161CE5" w:rsidRPr="00654FBE" w:rsidRDefault="00161CE5" w:rsidP="00161CE5">
            <w:pPr>
              <w:rPr>
                <w:color w:val="000000"/>
                <w:sz w:val="20"/>
                <w:szCs w:val="20"/>
                <w:lang w:val="en-US" w:eastAsia="en-GB"/>
              </w:rPr>
            </w:pPr>
            <w:r w:rsidRPr="00654FBE">
              <w:rPr>
                <w:color w:val="000000"/>
                <w:sz w:val="20"/>
                <w:szCs w:val="20"/>
                <w:lang w:val="en-US" w:eastAsia="en-GB"/>
              </w:rPr>
              <w:t>Number of Observations</w:t>
            </w:r>
          </w:p>
        </w:tc>
        <w:tc>
          <w:tcPr>
            <w:tcW w:w="623" w:type="pct"/>
            <w:shd w:val="clear" w:color="auto" w:fill="auto"/>
          </w:tcPr>
          <w:p w14:paraId="7F0DC5F0" w14:textId="7334DFC9" w:rsidR="00161CE5" w:rsidRPr="00654FBE" w:rsidRDefault="00161CE5" w:rsidP="00161CE5">
            <w:pPr>
              <w:jc w:val="center"/>
              <w:rPr>
                <w:color w:val="000000"/>
                <w:sz w:val="20"/>
                <w:szCs w:val="20"/>
                <w:lang w:val="en-US" w:eastAsia="en-GB"/>
              </w:rPr>
            </w:pPr>
            <w:r w:rsidRPr="007C041A">
              <w:rPr>
                <w:sz w:val="20"/>
                <w:szCs w:val="20"/>
              </w:rPr>
              <w:t>2,409</w:t>
            </w:r>
          </w:p>
        </w:tc>
        <w:tc>
          <w:tcPr>
            <w:tcW w:w="623" w:type="pct"/>
            <w:shd w:val="clear" w:color="auto" w:fill="auto"/>
          </w:tcPr>
          <w:p w14:paraId="4E6F864B" w14:textId="4E7A2631" w:rsidR="00161CE5" w:rsidRPr="00654FBE" w:rsidRDefault="00161CE5" w:rsidP="00161CE5">
            <w:pPr>
              <w:jc w:val="center"/>
              <w:rPr>
                <w:color w:val="000000"/>
                <w:sz w:val="20"/>
                <w:szCs w:val="20"/>
                <w:lang w:val="en-US" w:eastAsia="en-GB"/>
              </w:rPr>
            </w:pPr>
            <w:r w:rsidRPr="007C041A">
              <w:rPr>
                <w:sz w:val="20"/>
                <w:szCs w:val="20"/>
              </w:rPr>
              <w:t>2,409</w:t>
            </w:r>
          </w:p>
        </w:tc>
        <w:tc>
          <w:tcPr>
            <w:tcW w:w="623" w:type="pct"/>
            <w:shd w:val="clear" w:color="auto" w:fill="auto"/>
          </w:tcPr>
          <w:p w14:paraId="277FB9B3" w14:textId="3F180F86" w:rsidR="00161CE5" w:rsidRPr="00654FBE" w:rsidRDefault="00161CE5" w:rsidP="00161CE5">
            <w:pPr>
              <w:jc w:val="center"/>
              <w:rPr>
                <w:color w:val="000000"/>
                <w:sz w:val="20"/>
                <w:szCs w:val="20"/>
                <w:lang w:val="en-US" w:eastAsia="en-GB"/>
              </w:rPr>
            </w:pPr>
            <w:r w:rsidRPr="007C041A">
              <w:rPr>
                <w:sz w:val="20"/>
                <w:szCs w:val="20"/>
              </w:rPr>
              <w:t>2,409</w:t>
            </w:r>
          </w:p>
        </w:tc>
        <w:tc>
          <w:tcPr>
            <w:tcW w:w="623" w:type="pct"/>
          </w:tcPr>
          <w:p w14:paraId="6A03C252" w14:textId="19186CD6" w:rsidR="00161CE5" w:rsidRPr="00654FBE" w:rsidRDefault="00161CE5" w:rsidP="00161CE5">
            <w:pPr>
              <w:jc w:val="center"/>
              <w:rPr>
                <w:color w:val="000000"/>
                <w:sz w:val="20"/>
                <w:szCs w:val="20"/>
                <w:lang w:val="en-US" w:eastAsia="en-GB"/>
              </w:rPr>
            </w:pPr>
            <w:r w:rsidRPr="007C041A">
              <w:rPr>
                <w:sz w:val="20"/>
                <w:szCs w:val="20"/>
              </w:rPr>
              <w:t>2,409</w:t>
            </w:r>
          </w:p>
        </w:tc>
      </w:tr>
      <w:tr w:rsidR="00161CE5" w:rsidRPr="004F3D17" w14:paraId="20CEDB1E" w14:textId="77777777" w:rsidTr="00161CE5">
        <w:trPr>
          <w:trHeight w:val="80"/>
          <w:jc w:val="center"/>
        </w:trPr>
        <w:tc>
          <w:tcPr>
            <w:tcW w:w="2508" w:type="pct"/>
            <w:shd w:val="clear" w:color="auto" w:fill="auto"/>
            <w:noWrap/>
            <w:vAlign w:val="center"/>
          </w:tcPr>
          <w:p w14:paraId="0EF3AC11" w14:textId="3AB8C160" w:rsidR="00161CE5" w:rsidRPr="00654FBE" w:rsidRDefault="00161CE5" w:rsidP="00161CE5">
            <w:pPr>
              <w:rPr>
                <w:color w:val="000000"/>
                <w:sz w:val="20"/>
                <w:szCs w:val="20"/>
                <w:lang w:val="en-US" w:eastAsia="en-GB"/>
              </w:rPr>
            </w:pPr>
            <w:r w:rsidRPr="00654FBE">
              <w:rPr>
                <w:color w:val="000000"/>
                <w:sz w:val="20"/>
                <w:szCs w:val="20"/>
                <w:lang w:val="en-US" w:eastAsia="en-GB"/>
              </w:rPr>
              <w:t>R</w:t>
            </w:r>
            <w:r w:rsidRPr="00654FBE">
              <w:rPr>
                <w:color w:val="000000"/>
                <w:sz w:val="20"/>
                <w:szCs w:val="20"/>
                <w:vertAlign w:val="superscript"/>
                <w:lang w:val="en-US" w:eastAsia="en-GB"/>
              </w:rPr>
              <w:t>2</w:t>
            </w:r>
          </w:p>
        </w:tc>
        <w:tc>
          <w:tcPr>
            <w:tcW w:w="623" w:type="pct"/>
            <w:shd w:val="clear" w:color="auto" w:fill="auto"/>
          </w:tcPr>
          <w:p w14:paraId="351CD308" w14:textId="5CDF518C" w:rsidR="00161CE5" w:rsidRPr="007C041A" w:rsidRDefault="00161CE5" w:rsidP="00161CE5">
            <w:pPr>
              <w:jc w:val="center"/>
              <w:rPr>
                <w:sz w:val="20"/>
                <w:szCs w:val="20"/>
              </w:rPr>
            </w:pPr>
            <w:r w:rsidRPr="007C041A">
              <w:rPr>
                <w:sz w:val="20"/>
                <w:szCs w:val="20"/>
              </w:rPr>
              <w:t>0.496</w:t>
            </w:r>
          </w:p>
        </w:tc>
        <w:tc>
          <w:tcPr>
            <w:tcW w:w="623" w:type="pct"/>
            <w:shd w:val="clear" w:color="auto" w:fill="auto"/>
          </w:tcPr>
          <w:p w14:paraId="2DD89EFE" w14:textId="7E48413F" w:rsidR="00161CE5" w:rsidRPr="007C041A" w:rsidRDefault="00161CE5" w:rsidP="00161CE5">
            <w:pPr>
              <w:jc w:val="center"/>
              <w:rPr>
                <w:sz w:val="20"/>
                <w:szCs w:val="20"/>
              </w:rPr>
            </w:pPr>
            <w:r w:rsidRPr="007C041A">
              <w:rPr>
                <w:sz w:val="20"/>
                <w:szCs w:val="20"/>
              </w:rPr>
              <w:t>0.508</w:t>
            </w:r>
          </w:p>
        </w:tc>
        <w:tc>
          <w:tcPr>
            <w:tcW w:w="623" w:type="pct"/>
            <w:shd w:val="clear" w:color="auto" w:fill="auto"/>
          </w:tcPr>
          <w:p w14:paraId="6A583BE1" w14:textId="34FC027A" w:rsidR="00161CE5" w:rsidRPr="007C041A" w:rsidRDefault="00161CE5" w:rsidP="00161CE5">
            <w:pPr>
              <w:jc w:val="center"/>
              <w:rPr>
                <w:sz w:val="20"/>
                <w:szCs w:val="20"/>
              </w:rPr>
            </w:pPr>
            <w:r w:rsidRPr="007C041A">
              <w:rPr>
                <w:sz w:val="20"/>
                <w:szCs w:val="20"/>
              </w:rPr>
              <w:t>0.437</w:t>
            </w:r>
          </w:p>
        </w:tc>
        <w:tc>
          <w:tcPr>
            <w:tcW w:w="623" w:type="pct"/>
          </w:tcPr>
          <w:p w14:paraId="55FE1D20" w14:textId="42F7CE13" w:rsidR="00161CE5" w:rsidRPr="007C041A" w:rsidRDefault="00161CE5" w:rsidP="00161CE5">
            <w:pPr>
              <w:jc w:val="center"/>
              <w:rPr>
                <w:sz w:val="20"/>
                <w:szCs w:val="20"/>
              </w:rPr>
            </w:pPr>
            <w:r w:rsidRPr="007C041A">
              <w:rPr>
                <w:sz w:val="20"/>
                <w:szCs w:val="20"/>
              </w:rPr>
              <w:t>0.445</w:t>
            </w:r>
          </w:p>
        </w:tc>
      </w:tr>
      <w:tr w:rsidR="00161CE5" w:rsidRPr="004F3D17" w14:paraId="1D3FEA9E" w14:textId="77777777" w:rsidTr="00161CE5">
        <w:trPr>
          <w:trHeight w:val="80"/>
          <w:jc w:val="center"/>
        </w:trPr>
        <w:tc>
          <w:tcPr>
            <w:tcW w:w="2508" w:type="pct"/>
            <w:tcBorders>
              <w:bottom w:val="single" w:sz="4" w:space="0" w:color="auto"/>
            </w:tcBorders>
            <w:shd w:val="clear" w:color="auto" w:fill="auto"/>
            <w:noWrap/>
            <w:vAlign w:val="center"/>
          </w:tcPr>
          <w:p w14:paraId="3396ACFD" w14:textId="38187528" w:rsidR="00161CE5" w:rsidRPr="00654FBE" w:rsidRDefault="00161CE5" w:rsidP="00161CE5">
            <w:pPr>
              <w:rPr>
                <w:color w:val="000000"/>
                <w:sz w:val="20"/>
                <w:szCs w:val="20"/>
                <w:lang w:val="en-US" w:eastAsia="en-GB"/>
              </w:rPr>
            </w:pPr>
            <w:r w:rsidRPr="00654FBE">
              <w:rPr>
                <w:color w:val="000000"/>
                <w:sz w:val="20"/>
                <w:szCs w:val="20"/>
                <w:lang w:val="en-US" w:eastAsia="en-GB"/>
              </w:rPr>
              <w:t>Wald χ</w:t>
            </w:r>
            <w:r w:rsidRPr="00654FBE">
              <w:rPr>
                <w:color w:val="000000"/>
                <w:sz w:val="20"/>
                <w:szCs w:val="20"/>
                <w:vertAlign w:val="superscript"/>
                <w:lang w:val="en-US" w:eastAsia="en-GB"/>
              </w:rPr>
              <w:t>2</w:t>
            </w:r>
          </w:p>
        </w:tc>
        <w:tc>
          <w:tcPr>
            <w:tcW w:w="623" w:type="pct"/>
            <w:tcBorders>
              <w:bottom w:val="single" w:sz="4" w:space="0" w:color="auto"/>
            </w:tcBorders>
            <w:shd w:val="clear" w:color="auto" w:fill="auto"/>
          </w:tcPr>
          <w:p w14:paraId="36773975" w14:textId="1D535D7E" w:rsidR="00161CE5" w:rsidRPr="007C041A" w:rsidRDefault="00161CE5" w:rsidP="00161CE5">
            <w:pPr>
              <w:jc w:val="center"/>
              <w:rPr>
                <w:sz w:val="20"/>
                <w:szCs w:val="20"/>
              </w:rPr>
            </w:pPr>
            <w:r w:rsidRPr="007C041A">
              <w:rPr>
                <w:sz w:val="20"/>
                <w:szCs w:val="20"/>
              </w:rPr>
              <w:t>1</w:t>
            </w:r>
            <w:r>
              <w:rPr>
                <w:sz w:val="20"/>
                <w:szCs w:val="20"/>
              </w:rPr>
              <w:t>,</w:t>
            </w:r>
            <w:r w:rsidRPr="007C041A">
              <w:rPr>
                <w:sz w:val="20"/>
                <w:szCs w:val="20"/>
              </w:rPr>
              <w:t>489</w:t>
            </w:r>
            <w:r>
              <w:rPr>
                <w:sz w:val="20"/>
                <w:szCs w:val="20"/>
              </w:rPr>
              <w:t>***</w:t>
            </w:r>
          </w:p>
        </w:tc>
        <w:tc>
          <w:tcPr>
            <w:tcW w:w="623" w:type="pct"/>
            <w:tcBorders>
              <w:bottom w:val="single" w:sz="4" w:space="0" w:color="auto"/>
            </w:tcBorders>
            <w:shd w:val="clear" w:color="auto" w:fill="auto"/>
          </w:tcPr>
          <w:p w14:paraId="16E4054A" w14:textId="22367C13" w:rsidR="00161CE5" w:rsidRPr="007C041A" w:rsidRDefault="00161CE5" w:rsidP="00161CE5">
            <w:pPr>
              <w:jc w:val="center"/>
              <w:rPr>
                <w:sz w:val="20"/>
                <w:szCs w:val="20"/>
              </w:rPr>
            </w:pPr>
            <w:r w:rsidRPr="007C041A">
              <w:rPr>
                <w:sz w:val="20"/>
                <w:szCs w:val="20"/>
              </w:rPr>
              <w:t>1</w:t>
            </w:r>
            <w:r>
              <w:rPr>
                <w:sz w:val="20"/>
                <w:szCs w:val="20"/>
              </w:rPr>
              <w:t>,</w:t>
            </w:r>
            <w:r w:rsidRPr="007C041A">
              <w:rPr>
                <w:sz w:val="20"/>
                <w:szCs w:val="20"/>
              </w:rPr>
              <w:t>552</w:t>
            </w:r>
            <w:r>
              <w:rPr>
                <w:sz w:val="20"/>
                <w:szCs w:val="20"/>
              </w:rPr>
              <w:t>***</w:t>
            </w:r>
          </w:p>
        </w:tc>
        <w:tc>
          <w:tcPr>
            <w:tcW w:w="623" w:type="pct"/>
            <w:tcBorders>
              <w:bottom w:val="single" w:sz="4" w:space="0" w:color="auto"/>
            </w:tcBorders>
            <w:shd w:val="clear" w:color="auto" w:fill="auto"/>
          </w:tcPr>
          <w:p w14:paraId="44AB9BCF" w14:textId="1F429B74" w:rsidR="00161CE5" w:rsidRPr="007C041A" w:rsidRDefault="00161CE5" w:rsidP="00161CE5">
            <w:pPr>
              <w:jc w:val="center"/>
              <w:rPr>
                <w:sz w:val="20"/>
                <w:szCs w:val="20"/>
              </w:rPr>
            </w:pPr>
            <w:r w:rsidRPr="007C041A">
              <w:rPr>
                <w:sz w:val="20"/>
                <w:szCs w:val="20"/>
              </w:rPr>
              <w:t>1</w:t>
            </w:r>
            <w:r>
              <w:rPr>
                <w:sz w:val="20"/>
                <w:szCs w:val="20"/>
              </w:rPr>
              <w:t>,</w:t>
            </w:r>
            <w:r w:rsidRPr="007C041A">
              <w:rPr>
                <w:sz w:val="20"/>
                <w:szCs w:val="20"/>
              </w:rPr>
              <w:t>420</w:t>
            </w:r>
            <w:r>
              <w:rPr>
                <w:sz w:val="20"/>
                <w:szCs w:val="20"/>
              </w:rPr>
              <w:t>***</w:t>
            </w:r>
          </w:p>
        </w:tc>
        <w:tc>
          <w:tcPr>
            <w:tcW w:w="623" w:type="pct"/>
            <w:tcBorders>
              <w:bottom w:val="single" w:sz="4" w:space="0" w:color="auto"/>
            </w:tcBorders>
          </w:tcPr>
          <w:p w14:paraId="06852952" w14:textId="59526D9B" w:rsidR="00161CE5" w:rsidRPr="007C041A" w:rsidRDefault="00161CE5" w:rsidP="00161CE5">
            <w:pPr>
              <w:jc w:val="center"/>
              <w:rPr>
                <w:sz w:val="20"/>
                <w:szCs w:val="20"/>
              </w:rPr>
            </w:pPr>
            <w:r w:rsidRPr="007C041A">
              <w:rPr>
                <w:sz w:val="20"/>
                <w:szCs w:val="20"/>
              </w:rPr>
              <w:t>1</w:t>
            </w:r>
            <w:r>
              <w:rPr>
                <w:sz w:val="20"/>
                <w:szCs w:val="20"/>
              </w:rPr>
              <w:t>,</w:t>
            </w:r>
            <w:r w:rsidRPr="007C041A">
              <w:rPr>
                <w:sz w:val="20"/>
                <w:szCs w:val="20"/>
              </w:rPr>
              <w:t>354</w:t>
            </w:r>
            <w:r>
              <w:rPr>
                <w:sz w:val="20"/>
                <w:szCs w:val="20"/>
              </w:rPr>
              <w:t>***</w:t>
            </w:r>
          </w:p>
        </w:tc>
      </w:tr>
      <w:bookmarkEnd w:id="22"/>
    </w:tbl>
    <w:p w14:paraId="2975A73A" w14:textId="77777777" w:rsidR="001631C6" w:rsidRDefault="001631C6" w:rsidP="001631C6">
      <w:r>
        <w:br w:type="page"/>
      </w:r>
    </w:p>
    <w:p w14:paraId="0EDB0468" w14:textId="77777777" w:rsidR="001631C6" w:rsidRPr="00DC68DD" w:rsidRDefault="001631C6" w:rsidP="001631C6">
      <w:pPr>
        <w:pStyle w:val="Heading2"/>
        <w:spacing w:before="0"/>
        <w:jc w:val="both"/>
        <w:rPr>
          <w:rFonts w:cs="Times New Roman"/>
          <w:b/>
          <w:sz w:val="20"/>
          <w:szCs w:val="20"/>
          <w:lang w:val="en-US"/>
        </w:rPr>
        <w:sectPr w:rsidR="001631C6" w:rsidRPr="00DC68DD" w:rsidSect="00161CE5">
          <w:pgSz w:w="11906" w:h="16838" w:code="9"/>
          <w:pgMar w:top="1440" w:right="1440" w:bottom="1440" w:left="1440" w:header="709" w:footer="709" w:gutter="0"/>
          <w:cols w:space="708"/>
          <w:docGrid w:linePitch="360"/>
        </w:sectPr>
      </w:pPr>
    </w:p>
    <w:p w14:paraId="0344BF95" w14:textId="22684EBD" w:rsidR="001631C6" w:rsidRPr="00207BB5" w:rsidRDefault="001631C6" w:rsidP="001631C6">
      <w:pPr>
        <w:tabs>
          <w:tab w:val="left" w:pos="8220"/>
        </w:tabs>
        <w:rPr>
          <w:rFonts w:eastAsiaTheme="majorEastAsia"/>
          <w:b/>
          <w:bCs/>
          <w:lang w:val="en-US"/>
        </w:rPr>
      </w:pPr>
      <w:r w:rsidRPr="00207BB5">
        <w:rPr>
          <w:b/>
          <w:lang w:val="en-US"/>
        </w:rPr>
        <w:lastRenderedPageBreak/>
        <w:t>Table 1</w:t>
      </w:r>
      <w:r w:rsidR="00CE29CC">
        <w:rPr>
          <w:b/>
          <w:lang w:val="en-US"/>
        </w:rPr>
        <w:t>1</w:t>
      </w:r>
    </w:p>
    <w:p w14:paraId="7F767AA3" w14:textId="77777777" w:rsidR="001631C6" w:rsidRPr="00207BB5" w:rsidRDefault="001631C6" w:rsidP="001631C6">
      <w:pPr>
        <w:pStyle w:val="Heading2"/>
        <w:spacing w:before="0"/>
        <w:jc w:val="both"/>
        <w:rPr>
          <w:rFonts w:cs="Times New Roman"/>
          <w:b/>
          <w:szCs w:val="24"/>
          <w:lang w:val="en-US"/>
        </w:rPr>
      </w:pPr>
      <w:r w:rsidRPr="00207BB5">
        <w:rPr>
          <w:rFonts w:cs="Times New Roman"/>
          <w:szCs w:val="24"/>
          <w:lang w:val="en-US"/>
        </w:rPr>
        <w:t>Robustness tests for alternative instrumental variables.</w:t>
      </w:r>
    </w:p>
    <w:p w14:paraId="7F4BB24E" w14:textId="77777777" w:rsidR="001631C6" w:rsidRPr="00DB749C" w:rsidRDefault="001631C6" w:rsidP="001631C6">
      <w:pPr>
        <w:jc w:val="both"/>
        <w:rPr>
          <w:sz w:val="20"/>
          <w:szCs w:val="20"/>
          <w:lang w:val="en-US"/>
        </w:rPr>
      </w:pPr>
      <w:r w:rsidRPr="00DC68DD">
        <w:rPr>
          <w:sz w:val="20"/>
          <w:szCs w:val="20"/>
          <w:lang w:val="en-US"/>
        </w:rPr>
        <w:t xml:space="preserve">The table reports </w:t>
      </w:r>
      <w:r>
        <w:rPr>
          <w:sz w:val="20"/>
          <w:szCs w:val="20"/>
          <w:lang w:val="en-US"/>
        </w:rPr>
        <w:t>the second stage regression for instrumental variable</w:t>
      </w:r>
      <w:r w:rsidRPr="00DC68DD">
        <w:rPr>
          <w:sz w:val="20"/>
          <w:szCs w:val="20"/>
          <w:lang w:val="en-US"/>
        </w:rPr>
        <w:t xml:space="preserve"> two-stage least squares (IV-2SLS) regressions</w:t>
      </w:r>
      <w:r w:rsidRPr="00DC68DD" w:rsidDel="00125C74">
        <w:rPr>
          <w:sz w:val="20"/>
          <w:szCs w:val="20"/>
          <w:lang w:val="en-US"/>
        </w:rPr>
        <w:t xml:space="preserve"> </w:t>
      </w:r>
      <w:r w:rsidRPr="00DC68DD">
        <w:rPr>
          <w:sz w:val="20"/>
          <w:szCs w:val="20"/>
          <w:lang w:val="en-US"/>
        </w:rPr>
        <w:t xml:space="preserve">predicting the at-issue credit spread of </w:t>
      </w:r>
      <w:r>
        <w:rPr>
          <w:sz w:val="20"/>
          <w:szCs w:val="20"/>
          <w:lang w:val="en-US"/>
        </w:rPr>
        <w:t>2,905</w:t>
      </w:r>
      <w:r w:rsidRPr="00DC68DD">
        <w:rPr>
          <w:sz w:val="20"/>
          <w:szCs w:val="20"/>
          <w:lang w:val="en-US"/>
        </w:rPr>
        <w:t xml:space="preserve"> euro-denominated public bond tranches issued by </w:t>
      </w:r>
      <w:r>
        <w:rPr>
          <w:sz w:val="20"/>
          <w:szCs w:val="20"/>
          <w:lang w:val="en-US"/>
        </w:rPr>
        <w:t>348</w:t>
      </w:r>
      <w:r w:rsidRPr="00DC68DD">
        <w:rPr>
          <w:sz w:val="20"/>
          <w:szCs w:val="20"/>
          <w:lang w:val="en-US"/>
        </w:rPr>
        <w:t xml:space="preserve"> Western European firms during 2001-20</w:t>
      </w:r>
      <w:r>
        <w:rPr>
          <w:sz w:val="20"/>
          <w:szCs w:val="20"/>
          <w:lang w:val="en-US"/>
        </w:rPr>
        <w:t>20</w:t>
      </w:r>
      <w:r w:rsidRPr="00DC68DD">
        <w:rPr>
          <w:sz w:val="20"/>
          <w:szCs w:val="20"/>
          <w:lang w:val="en-US"/>
        </w:rPr>
        <w:t xml:space="preserve">. </w:t>
      </w:r>
      <w:r>
        <w:rPr>
          <w:sz w:val="20"/>
          <w:szCs w:val="20"/>
          <w:lang w:val="en-US"/>
        </w:rPr>
        <w:t xml:space="preserve">First stage regressions predict the proportion of non-domestic bookrunners and vary with the instrumental variable described for each regression model below. </w:t>
      </w:r>
      <w:r w:rsidRPr="00DC68DD">
        <w:rPr>
          <w:sz w:val="20"/>
          <w:szCs w:val="20"/>
          <w:lang w:val="en-US"/>
        </w:rPr>
        <w:t xml:space="preserve">All variables are defined in Table 1. </w:t>
      </w:r>
      <w:r>
        <w:rPr>
          <w:sz w:val="20"/>
          <w:szCs w:val="20"/>
          <w:lang w:val="en-US"/>
        </w:rPr>
        <w:t>S</w:t>
      </w:r>
      <w:r w:rsidRPr="00DC68DD">
        <w:rPr>
          <w:sz w:val="20"/>
          <w:szCs w:val="20"/>
          <w:lang w:val="en-US"/>
        </w:rPr>
        <w:t xml:space="preserve">tandard errors </w:t>
      </w:r>
      <w:r>
        <w:rPr>
          <w:sz w:val="20"/>
          <w:szCs w:val="20"/>
          <w:lang w:val="en-US"/>
        </w:rPr>
        <w:t xml:space="preserve">clustered at the firm and year level </w:t>
      </w:r>
      <w:r w:rsidRPr="00DC68DD">
        <w:rPr>
          <w:sz w:val="20"/>
          <w:szCs w:val="20"/>
          <w:lang w:val="en-US"/>
        </w:rPr>
        <w:t xml:space="preserve">are reported in parenthesis. </w:t>
      </w:r>
      <w:r w:rsidRPr="00DC68DD">
        <w:rPr>
          <w:color w:val="000000"/>
          <w:sz w:val="20"/>
          <w:szCs w:val="20"/>
          <w:lang w:val="en-US" w:eastAsia="en-GB"/>
        </w:rPr>
        <w:t>***</w:t>
      </w:r>
      <w:r w:rsidRPr="00DC68DD">
        <w:rPr>
          <w:color w:val="000000"/>
          <w:sz w:val="20"/>
          <w:szCs w:val="20"/>
          <w:lang w:val="en-US"/>
        </w:rPr>
        <w:t>, **, and * denote significance at the 1%, 5%, and 10% levels respectively.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1397"/>
        <w:gridCol w:w="1397"/>
        <w:gridCol w:w="1397"/>
        <w:gridCol w:w="1038"/>
        <w:gridCol w:w="1244"/>
      </w:tblGrid>
      <w:tr w:rsidR="001631C6" w:rsidRPr="00E740C2" w14:paraId="115F231F" w14:textId="77777777" w:rsidTr="008F5322">
        <w:tc>
          <w:tcPr>
            <w:tcW w:w="1414" w:type="pct"/>
            <w:tcBorders>
              <w:bottom w:val="nil"/>
            </w:tcBorders>
          </w:tcPr>
          <w:p w14:paraId="16044B41" w14:textId="77777777" w:rsidR="001631C6" w:rsidRPr="00E740C2" w:rsidRDefault="001631C6" w:rsidP="008F5322">
            <w:pPr>
              <w:rPr>
                <w:sz w:val="20"/>
                <w:szCs w:val="20"/>
                <w:lang w:val="en-US"/>
              </w:rPr>
            </w:pPr>
          </w:p>
        </w:tc>
        <w:tc>
          <w:tcPr>
            <w:tcW w:w="774" w:type="pct"/>
            <w:tcBorders>
              <w:top w:val="single" w:sz="4" w:space="0" w:color="auto"/>
              <w:bottom w:val="single" w:sz="4" w:space="0" w:color="auto"/>
            </w:tcBorders>
            <w:vAlign w:val="center"/>
          </w:tcPr>
          <w:p w14:paraId="3DC7CC43" w14:textId="77777777" w:rsidR="001631C6" w:rsidRPr="00E740C2" w:rsidRDefault="001631C6" w:rsidP="008F5322">
            <w:pPr>
              <w:jc w:val="center"/>
              <w:rPr>
                <w:sz w:val="20"/>
                <w:szCs w:val="20"/>
                <w:lang w:val="en-US"/>
              </w:rPr>
            </w:pPr>
            <w:r w:rsidRPr="00E740C2">
              <w:rPr>
                <w:bCs/>
                <w:color w:val="000000"/>
                <w:sz w:val="20"/>
                <w:szCs w:val="20"/>
                <w:lang w:val="en-US" w:eastAsia="en-GB"/>
              </w:rPr>
              <w:t>Model 1</w:t>
            </w:r>
          </w:p>
        </w:tc>
        <w:tc>
          <w:tcPr>
            <w:tcW w:w="774" w:type="pct"/>
            <w:tcBorders>
              <w:top w:val="single" w:sz="4" w:space="0" w:color="auto"/>
              <w:bottom w:val="single" w:sz="4" w:space="0" w:color="auto"/>
            </w:tcBorders>
            <w:vAlign w:val="center"/>
          </w:tcPr>
          <w:p w14:paraId="34F40367" w14:textId="77777777" w:rsidR="001631C6" w:rsidRPr="00E740C2" w:rsidRDefault="001631C6" w:rsidP="008F5322">
            <w:pPr>
              <w:jc w:val="center"/>
              <w:rPr>
                <w:sz w:val="20"/>
                <w:szCs w:val="20"/>
                <w:lang w:val="en-US"/>
              </w:rPr>
            </w:pPr>
            <w:r w:rsidRPr="00E740C2">
              <w:rPr>
                <w:bCs/>
                <w:color w:val="000000"/>
                <w:sz w:val="20"/>
                <w:szCs w:val="20"/>
                <w:lang w:val="en-US" w:eastAsia="en-GB"/>
              </w:rPr>
              <w:t>Model 2</w:t>
            </w:r>
          </w:p>
        </w:tc>
        <w:tc>
          <w:tcPr>
            <w:tcW w:w="774" w:type="pct"/>
            <w:tcBorders>
              <w:top w:val="single" w:sz="4" w:space="0" w:color="auto"/>
              <w:bottom w:val="single" w:sz="4" w:space="0" w:color="auto"/>
            </w:tcBorders>
            <w:vAlign w:val="center"/>
          </w:tcPr>
          <w:p w14:paraId="103350D3" w14:textId="77777777" w:rsidR="001631C6" w:rsidRPr="00E740C2" w:rsidRDefault="001631C6" w:rsidP="008F5322">
            <w:pPr>
              <w:jc w:val="center"/>
              <w:rPr>
                <w:sz w:val="20"/>
                <w:szCs w:val="20"/>
                <w:lang w:val="en-US"/>
              </w:rPr>
            </w:pPr>
            <w:r w:rsidRPr="00E740C2">
              <w:rPr>
                <w:bCs/>
                <w:color w:val="000000"/>
                <w:sz w:val="20"/>
                <w:szCs w:val="20"/>
                <w:lang w:val="en-US" w:eastAsia="en-GB"/>
              </w:rPr>
              <w:t>Model 3</w:t>
            </w:r>
          </w:p>
        </w:tc>
        <w:tc>
          <w:tcPr>
            <w:tcW w:w="575" w:type="pct"/>
            <w:tcBorders>
              <w:top w:val="single" w:sz="4" w:space="0" w:color="auto"/>
              <w:bottom w:val="single" w:sz="4" w:space="0" w:color="auto"/>
            </w:tcBorders>
            <w:vAlign w:val="center"/>
          </w:tcPr>
          <w:p w14:paraId="1BB0704B" w14:textId="77777777" w:rsidR="001631C6" w:rsidRPr="00E740C2" w:rsidRDefault="001631C6" w:rsidP="008F5322">
            <w:pPr>
              <w:jc w:val="center"/>
              <w:rPr>
                <w:sz w:val="20"/>
                <w:szCs w:val="20"/>
                <w:lang w:val="en-US"/>
              </w:rPr>
            </w:pPr>
            <w:r w:rsidRPr="00E740C2">
              <w:rPr>
                <w:bCs/>
                <w:color w:val="000000"/>
                <w:sz w:val="20"/>
                <w:szCs w:val="20"/>
                <w:lang w:val="en-US" w:eastAsia="en-GB"/>
              </w:rPr>
              <w:t>Model 4</w:t>
            </w:r>
          </w:p>
        </w:tc>
        <w:tc>
          <w:tcPr>
            <w:tcW w:w="689" w:type="pct"/>
            <w:tcBorders>
              <w:top w:val="single" w:sz="4" w:space="0" w:color="auto"/>
              <w:bottom w:val="single" w:sz="4" w:space="0" w:color="auto"/>
            </w:tcBorders>
            <w:vAlign w:val="center"/>
          </w:tcPr>
          <w:p w14:paraId="5AD0A537" w14:textId="77777777" w:rsidR="001631C6" w:rsidRPr="00E740C2" w:rsidRDefault="001631C6" w:rsidP="008F5322">
            <w:pPr>
              <w:jc w:val="center"/>
              <w:rPr>
                <w:sz w:val="20"/>
                <w:szCs w:val="20"/>
                <w:lang w:val="en-US"/>
              </w:rPr>
            </w:pPr>
            <w:r w:rsidRPr="00E740C2">
              <w:rPr>
                <w:bCs/>
                <w:color w:val="000000"/>
                <w:sz w:val="20"/>
                <w:szCs w:val="20"/>
                <w:lang w:val="en-US" w:eastAsia="en-GB"/>
              </w:rPr>
              <w:t>Model 5</w:t>
            </w:r>
          </w:p>
        </w:tc>
      </w:tr>
      <w:tr w:rsidR="001631C6" w:rsidRPr="00E740C2" w14:paraId="0FF2CCA5" w14:textId="77777777" w:rsidTr="008F5322">
        <w:tc>
          <w:tcPr>
            <w:tcW w:w="1414" w:type="pct"/>
            <w:tcBorders>
              <w:top w:val="nil"/>
              <w:bottom w:val="single" w:sz="4" w:space="0" w:color="auto"/>
            </w:tcBorders>
            <w:vAlign w:val="center"/>
          </w:tcPr>
          <w:p w14:paraId="09D32492" w14:textId="77777777" w:rsidR="001631C6" w:rsidRPr="00E740C2" w:rsidRDefault="001631C6" w:rsidP="008F5322">
            <w:pPr>
              <w:rPr>
                <w:sz w:val="20"/>
                <w:szCs w:val="20"/>
                <w:lang w:val="en-US"/>
              </w:rPr>
            </w:pPr>
            <w:r w:rsidRPr="00E740C2">
              <w:rPr>
                <w:sz w:val="20"/>
                <w:szCs w:val="20"/>
                <w:lang w:val="en-US"/>
              </w:rPr>
              <w:t>First stage instrumental variable</w:t>
            </w:r>
          </w:p>
        </w:tc>
        <w:tc>
          <w:tcPr>
            <w:tcW w:w="774" w:type="pct"/>
            <w:tcBorders>
              <w:top w:val="single" w:sz="4" w:space="0" w:color="auto"/>
              <w:bottom w:val="single" w:sz="4" w:space="0" w:color="auto"/>
            </w:tcBorders>
            <w:vAlign w:val="center"/>
          </w:tcPr>
          <w:p w14:paraId="042EB362" w14:textId="77777777" w:rsidR="001631C6" w:rsidRPr="00E740C2" w:rsidRDefault="001631C6" w:rsidP="008F5322">
            <w:pPr>
              <w:jc w:val="center"/>
              <w:rPr>
                <w:color w:val="000000"/>
                <w:sz w:val="20"/>
                <w:szCs w:val="20"/>
                <w:lang w:val="en-US" w:eastAsia="en-GB"/>
              </w:rPr>
            </w:pPr>
            <w:r w:rsidRPr="00E740C2">
              <w:rPr>
                <w:color w:val="000000"/>
                <w:sz w:val="20"/>
                <w:szCs w:val="20"/>
                <w:lang w:val="en-US" w:eastAsia="en-GB"/>
              </w:rPr>
              <w:t>Ln (No. of bonds), t-1</w:t>
            </w:r>
          </w:p>
        </w:tc>
        <w:tc>
          <w:tcPr>
            <w:tcW w:w="774" w:type="pct"/>
            <w:tcBorders>
              <w:top w:val="single" w:sz="4" w:space="0" w:color="auto"/>
              <w:bottom w:val="single" w:sz="4" w:space="0" w:color="auto"/>
            </w:tcBorders>
            <w:vAlign w:val="center"/>
          </w:tcPr>
          <w:p w14:paraId="0EA46EE0" w14:textId="77777777" w:rsidR="001631C6" w:rsidRPr="00E740C2" w:rsidRDefault="001631C6" w:rsidP="008F5322">
            <w:pPr>
              <w:jc w:val="center"/>
              <w:rPr>
                <w:color w:val="000000"/>
                <w:sz w:val="20"/>
                <w:szCs w:val="20"/>
                <w:lang w:val="en-US" w:eastAsia="en-GB"/>
              </w:rPr>
            </w:pPr>
            <w:r w:rsidRPr="00E740C2">
              <w:rPr>
                <w:color w:val="000000"/>
                <w:sz w:val="20"/>
                <w:szCs w:val="20"/>
                <w:lang w:val="en-US" w:eastAsia="en-GB"/>
              </w:rPr>
              <w:t>Ln (No. of bonds), t-2</w:t>
            </w:r>
          </w:p>
        </w:tc>
        <w:tc>
          <w:tcPr>
            <w:tcW w:w="774" w:type="pct"/>
            <w:tcBorders>
              <w:top w:val="single" w:sz="4" w:space="0" w:color="auto"/>
              <w:bottom w:val="single" w:sz="4" w:space="0" w:color="auto"/>
            </w:tcBorders>
            <w:vAlign w:val="center"/>
          </w:tcPr>
          <w:p w14:paraId="553E4AA9" w14:textId="77777777" w:rsidR="001631C6" w:rsidRPr="00E740C2" w:rsidRDefault="001631C6" w:rsidP="008F5322">
            <w:pPr>
              <w:jc w:val="center"/>
              <w:rPr>
                <w:color w:val="000000"/>
                <w:sz w:val="20"/>
                <w:szCs w:val="20"/>
                <w:lang w:val="en-US" w:eastAsia="en-GB"/>
              </w:rPr>
            </w:pPr>
            <w:r w:rsidRPr="00E740C2">
              <w:rPr>
                <w:color w:val="000000"/>
                <w:sz w:val="20"/>
                <w:szCs w:val="20"/>
                <w:lang w:val="en-US" w:eastAsia="en-GB"/>
              </w:rPr>
              <w:t>Ln (No. of bonds), t-3</w:t>
            </w:r>
          </w:p>
        </w:tc>
        <w:tc>
          <w:tcPr>
            <w:tcW w:w="575" w:type="pct"/>
            <w:tcBorders>
              <w:top w:val="single" w:sz="4" w:space="0" w:color="auto"/>
              <w:bottom w:val="single" w:sz="4" w:space="0" w:color="auto"/>
            </w:tcBorders>
            <w:vAlign w:val="center"/>
          </w:tcPr>
          <w:p w14:paraId="51C31394" w14:textId="77777777" w:rsidR="001631C6" w:rsidRPr="00E740C2" w:rsidRDefault="001631C6" w:rsidP="008F5322">
            <w:pPr>
              <w:jc w:val="center"/>
              <w:rPr>
                <w:color w:val="000000"/>
                <w:sz w:val="20"/>
                <w:szCs w:val="20"/>
                <w:lang w:val="en-US" w:eastAsia="en-GB"/>
              </w:rPr>
            </w:pPr>
            <w:r w:rsidRPr="00E740C2">
              <w:rPr>
                <w:color w:val="000000"/>
                <w:sz w:val="20"/>
                <w:szCs w:val="20"/>
                <w:lang w:val="en-US" w:eastAsia="en-GB"/>
              </w:rPr>
              <w:t>No. of loans</w:t>
            </w:r>
          </w:p>
        </w:tc>
        <w:tc>
          <w:tcPr>
            <w:tcW w:w="689" w:type="pct"/>
            <w:tcBorders>
              <w:top w:val="single" w:sz="4" w:space="0" w:color="auto"/>
              <w:bottom w:val="single" w:sz="4" w:space="0" w:color="auto"/>
            </w:tcBorders>
            <w:vAlign w:val="center"/>
          </w:tcPr>
          <w:p w14:paraId="43D2FAF8" w14:textId="77777777" w:rsidR="001631C6" w:rsidRPr="00E740C2" w:rsidRDefault="001631C6" w:rsidP="008F5322">
            <w:pPr>
              <w:jc w:val="center"/>
              <w:rPr>
                <w:color w:val="000000"/>
                <w:sz w:val="20"/>
                <w:szCs w:val="20"/>
                <w:lang w:val="en-US" w:eastAsia="en-GB"/>
              </w:rPr>
            </w:pPr>
            <w:r w:rsidRPr="00E740C2">
              <w:rPr>
                <w:color w:val="000000"/>
                <w:sz w:val="20"/>
                <w:szCs w:val="20"/>
                <w:lang w:val="en-US" w:eastAsia="en-GB"/>
              </w:rPr>
              <w:t>No. of debt issues</w:t>
            </w:r>
          </w:p>
        </w:tc>
      </w:tr>
      <w:tr w:rsidR="001631C6" w:rsidRPr="00E740C2" w14:paraId="6A7ED92F" w14:textId="77777777" w:rsidTr="008F5322">
        <w:tc>
          <w:tcPr>
            <w:tcW w:w="1414" w:type="pct"/>
            <w:vMerge w:val="restart"/>
            <w:vAlign w:val="center"/>
          </w:tcPr>
          <w:p w14:paraId="70A19388" w14:textId="77777777" w:rsidR="001631C6" w:rsidRPr="00E740C2" w:rsidRDefault="001631C6" w:rsidP="008F5322">
            <w:pPr>
              <w:rPr>
                <w:sz w:val="20"/>
                <w:szCs w:val="20"/>
                <w:lang w:val="en-US"/>
              </w:rPr>
            </w:pPr>
            <w:r w:rsidRPr="00E740C2">
              <w:rPr>
                <w:bCs/>
                <w:color w:val="000000"/>
                <w:sz w:val="20"/>
                <w:szCs w:val="20"/>
                <w:lang w:val="en-US" w:eastAsia="en-GB"/>
              </w:rPr>
              <w:t>% of Non-domestic BRs</w:t>
            </w:r>
          </w:p>
        </w:tc>
        <w:tc>
          <w:tcPr>
            <w:tcW w:w="774" w:type="pct"/>
          </w:tcPr>
          <w:p w14:paraId="01A5AE17" w14:textId="77777777" w:rsidR="001631C6" w:rsidRPr="00E740C2" w:rsidRDefault="001631C6" w:rsidP="008F5322">
            <w:pPr>
              <w:jc w:val="center"/>
              <w:rPr>
                <w:sz w:val="20"/>
                <w:szCs w:val="20"/>
              </w:rPr>
            </w:pPr>
            <w:r w:rsidRPr="00E740C2">
              <w:rPr>
                <w:sz w:val="20"/>
                <w:szCs w:val="20"/>
              </w:rPr>
              <w:t>1.893***</w:t>
            </w:r>
          </w:p>
        </w:tc>
        <w:tc>
          <w:tcPr>
            <w:tcW w:w="774" w:type="pct"/>
          </w:tcPr>
          <w:p w14:paraId="4C144833" w14:textId="77777777" w:rsidR="001631C6" w:rsidRPr="00E740C2" w:rsidRDefault="001631C6" w:rsidP="008F5322">
            <w:pPr>
              <w:jc w:val="center"/>
              <w:rPr>
                <w:sz w:val="20"/>
                <w:szCs w:val="20"/>
              </w:rPr>
            </w:pPr>
            <w:r w:rsidRPr="00E740C2">
              <w:rPr>
                <w:sz w:val="20"/>
                <w:szCs w:val="20"/>
              </w:rPr>
              <w:t>2.101***</w:t>
            </w:r>
          </w:p>
        </w:tc>
        <w:tc>
          <w:tcPr>
            <w:tcW w:w="774" w:type="pct"/>
          </w:tcPr>
          <w:p w14:paraId="4122ADEF" w14:textId="77777777" w:rsidR="001631C6" w:rsidRPr="00E740C2" w:rsidRDefault="001631C6" w:rsidP="008F5322">
            <w:pPr>
              <w:jc w:val="center"/>
              <w:rPr>
                <w:sz w:val="20"/>
                <w:szCs w:val="20"/>
              </w:rPr>
            </w:pPr>
            <w:r w:rsidRPr="00E740C2">
              <w:rPr>
                <w:sz w:val="20"/>
                <w:szCs w:val="20"/>
              </w:rPr>
              <w:t>1.808***</w:t>
            </w:r>
          </w:p>
        </w:tc>
        <w:tc>
          <w:tcPr>
            <w:tcW w:w="575" w:type="pct"/>
          </w:tcPr>
          <w:p w14:paraId="6A779438" w14:textId="77777777" w:rsidR="001631C6" w:rsidRPr="00855C12" w:rsidRDefault="001631C6" w:rsidP="008F5322">
            <w:pPr>
              <w:jc w:val="center"/>
              <w:rPr>
                <w:sz w:val="20"/>
                <w:szCs w:val="20"/>
              </w:rPr>
            </w:pPr>
            <w:r w:rsidRPr="00855C12">
              <w:rPr>
                <w:sz w:val="20"/>
                <w:szCs w:val="20"/>
              </w:rPr>
              <w:t>1.808***</w:t>
            </w:r>
          </w:p>
        </w:tc>
        <w:tc>
          <w:tcPr>
            <w:tcW w:w="689" w:type="pct"/>
          </w:tcPr>
          <w:p w14:paraId="087E25DA" w14:textId="77777777" w:rsidR="001631C6" w:rsidRPr="00855C12" w:rsidRDefault="001631C6" w:rsidP="008F5322">
            <w:pPr>
              <w:jc w:val="center"/>
              <w:rPr>
                <w:sz w:val="20"/>
                <w:szCs w:val="20"/>
              </w:rPr>
            </w:pPr>
            <w:r w:rsidRPr="00855C12">
              <w:rPr>
                <w:sz w:val="20"/>
                <w:szCs w:val="20"/>
              </w:rPr>
              <w:t>1.599***</w:t>
            </w:r>
          </w:p>
        </w:tc>
      </w:tr>
      <w:tr w:rsidR="001631C6" w:rsidRPr="00E740C2" w14:paraId="573413C0" w14:textId="77777777" w:rsidTr="008F5322">
        <w:tc>
          <w:tcPr>
            <w:tcW w:w="1414" w:type="pct"/>
            <w:vMerge/>
            <w:vAlign w:val="center"/>
          </w:tcPr>
          <w:p w14:paraId="1F5EDABC" w14:textId="77777777" w:rsidR="001631C6" w:rsidRPr="00E740C2" w:rsidRDefault="001631C6" w:rsidP="008F5322">
            <w:pPr>
              <w:rPr>
                <w:sz w:val="20"/>
                <w:szCs w:val="20"/>
                <w:lang w:val="en-US"/>
              </w:rPr>
            </w:pPr>
          </w:p>
        </w:tc>
        <w:tc>
          <w:tcPr>
            <w:tcW w:w="774" w:type="pct"/>
          </w:tcPr>
          <w:p w14:paraId="14FA1F0A" w14:textId="77777777" w:rsidR="001631C6" w:rsidRPr="00E740C2" w:rsidRDefault="001631C6" w:rsidP="008F5322">
            <w:pPr>
              <w:jc w:val="center"/>
              <w:rPr>
                <w:sz w:val="20"/>
                <w:szCs w:val="20"/>
              </w:rPr>
            </w:pPr>
            <w:r w:rsidRPr="00E740C2">
              <w:rPr>
                <w:sz w:val="20"/>
                <w:szCs w:val="20"/>
              </w:rPr>
              <w:t>(0.452)</w:t>
            </w:r>
          </w:p>
        </w:tc>
        <w:tc>
          <w:tcPr>
            <w:tcW w:w="774" w:type="pct"/>
          </w:tcPr>
          <w:p w14:paraId="5A8573B6" w14:textId="77777777" w:rsidR="001631C6" w:rsidRPr="00E740C2" w:rsidRDefault="001631C6" w:rsidP="008F5322">
            <w:pPr>
              <w:jc w:val="center"/>
              <w:rPr>
                <w:sz w:val="20"/>
                <w:szCs w:val="20"/>
              </w:rPr>
            </w:pPr>
            <w:r w:rsidRPr="00E740C2">
              <w:rPr>
                <w:sz w:val="20"/>
                <w:szCs w:val="20"/>
              </w:rPr>
              <w:t>(0.602)</w:t>
            </w:r>
          </w:p>
        </w:tc>
        <w:tc>
          <w:tcPr>
            <w:tcW w:w="774" w:type="pct"/>
          </w:tcPr>
          <w:p w14:paraId="4CB4E5FB" w14:textId="77777777" w:rsidR="001631C6" w:rsidRPr="00E740C2" w:rsidRDefault="001631C6" w:rsidP="008F5322">
            <w:pPr>
              <w:jc w:val="center"/>
              <w:rPr>
                <w:sz w:val="20"/>
                <w:szCs w:val="20"/>
              </w:rPr>
            </w:pPr>
            <w:r w:rsidRPr="00E740C2">
              <w:rPr>
                <w:sz w:val="20"/>
                <w:szCs w:val="20"/>
              </w:rPr>
              <w:t>(0.612)</w:t>
            </w:r>
          </w:p>
        </w:tc>
        <w:tc>
          <w:tcPr>
            <w:tcW w:w="575" w:type="pct"/>
          </w:tcPr>
          <w:p w14:paraId="52E7B85B" w14:textId="77777777" w:rsidR="001631C6" w:rsidRPr="00855C12" w:rsidRDefault="001631C6" w:rsidP="008F5322">
            <w:pPr>
              <w:jc w:val="center"/>
              <w:rPr>
                <w:sz w:val="20"/>
                <w:szCs w:val="20"/>
              </w:rPr>
            </w:pPr>
            <w:r w:rsidRPr="00855C12">
              <w:rPr>
                <w:sz w:val="20"/>
                <w:szCs w:val="20"/>
              </w:rPr>
              <w:t>(0.561)</w:t>
            </w:r>
          </w:p>
        </w:tc>
        <w:tc>
          <w:tcPr>
            <w:tcW w:w="689" w:type="pct"/>
          </w:tcPr>
          <w:p w14:paraId="1E9863A9" w14:textId="77777777" w:rsidR="001631C6" w:rsidRPr="00855C12" w:rsidRDefault="001631C6" w:rsidP="008F5322">
            <w:pPr>
              <w:jc w:val="center"/>
              <w:rPr>
                <w:sz w:val="20"/>
                <w:szCs w:val="20"/>
              </w:rPr>
            </w:pPr>
            <w:r w:rsidRPr="00855C12">
              <w:rPr>
                <w:sz w:val="20"/>
                <w:szCs w:val="20"/>
              </w:rPr>
              <w:t>(0.482)</w:t>
            </w:r>
          </w:p>
        </w:tc>
      </w:tr>
      <w:tr w:rsidR="001631C6" w:rsidRPr="00E740C2" w14:paraId="50ED0F3F" w14:textId="77777777" w:rsidTr="008F5322">
        <w:tc>
          <w:tcPr>
            <w:tcW w:w="1414" w:type="pct"/>
            <w:vAlign w:val="center"/>
          </w:tcPr>
          <w:p w14:paraId="03E67FED" w14:textId="77777777" w:rsidR="001631C6" w:rsidRPr="00E740C2" w:rsidRDefault="001631C6" w:rsidP="008F5322">
            <w:pPr>
              <w:rPr>
                <w:sz w:val="20"/>
                <w:szCs w:val="20"/>
                <w:lang w:val="en-US"/>
              </w:rPr>
            </w:pPr>
          </w:p>
        </w:tc>
        <w:tc>
          <w:tcPr>
            <w:tcW w:w="774" w:type="pct"/>
          </w:tcPr>
          <w:p w14:paraId="3CC64C0A" w14:textId="77777777" w:rsidR="001631C6" w:rsidRPr="00E740C2" w:rsidRDefault="001631C6" w:rsidP="008F5322">
            <w:pPr>
              <w:jc w:val="center"/>
              <w:rPr>
                <w:sz w:val="20"/>
                <w:szCs w:val="20"/>
              </w:rPr>
            </w:pPr>
          </w:p>
        </w:tc>
        <w:tc>
          <w:tcPr>
            <w:tcW w:w="774" w:type="pct"/>
          </w:tcPr>
          <w:p w14:paraId="1E5FE42A" w14:textId="77777777" w:rsidR="001631C6" w:rsidRPr="00E740C2" w:rsidRDefault="001631C6" w:rsidP="008F5322">
            <w:pPr>
              <w:jc w:val="center"/>
              <w:rPr>
                <w:sz w:val="20"/>
                <w:szCs w:val="20"/>
              </w:rPr>
            </w:pPr>
          </w:p>
        </w:tc>
        <w:tc>
          <w:tcPr>
            <w:tcW w:w="774" w:type="pct"/>
          </w:tcPr>
          <w:p w14:paraId="5FC0F280" w14:textId="77777777" w:rsidR="001631C6" w:rsidRPr="00E740C2" w:rsidRDefault="001631C6" w:rsidP="008F5322">
            <w:pPr>
              <w:jc w:val="center"/>
              <w:rPr>
                <w:sz w:val="20"/>
                <w:szCs w:val="20"/>
              </w:rPr>
            </w:pPr>
          </w:p>
        </w:tc>
        <w:tc>
          <w:tcPr>
            <w:tcW w:w="575" w:type="pct"/>
          </w:tcPr>
          <w:p w14:paraId="08241123" w14:textId="77777777" w:rsidR="001631C6" w:rsidRPr="00855C12" w:rsidRDefault="001631C6" w:rsidP="008F5322">
            <w:pPr>
              <w:jc w:val="center"/>
              <w:rPr>
                <w:sz w:val="20"/>
                <w:szCs w:val="20"/>
              </w:rPr>
            </w:pPr>
          </w:p>
        </w:tc>
        <w:tc>
          <w:tcPr>
            <w:tcW w:w="689" w:type="pct"/>
          </w:tcPr>
          <w:p w14:paraId="6AB2301F" w14:textId="77777777" w:rsidR="001631C6" w:rsidRPr="00855C12" w:rsidRDefault="001631C6" w:rsidP="008F5322">
            <w:pPr>
              <w:jc w:val="center"/>
              <w:rPr>
                <w:sz w:val="20"/>
                <w:szCs w:val="20"/>
              </w:rPr>
            </w:pPr>
          </w:p>
        </w:tc>
      </w:tr>
      <w:tr w:rsidR="001631C6" w:rsidRPr="00E740C2" w14:paraId="1EB9FFC2" w14:textId="77777777" w:rsidTr="008F5322">
        <w:tc>
          <w:tcPr>
            <w:tcW w:w="1414" w:type="pct"/>
            <w:vMerge w:val="restart"/>
            <w:vAlign w:val="center"/>
          </w:tcPr>
          <w:p w14:paraId="316EB2A3" w14:textId="77777777" w:rsidR="001631C6" w:rsidRPr="00E740C2" w:rsidRDefault="001631C6" w:rsidP="008F5322">
            <w:pPr>
              <w:rPr>
                <w:sz w:val="20"/>
                <w:szCs w:val="20"/>
                <w:lang w:val="en-US"/>
              </w:rPr>
            </w:pPr>
            <w:r w:rsidRPr="00E740C2">
              <w:rPr>
                <w:sz w:val="20"/>
                <w:szCs w:val="20"/>
                <w:lang w:val="en-US"/>
              </w:rPr>
              <w:t>Constant</w:t>
            </w:r>
          </w:p>
        </w:tc>
        <w:tc>
          <w:tcPr>
            <w:tcW w:w="774" w:type="pct"/>
          </w:tcPr>
          <w:p w14:paraId="7EC7ED61" w14:textId="77777777" w:rsidR="001631C6" w:rsidRPr="00E740C2" w:rsidRDefault="001631C6" w:rsidP="008F5322">
            <w:pPr>
              <w:jc w:val="center"/>
              <w:rPr>
                <w:sz w:val="20"/>
                <w:szCs w:val="20"/>
              </w:rPr>
            </w:pPr>
            <w:r w:rsidRPr="00E740C2">
              <w:rPr>
                <w:sz w:val="20"/>
                <w:szCs w:val="20"/>
              </w:rPr>
              <w:t>-0.257</w:t>
            </w:r>
          </w:p>
        </w:tc>
        <w:tc>
          <w:tcPr>
            <w:tcW w:w="774" w:type="pct"/>
          </w:tcPr>
          <w:p w14:paraId="56EA9E18" w14:textId="77777777" w:rsidR="001631C6" w:rsidRPr="00E740C2" w:rsidRDefault="001631C6" w:rsidP="008F5322">
            <w:pPr>
              <w:jc w:val="center"/>
              <w:rPr>
                <w:sz w:val="20"/>
                <w:szCs w:val="20"/>
              </w:rPr>
            </w:pPr>
            <w:r w:rsidRPr="00E740C2">
              <w:rPr>
                <w:sz w:val="20"/>
                <w:szCs w:val="20"/>
              </w:rPr>
              <w:t>-0.272</w:t>
            </w:r>
          </w:p>
        </w:tc>
        <w:tc>
          <w:tcPr>
            <w:tcW w:w="774" w:type="pct"/>
          </w:tcPr>
          <w:p w14:paraId="01BFE24D" w14:textId="77777777" w:rsidR="001631C6" w:rsidRPr="00E740C2" w:rsidRDefault="001631C6" w:rsidP="008F5322">
            <w:pPr>
              <w:jc w:val="center"/>
              <w:rPr>
                <w:sz w:val="20"/>
                <w:szCs w:val="20"/>
              </w:rPr>
            </w:pPr>
            <w:r w:rsidRPr="00E740C2">
              <w:rPr>
                <w:sz w:val="20"/>
                <w:szCs w:val="20"/>
              </w:rPr>
              <w:t>-0.250</w:t>
            </w:r>
          </w:p>
        </w:tc>
        <w:tc>
          <w:tcPr>
            <w:tcW w:w="575" w:type="pct"/>
          </w:tcPr>
          <w:p w14:paraId="395966CF" w14:textId="77777777" w:rsidR="001631C6" w:rsidRPr="00855C12" w:rsidRDefault="001631C6" w:rsidP="008F5322">
            <w:pPr>
              <w:jc w:val="center"/>
              <w:rPr>
                <w:sz w:val="20"/>
                <w:szCs w:val="20"/>
              </w:rPr>
            </w:pPr>
            <w:r w:rsidRPr="00855C12">
              <w:rPr>
                <w:sz w:val="20"/>
                <w:szCs w:val="20"/>
              </w:rPr>
              <w:t>0.369</w:t>
            </w:r>
          </w:p>
        </w:tc>
        <w:tc>
          <w:tcPr>
            <w:tcW w:w="689" w:type="pct"/>
          </w:tcPr>
          <w:p w14:paraId="35C9EDF1" w14:textId="77777777" w:rsidR="001631C6" w:rsidRPr="00855C12" w:rsidRDefault="001631C6" w:rsidP="008F5322">
            <w:pPr>
              <w:jc w:val="center"/>
              <w:rPr>
                <w:sz w:val="20"/>
                <w:szCs w:val="20"/>
              </w:rPr>
            </w:pPr>
            <w:r w:rsidRPr="00855C12">
              <w:rPr>
                <w:sz w:val="20"/>
                <w:szCs w:val="20"/>
              </w:rPr>
              <w:t>-0.217</w:t>
            </w:r>
          </w:p>
        </w:tc>
      </w:tr>
      <w:tr w:rsidR="001631C6" w:rsidRPr="00E740C2" w14:paraId="68AA6CAE" w14:textId="77777777" w:rsidTr="008F5322">
        <w:tc>
          <w:tcPr>
            <w:tcW w:w="1414" w:type="pct"/>
            <w:vMerge/>
            <w:tcBorders>
              <w:bottom w:val="single" w:sz="4" w:space="0" w:color="auto"/>
            </w:tcBorders>
            <w:vAlign w:val="center"/>
          </w:tcPr>
          <w:p w14:paraId="60957AB5" w14:textId="77777777" w:rsidR="001631C6" w:rsidRPr="00E740C2" w:rsidRDefault="001631C6" w:rsidP="008F5322">
            <w:pPr>
              <w:rPr>
                <w:sz w:val="20"/>
                <w:szCs w:val="20"/>
                <w:lang w:val="en-US"/>
              </w:rPr>
            </w:pPr>
          </w:p>
        </w:tc>
        <w:tc>
          <w:tcPr>
            <w:tcW w:w="774" w:type="pct"/>
            <w:tcBorders>
              <w:bottom w:val="single" w:sz="4" w:space="0" w:color="auto"/>
            </w:tcBorders>
          </w:tcPr>
          <w:p w14:paraId="61916BA9" w14:textId="77777777" w:rsidR="001631C6" w:rsidRPr="00E740C2" w:rsidRDefault="001631C6" w:rsidP="008F5322">
            <w:pPr>
              <w:jc w:val="center"/>
              <w:rPr>
                <w:sz w:val="20"/>
                <w:szCs w:val="20"/>
              </w:rPr>
            </w:pPr>
            <w:r w:rsidRPr="00E740C2">
              <w:rPr>
                <w:sz w:val="20"/>
                <w:szCs w:val="20"/>
              </w:rPr>
              <w:t>(0.980)</w:t>
            </w:r>
          </w:p>
        </w:tc>
        <w:tc>
          <w:tcPr>
            <w:tcW w:w="774" w:type="pct"/>
            <w:tcBorders>
              <w:bottom w:val="single" w:sz="4" w:space="0" w:color="auto"/>
            </w:tcBorders>
          </w:tcPr>
          <w:p w14:paraId="22DC208B" w14:textId="77777777" w:rsidR="001631C6" w:rsidRPr="00E740C2" w:rsidRDefault="001631C6" w:rsidP="008F5322">
            <w:pPr>
              <w:jc w:val="center"/>
              <w:rPr>
                <w:sz w:val="20"/>
                <w:szCs w:val="20"/>
              </w:rPr>
            </w:pPr>
            <w:r w:rsidRPr="00E740C2">
              <w:rPr>
                <w:sz w:val="20"/>
                <w:szCs w:val="20"/>
              </w:rPr>
              <w:t>(1.013)</w:t>
            </w:r>
          </w:p>
        </w:tc>
        <w:tc>
          <w:tcPr>
            <w:tcW w:w="774" w:type="pct"/>
            <w:tcBorders>
              <w:bottom w:val="single" w:sz="4" w:space="0" w:color="auto"/>
            </w:tcBorders>
          </w:tcPr>
          <w:p w14:paraId="71D9286B" w14:textId="77777777" w:rsidR="001631C6" w:rsidRPr="00E740C2" w:rsidRDefault="001631C6" w:rsidP="008F5322">
            <w:pPr>
              <w:jc w:val="center"/>
              <w:rPr>
                <w:sz w:val="20"/>
                <w:szCs w:val="20"/>
              </w:rPr>
            </w:pPr>
            <w:r w:rsidRPr="00E740C2">
              <w:rPr>
                <w:sz w:val="20"/>
                <w:szCs w:val="20"/>
              </w:rPr>
              <w:t>(0.969)</w:t>
            </w:r>
          </w:p>
        </w:tc>
        <w:tc>
          <w:tcPr>
            <w:tcW w:w="575" w:type="pct"/>
            <w:tcBorders>
              <w:bottom w:val="single" w:sz="4" w:space="0" w:color="auto"/>
            </w:tcBorders>
          </w:tcPr>
          <w:p w14:paraId="32F08C5B" w14:textId="77777777" w:rsidR="001631C6" w:rsidRPr="00855C12" w:rsidRDefault="001631C6" w:rsidP="008F5322">
            <w:pPr>
              <w:jc w:val="center"/>
              <w:rPr>
                <w:sz w:val="20"/>
                <w:szCs w:val="20"/>
              </w:rPr>
            </w:pPr>
            <w:r w:rsidRPr="00855C12">
              <w:rPr>
                <w:sz w:val="20"/>
                <w:szCs w:val="20"/>
              </w:rPr>
              <w:t>(0.955)</w:t>
            </w:r>
          </w:p>
        </w:tc>
        <w:tc>
          <w:tcPr>
            <w:tcW w:w="689" w:type="pct"/>
            <w:tcBorders>
              <w:bottom w:val="single" w:sz="4" w:space="0" w:color="auto"/>
            </w:tcBorders>
          </w:tcPr>
          <w:p w14:paraId="51453FB9" w14:textId="77777777" w:rsidR="001631C6" w:rsidRPr="00855C12" w:rsidRDefault="001631C6" w:rsidP="008F5322">
            <w:pPr>
              <w:jc w:val="center"/>
              <w:rPr>
                <w:sz w:val="20"/>
                <w:szCs w:val="20"/>
              </w:rPr>
            </w:pPr>
            <w:r w:rsidRPr="00855C12">
              <w:rPr>
                <w:sz w:val="20"/>
                <w:szCs w:val="20"/>
              </w:rPr>
              <w:t>(0.938)</w:t>
            </w:r>
          </w:p>
        </w:tc>
      </w:tr>
      <w:tr w:rsidR="001631C6" w:rsidRPr="00E740C2" w14:paraId="55B22100" w14:textId="77777777" w:rsidTr="008F5322">
        <w:tc>
          <w:tcPr>
            <w:tcW w:w="1414" w:type="pct"/>
            <w:tcBorders>
              <w:top w:val="single" w:sz="4" w:space="0" w:color="auto"/>
              <w:bottom w:val="nil"/>
            </w:tcBorders>
            <w:vAlign w:val="center"/>
          </w:tcPr>
          <w:p w14:paraId="6D182C32" w14:textId="77777777" w:rsidR="001631C6" w:rsidRPr="00E740C2" w:rsidRDefault="001631C6" w:rsidP="008F5322">
            <w:pPr>
              <w:rPr>
                <w:sz w:val="20"/>
                <w:szCs w:val="20"/>
                <w:lang w:val="en-US"/>
              </w:rPr>
            </w:pPr>
            <w:r w:rsidRPr="00E740C2">
              <w:rPr>
                <w:sz w:val="20"/>
                <w:szCs w:val="20"/>
                <w:lang w:val="en-US"/>
              </w:rPr>
              <w:t>Firm and Trance controls</w:t>
            </w:r>
          </w:p>
        </w:tc>
        <w:tc>
          <w:tcPr>
            <w:tcW w:w="774" w:type="pct"/>
            <w:tcBorders>
              <w:top w:val="single" w:sz="4" w:space="0" w:color="auto"/>
              <w:bottom w:val="nil"/>
            </w:tcBorders>
            <w:vAlign w:val="center"/>
          </w:tcPr>
          <w:p w14:paraId="536463F6"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774" w:type="pct"/>
            <w:tcBorders>
              <w:top w:val="single" w:sz="4" w:space="0" w:color="auto"/>
              <w:bottom w:val="nil"/>
            </w:tcBorders>
            <w:vAlign w:val="center"/>
          </w:tcPr>
          <w:p w14:paraId="4D5BC07D"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774" w:type="pct"/>
            <w:tcBorders>
              <w:top w:val="single" w:sz="4" w:space="0" w:color="auto"/>
              <w:bottom w:val="nil"/>
            </w:tcBorders>
            <w:vAlign w:val="center"/>
          </w:tcPr>
          <w:p w14:paraId="53F4595F"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575" w:type="pct"/>
            <w:tcBorders>
              <w:top w:val="single" w:sz="4" w:space="0" w:color="auto"/>
              <w:bottom w:val="nil"/>
            </w:tcBorders>
            <w:vAlign w:val="center"/>
          </w:tcPr>
          <w:p w14:paraId="601562CF"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689" w:type="pct"/>
            <w:tcBorders>
              <w:top w:val="single" w:sz="4" w:space="0" w:color="auto"/>
              <w:bottom w:val="nil"/>
            </w:tcBorders>
            <w:vAlign w:val="center"/>
          </w:tcPr>
          <w:p w14:paraId="2F7C7C1D"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r>
      <w:tr w:rsidR="001631C6" w:rsidRPr="00E740C2" w14:paraId="02CE216E" w14:textId="77777777" w:rsidTr="008F5322">
        <w:tc>
          <w:tcPr>
            <w:tcW w:w="1414" w:type="pct"/>
            <w:tcBorders>
              <w:top w:val="nil"/>
            </w:tcBorders>
            <w:vAlign w:val="center"/>
          </w:tcPr>
          <w:p w14:paraId="2DA8ED3E" w14:textId="77777777" w:rsidR="001631C6" w:rsidRPr="00E740C2" w:rsidRDefault="001631C6" w:rsidP="008F5322">
            <w:pPr>
              <w:rPr>
                <w:color w:val="000000"/>
                <w:sz w:val="20"/>
                <w:szCs w:val="20"/>
                <w:lang w:val="en-US" w:eastAsia="en-GB"/>
              </w:rPr>
            </w:pPr>
            <w:r w:rsidRPr="00E740C2">
              <w:rPr>
                <w:color w:val="000000"/>
                <w:sz w:val="20"/>
                <w:szCs w:val="20"/>
                <w:lang w:val="en-US" w:eastAsia="en-GB"/>
              </w:rPr>
              <w:t>Credit rating, Year, Sector and Country dummies</w:t>
            </w:r>
          </w:p>
        </w:tc>
        <w:tc>
          <w:tcPr>
            <w:tcW w:w="774" w:type="pct"/>
            <w:tcBorders>
              <w:top w:val="nil"/>
            </w:tcBorders>
            <w:vAlign w:val="center"/>
          </w:tcPr>
          <w:p w14:paraId="44A2411C"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774" w:type="pct"/>
            <w:tcBorders>
              <w:top w:val="nil"/>
            </w:tcBorders>
            <w:vAlign w:val="center"/>
          </w:tcPr>
          <w:p w14:paraId="1FA8A3FE"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774" w:type="pct"/>
            <w:tcBorders>
              <w:top w:val="nil"/>
            </w:tcBorders>
            <w:vAlign w:val="center"/>
          </w:tcPr>
          <w:p w14:paraId="23A8126E"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575" w:type="pct"/>
            <w:tcBorders>
              <w:top w:val="nil"/>
            </w:tcBorders>
            <w:vAlign w:val="center"/>
          </w:tcPr>
          <w:p w14:paraId="01D7C08F"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c>
          <w:tcPr>
            <w:tcW w:w="689" w:type="pct"/>
            <w:tcBorders>
              <w:top w:val="nil"/>
            </w:tcBorders>
            <w:vAlign w:val="center"/>
          </w:tcPr>
          <w:p w14:paraId="4D02E313" w14:textId="77777777" w:rsidR="001631C6" w:rsidRPr="00E740C2" w:rsidRDefault="001631C6" w:rsidP="008F5322">
            <w:pPr>
              <w:jc w:val="center"/>
              <w:rPr>
                <w:sz w:val="20"/>
                <w:szCs w:val="20"/>
                <w:lang w:val="en-US"/>
              </w:rPr>
            </w:pPr>
            <w:r w:rsidRPr="00E740C2">
              <w:rPr>
                <w:color w:val="000000"/>
                <w:sz w:val="20"/>
                <w:szCs w:val="20"/>
                <w:lang w:val="en-US" w:eastAsia="en-GB"/>
              </w:rPr>
              <w:t>yes</w:t>
            </w:r>
          </w:p>
        </w:tc>
      </w:tr>
      <w:tr w:rsidR="001631C6" w:rsidRPr="00E740C2" w14:paraId="01B3F73B" w14:textId="77777777" w:rsidTr="008F5322">
        <w:tc>
          <w:tcPr>
            <w:tcW w:w="1414" w:type="pct"/>
            <w:vAlign w:val="center"/>
          </w:tcPr>
          <w:p w14:paraId="38E5350E" w14:textId="77777777" w:rsidR="001631C6" w:rsidRPr="00E740C2" w:rsidRDefault="001631C6" w:rsidP="008F5322">
            <w:pPr>
              <w:rPr>
                <w:color w:val="000000"/>
                <w:sz w:val="20"/>
                <w:szCs w:val="20"/>
                <w:lang w:val="en-US" w:eastAsia="en-GB"/>
              </w:rPr>
            </w:pPr>
            <w:r w:rsidRPr="00E740C2">
              <w:rPr>
                <w:color w:val="000000"/>
                <w:sz w:val="20"/>
                <w:szCs w:val="20"/>
                <w:lang w:val="en-US" w:eastAsia="en-GB"/>
              </w:rPr>
              <w:t>Number of Observations</w:t>
            </w:r>
          </w:p>
        </w:tc>
        <w:tc>
          <w:tcPr>
            <w:tcW w:w="774" w:type="pct"/>
          </w:tcPr>
          <w:p w14:paraId="4C31277D" w14:textId="77777777" w:rsidR="001631C6" w:rsidRPr="00E740C2" w:rsidRDefault="001631C6" w:rsidP="008F5322">
            <w:pPr>
              <w:jc w:val="center"/>
              <w:rPr>
                <w:sz w:val="20"/>
                <w:szCs w:val="20"/>
              </w:rPr>
            </w:pPr>
            <w:r w:rsidRPr="00E740C2">
              <w:rPr>
                <w:sz w:val="20"/>
                <w:szCs w:val="20"/>
              </w:rPr>
              <w:t>2,409</w:t>
            </w:r>
          </w:p>
        </w:tc>
        <w:tc>
          <w:tcPr>
            <w:tcW w:w="774" w:type="pct"/>
          </w:tcPr>
          <w:p w14:paraId="14C4C93E" w14:textId="77777777" w:rsidR="001631C6" w:rsidRPr="00E740C2" w:rsidRDefault="001631C6" w:rsidP="008F5322">
            <w:pPr>
              <w:jc w:val="center"/>
              <w:rPr>
                <w:sz w:val="20"/>
                <w:szCs w:val="20"/>
              </w:rPr>
            </w:pPr>
            <w:r w:rsidRPr="00E740C2">
              <w:rPr>
                <w:sz w:val="20"/>
                <w:szCs w:val="20"/>
              </w:rPr>
              <w:t>2,409</w:t>
            </w:r>
          </w:p>
        </w:tc>
        <w:tc>
          <w:tcPr>
            <w:tcW w:w="774" w:type="pct"/>
          </w:tcPr>
          <w:p w14:paraId="5C691967" w14:textId="77777777" w:rsidR="001631C6" w:rsidRPr="00E740C2" w:rsidRDefault="001631C6" w:rsidP="008F5322">
            <w:pPr>
              <w:jc w:val="center"/>
              <w:rPr>
                <w:sz w:val="20"/>
                <w:szCs w:val="20"/>
              </w:rPr>
            </w:pPr>
            <w:r w:rsidRPr="00E740C2">
              <w:rPr>
                <w:sz w:val="20"/>
                <w:szCs w:val="20"/>
              </w:rPr>
              <w:t>2,409</w:t>
            </w:r>
          </w:p>
        </w:tc>
        <w:tc>
          <w:tcPr>
            <w:tcW w:w="575" w:type="pct"/>
          </w:tcPr>
          <w:p w14:paraId="47006201" w14:textId="77777777" w:rsidR="001631C6" w:rsidRPr="00E740C2" w:rsidRDefault="001631C6" w:rsidP="008F5322">
            <w:pPr>
              <w:jc w:val="center"/>
              <w:rPr>
                <w:sz w:val="20"/>
                <w:szCs w:val="20"/>
              </w:rPr>
            </w:pPr>
            <w:r>
              <w:rPr>
                <w:sz w:val="20"/>
                <w:szCs w:val="20"/>
              </w:rPr>
              <w:t>2,078</w:t>
            </w:r>
          </w:p>
        </w:tc>
        <w:tc>
          <w:tcPr>
            <w:tcW w:w="689" w:type="pct"/>
          </w:tcPr>
          <w:p w14:paraId="74BC952E" w14:textId="77777777" w:rsidR="001631C6" w:rsidRPr="00E740C2" w:rsidRDefault="001631C6" w:rsidP="008F5322">
            <w:pPr>
              <w:jc w:val="center"/>
              <w:rPr>
                <w:sz w:val="20"/>
                <w:szCs w:val="20"/>
              </w:rPr>
            </w:pPr>
            <w:r w:rsidRPr="00E740C2">
              <w:rPr>
                <w:sz w:val="20"/>
                <w:szCs w:val="20"/>
              </w:rPr>
              <w:t>2,413</w:t>
            </w:r>
          </w:p>
        </w:tc>
      </w:tr>
      <w:tr w:rsidR="001631C6" w:rsidRPr="00E740C2" w14:paraId="771F587A" w14:textId="77777777" w:rsidTr="008F5322">
        <w:tc>
          <w:tcPr>
            <w:tcW w:w="1414" w:type="pct"/>
            <w:vAlign w:val="center"/>
          </w:tcPr>
          <w:p w14:paraId="70204D1A" w14:textId="77777777" w:rsidR="001631C6" w:rsidRPr="00E740C2" w:rsidRDefault="001631C6" w:rsidP="008F5322">
            <w:pPr>
              <w:rPr>
                <w:color w:val="000000"/>
                <w:sz w:val="20"/>
                <w:szCs w:val="20"/>
                <w:lang w:val="en-US" w:eastAsia="en-GB"/>
              </w:rPr>
            </w:pPr>
            <w:r w:rsidRPr="00E740C2">
              <w:rPr>
                <w:color w:val="000000"/>
                <w:sz w:val="20"/>
                <w:szCs w:val="20"/>
                <w:lang w:val="en-US" w:eastAsia="en-GB"/>
              </w:rPr>
              <w:t>R</w:t>
            </w:r>
            <w:r w:rsidRPr="00E740C2">
              <w:rPr>
                <w:color w:val="000000"/>
                <w:sz w:val="20"/>
                <w:szCs w:val="20"/>
                <w:vertAlign w:val="superscript"/>
                <w:lang w:val="en-US" w:eastAsia="en-GB"/>
              </w:rPr>
              <w:t>2</w:t>
            </w:r>
          </w:p>
        </w:tc>
        <w:tc>
          <w:tcPr>
            <w:tcW w:w="774" w:type="pct"/>
          </w:tcPr>
          <w:p w14:paraId="223AC0E8" w14:textId="77777777" w:rsidR="001631C6" w:rsidRPr="00E740C2" w:rsidRDefault="001631C6" w:rsidP="008F5322">
            <w:pPr>
              <w:jc w:val="center"/>
              <w:rPr>
                <w:sz w:val="20"/>
                <w:szCs w:val="20"/>
              </w:rPr>
            </w:pPr>
            <w:r w:rsidRPr="00E740C2">
              <w:rPr>
                <w:sz w:val="20"/>
                <w:szCs w:val="20"/>
              </w:rPr>
              <w:t>0.369</w:t>
            </w:r>
          </w:p>
        </w:tc>
        <w:tc>
          <w:tcPr>
            <w:tcW w:w="774" w:type="pct"/>
          </w:tcPr>
          <w:p w14:paraId="43074266" w14:textId="77777777" w:rsidR="001631C6" w:rsidRPr="00E740C2" w:rsidRDefault="001631C6" w:rsidP="008F5322">
            <w:pPr>
              <w:jc w:val="center"/>
              <w:rPr>
                <w:sz w:val="20"/>
                <w:szCs w:val="20"/>
              </w:rPr>
            </w:pPr>
            <w:r w:rsidRPr="00E740C2">
              <w:rPr>
                <w:sz w:val="20"/>
                <w:szCs w:val="20"/>
              </w:rPr>
              <w:t>0.333</w:t>
            </w:r>
          </w:p>
        </w:tc>
        <w:tc>
          <w:tcPr>
            <w:tcW w:w="774" w:type="pct"/>
          </w:tcPr>
          <w:p w14:paraId="088B0CCA" w14:textId="77777777" w:rsidR="001631C6" w:rsidRPr="00E740C2" w:rsidRDefault="001631C6" w:rsidP="008F5322">
            <w:pPr>
              <w:jc w:val="center"/>
              <w:rPr>
                <w:sz w:val="20"/>
                <w:szCs w:val="20"/>
              </w:rPr>
            </w:pPr>
            <w:r w:rsidRPr="00E740C2">
              <w:rPr>
                <w:sz w:val="20"/>
                <w:szCs w:val="20"/>
              </w:rPr>
              <w:t>0.382</w:t>
            </w:r>
          </w:p>
        </w:tc>
        <w:tc>
          <w:tcPr>
            <w:tcW w:w="575" w:type="pct"/>
          </w:tcPr>
          <w:p w14:paraId="59764AAB" w14:textId="77777777" w:rsidR="001631C6" w:rsidRPr="00E740C2" w:rsidRDefault="001631C6" w:rsidP="008F5322">
            <w:pPr>
              <w:jc w:val="center"/>
              <w:rPr>
                <w:sz w:val="20"/>
                <w:szCs w:val="20"/>
              </w:rPr>
            </w:pPr>
            <w:r>
              <w:rPr>
                <w:sz w:val="20"/>
                <w:szCs w:val="20"/>
              </w:rPr>
              <w:t>0.378</w:t>
            </w:r>
          </w:p>
        </w:tc>
        <w:tc>
          <w:tcPr>
            <w:tcW w:w="689" w:type="pct"/>
          </w:tcPr>
          <w:p w14:paraId="2A1B5F2F" w14:textId="77777777" w:rsidR="001631C6" w:rsidRPr="00E740C2" w:rsidRDefault="001631C6" w:rsidP="008F5322">
            <w:pPr>
              <w:jc w:val="center"/>
              <w:rPr>
                <w:sz w:val="20"/>
                <w:szCs w:val="20"/>
              </w:rPr>
            </w:pPr>
            <w:r w:rsidRPr="00E740C2">
              <w:rPr>
                <w:sz w:val="20"/>
                <w:szCs w:val="20"/>
              </w:rPr>
              <w:t>0.500</w:t>
            </w:r>
          </w:p>
        </w:tc>
      </w:tr>
      <w:tr w:rsidR="001631C6" w:rsidRPr="00E740C2" w14:paraId="58F7C384" w14:textId="77777777" w:rsidTr="008F5322">
        <w:tc>
          <w:tcPr>
            <w:tcW w:w="1414" w:type="pct"/>
            <w:vAlign w:val="center"/>
          </w:tcPr>
          <w:p w14:paraId="08922853" w14:textId="77777777" w:rsidR="001631C6" w:rsidRPr="00E740C2" w:rsidRDefault="001631C6" w:rsidP="008F5322">
            <w:pPr>
              <w:rPr>
                <w:color w:val="000000"/>
                <w:sz w:val="20"/>
                <w:szCs w:val="20"/>
                <w:lang w:val="en-US" w:eastAsia="en-GB"/>
              </w:rPr>
            </w:pPr>
            <w:r w:rsidRPr="00E740C2">
              <w:rPr>
                <w:color w:val="000000"/>
                <w:sz w:val="20"/>
                <w:szCs w:val="20"/>
                <w:lang w:val="en-US" w:eastAsia="en-GB"/>
              </w:rPr>
              <w:t>Wald χ</w:t>
            </w:r>
            <w:r w:rsidRPr="00E740C2">
              <w:rPr>
                <w:color w:val="000000"/>
                <w:sz w:val="20"/>
                <w:szCs w:val="20"/>
                <w:vertAlign w:val="superscript"/>
                <w:lang w:val="en-US" w:eastAsia="en-GB"/>
              </w:rPr>
              <w:t>2</w:t>
            </w:r>
          </w:p>
        </w:tc>
        <w:tc>
          <w:tcPr>
            <w:tcW w:w="774" w:type="pct"/>
          </w:tcPr>
          <w:p w14:paraId="6A21B01F" w14:textId="77777777" w:rsidR="001631C6" w:rsidRPr="00E740C2" w:rsidRDefault="001631C6" w:rsidP="008F5322">
            <w:pPr>
              <w:jc w:val="center"/>
              <w:rPr>
                <w:sz w:val="20"/>
                <w:szCs w:val="20"/>
                <w:lang w:val="en-US"/>
              </w:rPr>
            </w:pPr>
            <w:r w:rsidRPr="00E740C2">
              <w:rPr>
                <w:sz w:val="20"/>
                <w:szCs w:val="20"/>
              </w:rPr>
              <w:t>1,236***</w:t>
            </w:r>
          </w:p>
        </w:tc>
        <w:tc>
          <w:tcPr>
            <w:tcW w:w="774" w:type="pct"/>
          </w:tcPr>
          <w:p w14:paraId="296E8967" w14:textId="77777777" w:rsidR="001631C6" w:rsidRPr="00E740C2" w:rsidRDefault="001631C6" w:rsidP="008F5322">
            <w:pPr>
              <w:jc w:val="center"/>
              <w:rPr>
                <w:sz w:val="20"/>
                <w:szCs w:val="20"/>
                <w:lang w:val="en-US"/>
              </w:rPr>
            </w:pPr>
            <w:r w:rsidRPr="00E740C2">
              <w:rPr>
                <w:sz w:val="20"/>
                <w:szCs w:val="20"/>
              </w:rPr>
              <w:t>1,162***</w:t>
            </w:r>
          </w:p>
        </w:tc>
        <w:tc>
          <w:tcPr>
            <w:tcW w:w="774" w:type="pct"/>
          </w:tcPr>
          <w:p w14:paraId="1099FCBA" w14:textId="77777777" w:rsidR="001631C6" w:rsidRPr="00E740C2" w:rsidRDefault="001631C6" w:rsidP="008F5322">
            <w:pPr>
              <w:jc w:val="center"/>
              <w:rPr>
                <w:sz w:val="20"/>
                <w:szCs w:val="20"/>
                <w:lang w:val="en-US"/>
              </w:rPr>
            </w:pPr>
            <w:r w:rsidRPr="00E740C2">
              <w:rPr>
                <w:sz w:val="20"/>
                <w:szCs w:val="20"/>
              </w:rPr>
              <w:t>1,262***</w:t>
            </w:r>
          </w:p>
        </w:tc>
        <w:tc>
          <w:tcPr>
            <w:tcW w:w="575" w:type="pct"/>
          </w:tcPr>
          <w:p w14:paraId="7E8129E8" w14:textId="77777777" w:rsidR="001631C6" w:rsidRPr="00E740C2" w:rsidRDefault="001631C6" w:rsidP="008F5322">
            <w:pPr>
              <w:jc w:val="center"/>
              <w:rPr>
                <w:sz w:val="20"/>
                <w:szCs w:val="20"/>
                <w:lang w:val="en-US"/>
              </w:rPr>
            </w:pPr>
            <w:r>
              <w:rPr>
                <w:sz w:val="20"/>
                <w:szCs w:val="20"/>
              </w:rPr>
              <w:t>5,678***</w:t>
            </w:r>
          </w:p>
        </w:tc>
        <w:tc>
          <w:tcPr>
            <w:tcW w:w="689" w:type="pct"/>
          </w:tcPr>
          <w:p w14:paraId="3C31AE48" w14:textId="77777777" w:rsidR="001631C6" w:rsidRPr="00E740C2" w:rsidRDefault="001631C6" w:rsidP="008F5322">
            <w:pPr>
              <w:jc w:val="center"/>
              <w:rPr>
                <w:sz w:val="20"/>
                <w:szCs w:val="20"/>
                <w:lang w:val="en-US"/>
              </w:rPr>
            </w:pPr>
            <w:r w:rsidRPr="00E740C2">
              <w:rPr>
                <w:sz w:val="20"/>
                <w:szCs w:val="20"/>
              </w:rPr>
              <w:t>1,572***</w:t>
            </w:r>
          </w:p>
        </w:tc>
      </w:tr>
    </w:tbl>
    <w:p w14:paraId="3414841B" w14:textId="77777777" w:rsidR="001631C6" w:rsidRDefault="001631C6" w:rsidP="001631C6">
      <w:pPr>
        <w:rPr>
          <w:lang w:val="en-US"/>
        </w:rPr>
      </w:pPr>
    </w:p>
    <w:p w14:paraId="121CE1E5" w14:textId="77777777" w:rsidR="001631C6" w:rsidRDefault="001631C6" w:rsidP="001631C6">
      <w:pPr>
        <w:rPr>
          <w:lang w:val="en-US"/>
        </w:rPr>
      </w:pPr>
    </w:p>
    <w:p w14:paraId="7912B8BF" w14:textId="77777777" w:rsidR="001631C6" w:rsidRDefault="001631C6" w:rsidP="001631C6">
      <w:pPr>
        <w:rPr>
          <w:lang w:val="en-US"/>
        </w:rPr>
      </w:pPr>
    </w:p>
    <w:p w14:paraId="5E467E2E" w14:textId="77777777" w:rsidR="001631C6" w:rsidRDefault="001631C6" w:rsidP="001631C6">
      <w:pPr>
        <w:rPr>
          <w:b/>
          <w:sz w:val="20"/>
          <w:szCs w:val="20"/>
          <w:lang w:val="en-US"/>
        </w:rPr>
        <w:sectPr w:rsidR="001631C6" w:rsidSect="008F5322">
          <w:pgSz w:w="11906" w:h="16838" w:code="9"/>
          <w:pgMar w:top="1440" w:right="1440" w:bottom="1440" w:left="1440" w:header="709" w:footer="709" w:gutter="0"/>
          <w:cols w:space="720"/>
          <w:docGrid w:linePitch="326"/>
        </w:sectPr>
      </w:pPr>
    </w:p>
    <w:p w14:paraId="5163A239" w14:textId="77777777" w:rsidR="001631C6" w:rsidRDefault="001631C6" w:rsidP="001631C6">
      <w:pPr>
        <w:rPr>
          <w:lang w:val="en-US"/>
        </w:rPr>
      </w:pPr>
    </w:p>
    <w:p w14:paraId="765333AE" w14:textId="77777777" w:rsidR="001631C6" w:rsidRPr="00207BB5" w:rsidRDefault="001631C6" w:rsidP="001631C6">
      <w:pPr>
        <w:pStyle w:val="Heading2"/>
        <w:spacing w:before="0" w:after="0"/>
        <w:rPr>
          <w:rFonts w:cs="Times New Roman"/>
          <w:b/>
          <w:bCs w:val="0"/>
          <w:i w:val="0"/>
          <w:iCs/>
          <w:szCs w:val="24"/>
          <w:lang w:val="en-US"/>
        </w:rPr>
      </w:pPr>
      <w:r w:rsidRPr="00207BB5">
        <w:rPr>
          <w:rFonts w:cs="Times New Roman"/>
          <w:b/>
          <w:bCs w:val="0"/>
          <w:i w:val="0"/>
          <w:iCs/>
          <w:szCs w:val="24"/>
          <w:lang w:val="en-US"/>
        </w:rPr>
        <w:t>Figure 1</w:t>
      </w:r>
    </w:p>
    <w:p w14:paraId="70F28548" w14:textId="77777777" w:rsidR="001631C6" w:rsidRPr="00207BB5" w:rsidRDefault="001631C6" w:rsidP="001631C6">
      <w:pPr>
        <w:pStyle w:val="Heading2"/>
        <w:spacing w:before="0" w:after="0"/>
        <w:rPr>
          <w:rFonts w:cs="Times New Roman"/>
          <w:b/>
          <w:szCs w:val="24"/>
          <w:lang w:val="en-US"/>
        </w:rPr>
      </w:pPr>
      <w:r w:rsidRPr="00207BB5">
        <w:rPr>
          <w:rFonts w:cs="Times New Roman"/>
          <w:szCs w:val="24"/>
          <w:lang w:val="en-US"/>
        </w:rPr>
        <w:t>Pattern of tranche issue volume and at-issue credit spreads over time.</w:t>
      </w:r>
    </w:p>
    <w:p w14:paraId="22F00ABA" w14:textId="77777777" w:rsidR="001631C6" w:rsidRDefault="001631C6" w:rsidP="001631C6">
      <w:pPr>
        <w:jc w:val="both"/>
        <w:rPr>
          <w:sz w:val="20"/>
          <w:szCs w:val="20"/>
          <w:lang w:val="en-US"/>
        </w:rPr>
      </w:pPr>
    </w:p>
    <w:p w14:paraId="6DD846E0" w14:textId="77777777" w:rsidR="001631C6" w:rsidRPr="00C04874" w:rsidRDefault="001631C6" w:rsidP="001631C6">
      <w:pPr>
        <w:jc w:val="both"/>
        <w:rPr>
          <w:sz w:val="20"/>
          <w:szCs w:val="20"/>
          <w:lang w:val="en-US"/>
        </w:rPr>
      </w:pPr>
      <w:r w:rsidRPr="00DC68DD">
        <w:rPr>
          <w:sz w:val="20"/>
          <w:szCs w:val="20"/>
          <w:lang w:val="en-US"/>
        </w:rPr>
        <w:t xml:space="preserve">The chart presents average statistics for number of tranches issued and at-issue credit spread for </w:t>
      </w:r>
      <w:r>
        <w:rPr>
          <w:sz w:val="20"/>
          <w:szCs w:val="20"/>
          <w:lang w:val="en-US"/>
        </w:rPr>
        <w:t xml:space="preserve">2,409 </w:t>
      </w:r>
      <w:r w:rsidRPr="00DC68DD">
        <w:rPr>
          <w:sz w:val="20"/>
          <w:szCs w:val="20"/>
          <w:lang w:val="en-US"/>
        </w:rPr>
        <w:t xml:space="preserve">euro-denominated public bond tranches issued by </w:t>
      </w:r>
      <w:r>
        <w:rPr>
          <w:sz w:val="20"/>
          <w:szCs w:val="20"/>
          <w:lang w:val="en-US"/>
        </w:rPr>
        <w:t>356</w:t>
      </w:r>
      <w:r w:rsidRPr="00DC68DD">
        <w:rPr>
          <w:sz w:val="20"/>
          <w:szCs w:val="20"/>
          <w:lang w:val="en-US"/>
        </w:rPr>
        <w:t xml:space="preserve"> Western E</w:t>
      </w:r>
      <w:r>
        <w:rPr>
          <w:sz w:val="20"/>
          <w:szCs w:val="20"/>
          <w:lang w:val="en-US"/>
        </w:rPr>
        <w:t>uropean firms during 2001-2020.</w:t>
      </w:r>
    </w:p>
    <w:p w14:paraId="1D240041" w14:textId="77777777" w:rsidR="001631C6" w:rsidRDefault="001631C6" w:rsidP="001631C6">
      <w:pPr>
        <w:jc w:val="center"/>
        <w:rPr>
          <w:noProof/>
          <w:lang w:val="en-US" w:eastAsia="en-GB"/>
        </w:rPr>
      </w:pPr>
      <w:r w:rsidRPr="00DC68DD">
        <w:rPr>
          <w:noProof/>
          <w:lang w:val="en-US" w:eastAsia="en-GB"/>
        </w:rPr>
        <w:t xml:space="preserve"> </w:t>
      </w:r>
    </w:p>
    <w:p w14:paraId="092A8147" w14:textId="77777777" w:rsidR="001631C6" w:rsidRDefault="001631C6" w:rsidP="001631C6">
      <w:pPr>
        <w:jc w:val="both"/>
        <w:rPr>
          <w:noProof/>
          <w:lang w:val="en-US" w:eastAsia="en-GB"/>
        </w:rPr>
      </w:pPr>
      <w:r>
        <w:rPr>
          <w:noProof/>
        </w:rPr>
        <w:drawing>
          <wp:inline distT="0" distB="0" distL="0" distR="0" wp14:anchorId="3C37AB51" wp14:editId="3EB414D9">
            <wp:extent cx="5731510" cy="4168140"/>
            <wp:effectExtent l="19050" t="19050" r="2159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168140"/>
                    </a:xfrm>
                    <a:prstGeom prst="rect">
                      <a:avLst/>
                    </a:prstGeom>
                    <a:noFill/>
                    <a:ln>
                      <a:solidFill>
                        <a:schemeClr val="tx1"/>
                      </a:solidFill>
                    </a:ln>
                  </pic:spPr>
                </pic:pic>
              </a:graphicData>
            </a:graphic>
          </wp:inline>
        </w:drawing>
      </w:r>
    </w:p>
    <w:p w14:paraId="3EAE3518" w14:textId="77777777" w:rsidR="001631C6" w:rsidRDefault="001631C6" w:rsidP="001631C6"/>
    <w:p w14:paraId="0FD7D335" w14:textId="2CCD8160" w:rsidR="001B63DD" w:rsidRDefault="001B63DD" w:rsidP="00915BBF">
      <w:pPr>
        <w:tabs>
          <w:tab w:val="left" w:pos="8220"/>
        </w:tabs>
        <w:rPr>
          <w:noProof/>
          <w:lang w:val="en-US" w:eastAsia="en-GB"/>
        </w:rPr>
      </w:pPr>
    </w:p>
    <w:p w14:paraId="48E75513" w14:textId="77777777" w:rsidR="001631C6" w:rsidRDefault="001631C6">
      <w:pPr>
        <w:rPr>
          <w:rFonts w:eastAsiaTheme="majorEastAsia"/>
          <w:b/>
          <w:i/>
          <w:sz w:val="20"/>
          <w:szCs w:val="20"/>
          <w:lang w:val="en-US"/>
        </w:rPr>
      </w:pPr>
      <w:r>
        <w:rPr>
          <w:b/>
          <w:bCs/>
          <w:sz w:val="20"/>
          <w:szCs w:val="20"/>
          <w:lang w:val="en-US"/>
        </w:rPr>
        <w:br w:type="page"/>
      </w:r>
    </w:p>
    <w:p w14:paraId="65CE5684" w14:textId="3F0BF5F4" w:rsidR="001B63DD" w:rsidRPr="00F17AEC" w:rsidRDefault="001B63DD" w:rsidP="00F17AEC">
      <w:pPr>
        <w:pStyle w:val="Heading2"/>
        <w:spacing w:before="0" w:after="0"/>
        <w:rPr>
          <w:rFonts w:cs="Times New Roman"/>
          <w:b/>
          <w:bCs w:val="0"/>
          <w:sz w:val="20"/>
          <w:szCs w:val="20"/>
          <w:lang w:val="en-US"/>
        </w:rPr>
      </w:pPr>
      <w:r w:rsidRPr="00F17AEC">
        <w:rPr>
          <w:rFonts w:cs="Times New Roman"/>
          <w:b/>
          <w:bCs w:val="0"/>
          <w:sz w:val="20"/>
          <w:szCs w:val="20"/>
          <w:lang w:val="en-US"/>
        </w:rPr>
        <w:lastRenderedPageBreak/>
        <w:t xml:space="preserve">Appendix </w:t>
      </w:r>
      <w:r w:rsidR="00FF4043" w:rsidRPr="00F17AEC">
        <w:rPr>
          <w:rFonts w:cs="Times New Roman"/>
          <w:b/>
          <w:bCs w:val="0"/>
          <w:sz w:val="20"/>
          <w:szCs w:val="20"/>
          <w:lang w:val="en-US"/>
        </w:rPr>
        <w:t>A</w:t>
      </w:r>
    </w:p>
    <w:p w14:paraId="37DA03FC" w14:textId="112977DE" w:rsidR="001B63DD" w:rsidRPr="00D57FF6" w:rsidRDefault="001B63DD" w:rsidP="00F17AEC">
      <w:pPr>
        <w:pStyle w:val="Heading2"/>
        <w:spacing w:before="0" w:after="0"/>
        <w:rPr>
          <w:rFonts w:cs="Times New Roman"/>
          <w:b/>
          <w:sz w:val="20"/>
          <w:szCs w:val="20"/>
          <w:lang w:val="en-US"/>
        </w:rPr>
      </w:pPr>
      <w:r>
        <w:rPr>
          <w:rFonts w:cs="Times New Roman"/>
          <w:sz w:val="20"/>
          <w:szCs w:val="20"/>
          <w:lang w:val="en-US"/>
        </w:rPr>
        <w:t>B</w:t>
      </w:r>
      <w:r w:rsidRPr="00D57FF6">
        <w:rPr>
          <w:rFonts w:cs="Times New Roman"/>
          <w:sz w:val="20"/>
          <w:szCs w:val="20"/>
          <w:lang w:val="en-US"/>
        </w:rPr>
        <w:t>ookrunner</w:t>
      </w:r>
      <w:r>
        <w:rPr>
          <w:rFonts w:cs="Times New Roman"/>
          <w:sz w:val="20"/>
          <w:szCs w:val="20"/>
          <w:lang w:val="en-US"/>
        </w:rPr>
        <w:t xml:space="preserve"> rankings</w:t>
      </w:r>
      <w:r w:rsidR="00C04874">
        <w:rPr>
          <w:rFonts w:cs="Times New Roman"/>
          <w:sz w:val="20"/>
          <w:szCs w:val="20"/>
          <w:lang w:val="en-US"/>
        </w:rPr>
        <w:t>.</w:t>
      </w:r>
    </w:p>
    <w:p w14:paraId="66C6A4EA" w14:textId="77777777" w:rsidR="00F17AEC" w:rsidRDefault="00F17AEC" w:rsidP="001B63DD">
      <w:pPr>
        <w:jc w:val="both"/>
        <w:rPr>
          <w:sz w:val="20"/>
          <w:szCs w:val="20"/>
          <w:lang w:val="en-US"/>
        </w:rPr>
      </w:pPr>
    </w:p>
    <w:p w14:paraId="41D7A1F4" w14:textId="109B9F62" w:rsidR="001B63DD" w:rsidRPr="00D57FF6" w:rsidRDefault="001B63DD" w:rsidP="001B63DD">
      <w:pPr>
        <w:jc w:val="both"/>
        <w:rPr>
          <w:sz w:val="20"/>
          <w:szCs w:val="20"/>
          <w:lang w:val="en-US"/>
        </w:rPr>
      </w:pPr>
      <w:r w:rsidRPr="00D57FF6">
        <w:rPr>
          <w:sz w:val="20"/>
          <w:szCs w:val="20"/>
          <w:lang w:val="en-US"/>
        </w:rPr>
        <w:t xml:space="preserve">The table ranks investment banks according to their activity as bookrunners for our sample of </w:t>
      </w:r>
      <w:r w:rsidR="0069157A">
        <w:rPr>
          <w:sz w:val="20"/>
          <w:szCs w:val="20"/>
          <w:lang w:val="en-US"/>
        </w:rPr>
        <w:t>2.409</w:t>
      </w:r>
      <w:r w:rsidRPr="00D57FF6">
        <w:rPr>
          <w:sz w:val="20"/>
          <w:szCs w:val="20"/>
          <w:lang w:val="en-US"/>
        </w:rPr>
        <w:t xml:space="preserve"> euro-denominated public bond tranches issued</w:t>
      </w:r>
      <w:r>
        <w:rPr>
          <w:sz w:val="20"/>
          <w:szCs w:val="20"/>
          <w:lang w:val="en-US"/>
        </w:rPr>
        <w:t xml:space="preserve"> by </w:t>
      </w:r>
      <w:r w:rsidR="0069157A">
        <w:rPr>
          <w:sz w:val="20"/>
          <w:szCs w:val="20"/>
          <w:lang w:val="en-US"/>
        </w:rPr>
        <w:t>356</w:t>
      </w:r>
      <w:r w:rsidRPr="00D57FF6">
        <w:rPr>
          <w:sz w:val="20"/>
          <w:szCs w:val="20"/>
          <w:lang w:val="en-US"/>
        </w:rPr>
        <w:t xml:space="preserve"> Western European firms during 2001-</w:t>
      </w:r>
      <w:r w:rsidR="0069157A">
        <w:rPr>
          <w:sz w:val="20"/>
          <w:szCs w:val="20"/>
          <w:lang w:val="en-US"/>
        </w:rPr>
        <w:t>2020</w:t>
      </w:r>
      <w:r w:rsidRPr="00D57FF6">
        <w:rPr>
          <w:sz w:val="20"/>
          <w:szCs w:val="20"/>
          <w:lang w:val="en-US"/>
        </w:rPr>
        <w:t>.</w:t>
      </w:r>
    </w:p>
    <w:tbl>
      <w:tblPr>
        <w:tblW w:w="5000" w:type="pct"/>
        <w:tblLook w:val="04A0" w:firstRow="1" w:lastRow="0" w:firstColumn="1" w:lastColumn="0" w:noHBand="0" w:noVBand="1"/>
      </w:tblPr>
      <w:tblGrid>
        <w:gridCol w:w="686"/>
        <w:gridCol w:w="3518"/>
        <w:gridCol w:w="938"/>
        <w:gridCol w:w="792"/>
        <w:gridCol w:w="1443"/>
        <w:gridCol w:w="1980"/>
      </w:tblGrid>
      <w:tr w:rsidR="00F17AEC" w:rsidRPr="00F17AEC" w14:paraId="65DA178B" w14:textId="77777777" w:rsidTr="00942A6C">
        <w:trPr>
          <w:trHeight w:val="532"/>
        </w:trPr>
        <w:tc>
          <w:tcPr>
            <w:tcW w:w="367" w:type="pct"/>
            <w:tcBorders>
              <w:top w:val="single" w:sz="4" w:space="0" w:color="auto"/>
              <w:bottom w:val="single" w:sz="4" w:space="0" w:color="auto"/>
              <w:right w:val="nil"/>
            </w:tcBorders>
            <w:shd w:val="clear" w:color="auto" w:fill="auto"/>
            <w:noWrap/>
            <w:vAlign w:val="center"/>
            <w:hideMark/>
          </w:tcPr>
          <w:p w14:paraId="0336DF74" w14:textId="77777777" w:rsidR="00F17AEC" w:rsidRPr="00F17AEC" w:rsidRDefault="00F17AEC" w:rsidP="006446C1">
            <w:pPr>
              <w:rPr>
                <w:bCs/>
                <w:color w:val="000000"/>
                <w:sz w:val="22"/>
                <w:szCs w:val="22"/>
                <w:lang w:val="en-US" w:eastAsia="en-GB"/>
              </w:rPr>
            </w:pPr>
            <w:r w:rsidRPr="00F17AEC">
              <w:rPr>
                <w:bCs/>
                <w:color w:val="000000"/>
                <w:sz w:val="22"/>
                <w:szCs w:val="22"/>
                <w:lang w:val="en-US" w:eastAsia="en-GB"/>
              </w:rPr>
              <w:t>Rank</w:t>
            </w:r>
          </w:p>
        </w:tc>
        <w:tc>
          <w:tcPr>
            <w:tcW w:w="1880" w:type="pct"/>
            <w:tcBorders>
              <w:top w:val="single" w:sz="4" w:space="0" w:color="auto"/>
              <w:left w:val="nil"/>
              <w:bottom w:val="single" w:sz="4" w:space="0" w:color="auto"/>
              <w:right w:val="nil"/>
            </w:tcBorders>
            <w:shd w:val="clear" w:color="auto" w:fill="auto"/>
            <w:vAlign w:val="center"/>
            <w:hideMark/>
          </w:tcPr>
          <w:p w14:paraId="6B2707D5" w14:textId="77777777" w:rsidR="00F17AEC" w:rsidRPr="00F17AEC" w:rsidRDefault="00F17AEC" w:rsidP="006446C1">
            <w:pPr>
              <w:rPr>
                <w:bCs/>
                <w:color w:val="000000"/>
                <w:sz w:val="22"/>
                <w:szCs w:val="22"/>
                <w:lang w:val="en-US" w:eastAsia="en-GB"/>
              </w:rPr>
            </w:pPr>
            <w:r w:rsidRPr="00F17AEC">
              <w:rPr>
                <w:bCs/>
                <w:color w:val="000000"/>
                <w:sz w:val="22"/>
                <w:szCs w:val="22"/>
                <w:lang w:val="en-US" w:eastAsia="en-GB"/>
              </w:rPr>
              <w:t>Bookrunner</w:t>
            </w:r>
          </w:p>
        </w:tc>
        <w:tc>
          <w:tcPr>
            <w:tcW w:w="501" w:type="pct"/>
            <w:tcBorders>
              <w:top w:val="single" w:sz="4" w:space="0" w:color="auto"/>
              <w:left w:val="nil"/>
              <w:bottom w:val="single" w:sz="4" w:space="0" w:color="auto"/>
              <w:right w:val="nil"/>
            </w:tcBorders>
            <w:shd w:val="clear" w:color="auto" w:fill="auto"/>
            <w:vAlign w:val="center"/>
            <w:hideMark/>
          </w:tcPr>
          <w:p w14:paraId="5364540A" w14:textId="6EFDA230" w:rsidR="00F17AEC" w:rsidRPr="00F17AEC" w:rsidRDefault="00F17AEC" w:rsidP="007D2827">
            <w:pPr>
              <w:jc w:val="center"/>
              <w:rPr>
                <w:bCs/>
                <w:color w:val="000000"/>
                <w:sz w:val="22"/>
                <w:szCs w:val="22"/>
                <w:lang w:val="en-US" w:eastAsia="en-GB"/>
              </w:rPr>
            </w:pPr>
            <w:r w:rsidRPr="00F17AEC">
              <w:rPr>
                <w:bCs/>
                <w:color w:val="000000"/>
                <w:sz w:val="22"/>
                <w:szCs w:val="22"/>
                <w:lang w:val="en-US" w:eastAsia="en-GB"/>
              </w:rPr>
              <w:t>EUR bn</w:t>
            </w:r>
          </w:p>
        </w:tc>
        <w:tc>
          <w:tcPr>
            <w:tcW w:w="423" w:type="pct"/>
            <w:tcBorders>
              <w:top w:val="single" w:sz="4" w:space="0" w:color="auto"/>
              <w:left w:val="nil"/>
              <w:bottom w:val="single" w:sz="4" w:space="0" w:color="auto"/>
              <w:right w:val="nil"/>
            </w:tcBorders>
            <w:shd w:val="clear" w:color="auto" w:fill="auto"/>
            <w:vAlign w:val="center"/>
            <w:hideMark/>
          </w:tcPr>
          <w:p w14:paraId="4AF8F67F" w14:textId="77777777" w:rsidR="00F17AEC" w:rsidRPr="00F17AEC" w:rsidRDefault="00F17AEC" w:rsidP="007D2827">
            <w:pPr>
              <w:jc w:val="center"/>
              <w:rPr>
                <w:bCs/>
                <w:color w:val="000000"/>
                <w:sz w:val="22"/>
                <w:szCs w:val="22"/>
                <w:lang w:val="en-US" w:eastAsia="en-GB"/>
              </w:rPr>
            </w:pPr>
            <w:r w:rsidRPr="00F17AEC">
              <w:rPr>
                <w:bCs/>
                <w:color w:val="000000"/>
                <w:sz w:val="22"/>
                <w:szCs w:val="22"/>
                <w:lang w:val="en-US" w:eastAsia="en-GB"/>
              </w:rPr>
              <w:t>%</w:t>
            </w:r>
          </w:p>
        </w:tc>
        <w:tc>
          <w:tcPr>
            <w:tcW w:w="771" w:type="pct"/>
            <w:tcBorders>
              <w:top w:val="single" w:sz="4" w:space="0" w:color="auto"/>
              <w:left w:val="nil"/>
              <w:bottom w:val="single" w:sz="4" w:space="0" w:color="auto"/>
              <w:right w:val="nil"/>
            </w:tcBorders>
            <w:shd w:val="clear" w:color="auto" w:fill="auto"/>
            <w:vAlign w:val="center"/>
            <w:hideMark/>
          </w:tcPr>
          <w:p w14:paraId="4C15516F" w14:textId="77777777" w:rsidR="00F17AEC" w:rsidRPr="00F17AEC" w:rsidRDefault="00F17AEC" w:rsidP="007D2827">
            <w:pPr>
              <w:jc w:val="center"/>
              <w:rPr>
                <w:bCs/>
                <w:color w:val="000000"/>
                <w:sz w:val="22"/>
                <w:szCs w:val="22"/>
                <w:lang w:val="en-US" w:eastAsia="en-GB"/>
              </w:rPr>
            </w:pPr>
            <w:r w:rsidRPr="00F17AEC">
              <w:rPr>
                <w:bCs/>
                <w:color w:val="000000"/>
                <w:sz w:val="22"/>
                <w:szCs w:val="22"/>
                <w:lang w:val="en-US" w:eastAsia="en-GB"/>
              </w:rPr>
              <w:t>cumulative %</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14:paraId="68E1ED5B" w14:textId="77777777" w:rsidR="00F17AEC" w:rsidRPr="00F17AEC" w:rsidRDefault="00F17AEC" w:rsidP="007D2827">
            <w:pPr>
              <w:jc w:val="center"/>
              <w:rPr>
                <w:bCs/>
                <w:color w:val="000000"/>
                <w:sz w:val="22"/>
                <w:szCs w:val="22"/>
                <w:lang w:val="en-US" w:eastAsia="en-GB"/>
              </w:rPr>
            </w:pPr>
            <w:r w:rsidRPr="00F17AEC">
              <w:rPr>
                <w:bCs/>
                <w:color w:val="000000"/>
                <w:sz w:val="22"/>
                <w:szCs w:val="22"/>
                <w:lang w:val="en-US" w:eastAsia="en-GB"/>
              </w:rPr>
              <w:t>Number of tranches</w:t>
            </w:r>
          </w:p>
        </w:tc>
      </w:tr>
      <w:tr w:rsidR="00F17AEC" w:rsidRPr="00F17AEC" w14:paraId="5D2D836B" w14:textId="77777777" w:rsidTr="00942A6C">
        <w:trPr>
          <w:trHeight w:val="70"/>
        </w:trPr>
        <w:tc>
          <w:tcPr>
            <w:tcW w:w="367" w:type="pct"/>
            <w:tcBorders>
              <w:top w:val="nil"/>
              <w:left w:val="nil"/>
              <w:bottom w:val="nil"/>
              <w:right w:val="nil"/>
            </w:tcBorders>
            <w:shd w:val="clear" w:color="auto" w:fill="auto"/>
            <w:noWrap/>
            <w:vAlign w:val="bottom"/>
            <w:hideMark/>
          </w:tcPr>
          <w:p w14:paraId="7AC61C83" w14:textId="2F90216A" w:rsidR="00F17AEC" w:rsidRPr="00F17AEC" w:rsidRDefault="00F17AEC" w:rsidP="00F17AEC">
            <w:pPr>
              <w:jc w:val="center"/>
              <w:rPr>
                <w:color w:val="000000"/>
                <w:sz w:val="22"/>
                <w:szCs w:val="22"/>
                <w:lang w:val="en-US" w:eastAsia="en-GB"/>
              </w:rPr>
            </w:pPr>
            <w:r w:rsidRPr="00F17AEC">
              <w:rPr>
                <w:color w:val="000000"/>
                <w:sz w:val="22"/>
                <w:szCs w:val="22"/>
              </w:rPr>
              <w:t>1</w:t>
            </w:r>
          </w:p>
        </w:tc>
        <w:tc>
          <w:tcPr>
            <w:tcW w:w="1880" w:type="pct"/>
            <w:tcBorders>
              <w:top w:val="nil"/>
              <w:left w:val="nil"/>
              <w:bottom w:val="nil"/>
              <w:right w:val="nil"/>
            </w:tcBorders>
            <w:shd w:val="clear" w:color="auto" w:fill="auto"/>
            <w:vAlign w:val="bottom"/>
            <w:hideMark/>
          </w:tcPr>
          <w:p w14:paraId="1D40D8CF" w14:textId="1486E4B6" w:rsidR="00F17AEC" w:rsidRPr="00F17AEC" w:rsidRDefault="00F17AEC" w:rsidP="00F17AEC">
            <w:pPr>
              <w:rPr>
                <w:color w:val="000000"/>
                <w:sz w:val="22"/>
                <w:szCs w:val="22"/>
                <w:lang w:val="en-US" w:eastAsia="en-GB"/>
              </w:rPr>
            </w:pPr>
            <w:r w:rsidRPr="00F17AEC">
              <w:rPr>
                <w:color w:val="000000"/>
                <w:sz w:val="22"/>
                <w:szCs w:val="22"/>
              </w:rPr>
              <w:t>BNP Paribas</w:t>
            </w:r>
          </w:p>
        </w:tc>
        <w:tc>
          <w:tcPr>
            <w:tcW w:w="501" w:type="pct"/>
            <w:tcBorders>
              <w:top w:val="nil"/>
              <w:left w:val="nil"/>
              <w:bottom w:val="nil"/>
              <w:right w:val="nil"/>
            </w:tcBorders>
            <w:shd w:val="clear" w:color="auto" w:fill="auto"/>
            <w:vAlign w:val="center"/>
            <w:hideMark/>
          </w:tcPr>
          <w:p w14:paraId="5BCA438E" w14:textId="059DC74D" w:rsidR="00F17AEC" w:rsidRPr="00F17AEC" w:rsidRDefault="00F17AEC" w:rsidP="007D2827">
            <w:pPr>
              <w:jc w:val="center"/>
              <w:rPr>
                <w:color w:val="000000"/>
                <w:sz w:val="22"/>
                <w:szCs w:val="22"/>
                <w:lang w:val="en-US" w:eastAsia="en-GB"/>
              </w:rPr>
            </w:pPr>
            <w:r w:rsidRPr="00F17AEC">
              <w:rPr>
                <w:color w:val="000000"/>
                <w:sz w:val="22"/>
                <w:szCs w:val="22"/>
              </w:rPr>
              <w:t>154.23</w:t>
            </w:r>
          </w:p>
        </w:tc>
        <w:tc>
          <w:tcPr>
            <w:tcW w:w="423" w:type="pct"/>
            <w:tcBorders>
              <w:top w:val="nil"/>
              <w:left w:val="nil"/>
              <w:bottom w:val="nil"/>
              <w:right w:val="nil"/>
            </w:tcBorders>
            <w:shd w:val="clear" w:color="auto" w:fill="auto"/>
            <w:vAlign w:val="center"/>
            <w:hideMark/>
          </w:tcPr>
          <w:p w14:paraId="798E8DED" w14:textId="4106AC1F" w:rsidR="00F17AEC" w:rsidRPr="00F17AEC" w:rsidRDefault="00F17AEC" w:rsidP="007D2827">
            <w:pPr>
              <w:jc w:val="center"/>
              <w:rPr>
                <w:color w:val="000000"/>
                <w:sz w:val="22"/>
                <w:szCs w:val="22"/>
                <w:lang w:val="en-US" w:eastAsia="en-GB"/>
              </w:rPr>
            </w:pPr>
            <w:r w:rsidRPr="00F17AEC">
              <w:rPr>
                <w:color w:val="000000"/>
                <w:sz w:val="22"/>
                <w:szCs w:val="22"/>
              </w:rPr>
              <w:t>8.53%</w:t>
            </w:r>
          </w:p>
        </w:tc>
        <w:tc>
          <w:tcPr>
            <w:tcW w:w="771" w:type="pct"/>
            <w:tcBorders>
              <w:top w:val="nil"/>
              <w:left w:val="nil"/>
              <w:bottom w:val="nil"/>
              <w:right w:val="nil"/>
            </w:tcBorders>
            <w:shd w:val="clear" w:color="auto" w:fill="auto"/>
            <w:vAlign w:val="center"/>
            <w:hideMark/>
          </w:tcPr>
          <w:p w14:paraId="6CE7BA27" w14:textId="599B7950" w:rsidR="00F17AEC" w:rsidRPr="00F17AEC" w:rsidRDefault="00F17AEC" w:rsidP="007D2827">
            <w:pPr>
              <w:jc w:val="center"/>
              <w:rPr>
                <w:color w:val="000000"/>
                <w:sz w:val="22"/>
                <w:szCs w:val="22"/>
                <w:lang w:val="en-US" w:eastAsia="en-GB"/>
              </w:rPr>
            </w:pPr>
            <w:r w:rsidRPr="00F17AEC">
              <w:rPr>
                <w:color w:val="000000"/>
                <w:sz w:val="22"/>
                <w:szCs w:val="22"/>
              </w:rPr>
              <w:t>8.53%</w:t>
            </w:r>
          </w:p>
        </w:tc>
        <w:tc>
          <w:tcPr>
            <w:tcW w:w="1058" w:type="pct"/>
            <w:tcBorders>
              <w:top w:val="nil"/>
              <w:left w:val="nil"/>
              <w:bottom w:val="nil"/>
              <w:right w:val="single" w:sz="4" w:space="0" w:color="auto"/>
            </w:tcBorders>
            <w:shd w:val="clear" w:color="auto" w:fill="auto"/>
            <w:vAlign w:val="center"/>
            <w:hideMark/>
          </w:tcPr>
          <w:p w14:paraId="10DD4A28" w14:textId="0F68772F" w:rsidR="00F17AEC" w:rsidRPr="00F17AEC" w:rsidRDefault="00F17AEC" w:rsidP="007D2827">
            <w:pPr>
              <w:jc w:val="center"/>
              <w:rPr>
                <w:color w:val="000000"/>
                <w:sz w:val="22"/>
                <w:szCs w:val="22"/>
                <w:lang w:val="en-US" w:eastAsia="en-GB"/>
              </w:rPr>
            </w:pPr>
            <w:r w:rsidRPr="00F17AEC">
              <w:rPr>
                <w:color w:val="000000"/>
                <w:sz w:val="22"/>
                <w:szCs w:val="22"/>
              </w:rPr>
              <w:t>1053</w:t>
            </w:r>
          </w:p>
        </w:tc>
      </w:tr>
      <w:tr w:rsidR="00F17AEC" w:rsidRPr="00F17AEC" w14:paraId="713C9AF7" w14:textId="77777777" w:rsidTr="00942A6C">
        <w:trPr>
          <w:trHeight w:val="191"/>
        </w:trPr>
        <w:tc>
          <w:tcPr>
            <w:tcW w:w="367" w:type="pct"/>
            <w:tcBorders>
              <w:top w:val="nil"/>
              <w:left w:val="nil"/>
              <w:bottom w:val="nil"/>
              <w:right w:val="nil"/>
            </w:tcBorders>
            <w:shd w:val="clear" w:color="auto" w:fill="auto"/>
            <w:noWrap/>
            <w:vAlign w:val="bottom"/>
            <w:hideMark/>
          </w:tcPr>
          <w:p w14:paraId="36178207" w14:textId="648463D0" w:rsidR="00F17AEC" w:rsidRPr="00F17AEC" w:rsidRDefault="00F17AEC" w:rsidP="00F17AEC">
            <w:pPr>
              <w:jc w:val="center"/>
              <w:rPr>
                <w:color w:val="000000"/>
                <w:sz w:val="22"/>
                <w:szCs w:val="22"/>
                <w:lang w:val="en-US" w:eastAsia="en-GB"/>
              </w:rPr>
            </w:pPr>
            <w:r w:rsidRPr="00F17AEC">
              <w:rPr>
                <w:color w:val="000000"/>
                <w:sz w:val="22"/>
                <w:szCs w:val="22"/>
              </w:rPr>
              <w:t>2</w:t>
            </w:r>
          </w:p>
        </w:tc>
        <w:tc>
          <w:tcPr>
            <w:tcW w:w="1880" w:type="pct"/>
            <w:tcBorders>
              <w:top w:val="nil"/>
              <w:left w:val="nil"/>
              <w:bottom w:val="nil"/>
              <w:right w:val="nil"/>
            </w:tcBorders>
            <w:shd w:val="clear" w:color="auto" w:fill="auto"/>
            <w:vAlign w:val="bottom"/>
            <w:hideMark/>
          </w:tcPr>
          <w:p w14:paraId="3EE41E6F" w14:textId="08FAABEE" w:rsidR="00F17AEC" w:rsidRPr="00F17AEC" w:rsidRDefault="00F17AEC" w:rsidP="00F17AEC">
            <w:pPr>
              <w:rPr>
                <w:color w:val="000000"/>
                <w:sz w:val="22"/>
                <w:szCs w:val="22"/>
                <w:lang w:val="en-US" w:eastAsia="en-GB"/>
              </w:rPr>
            </w:pPr>
            <w:r w:rsidRPr="00F17AEC">
              <w:rPr>
                <w:color w:val="000000"/>
                <w:sz w:val="22"/>
                <w:szCs w:val="22"/>
              </w:rPr>
              <w:t>Deutsche Bank</w:t>
            </w:r>
          </w:p>
        </w:tc>
        <w:tc>
          <w:tcPr>
            <w:tcW w:w="501" w:type="pct"/>
            <w:tcBorders>
              <w:top w:val="nil"/>
              <w:left w:val="nil"/>
              <w:bottom w:val="nil"/>
              <w:right w:val="nil"/>
            </w:tcBorders>
            <w:shd w:val="clear" w:color="auto" w:fill="auto"/>
            <w:vAlign w:val="center"/>
            <w:hideMark/>
          </w:tcPr>
          <w:p w14:paraId="507064A3" w14:textId="6BA67FD9" w:rsidR="00F17AEC" w:rsidRPr="00F17AEC" w:rsidRDefault="00F17AEC" w:rsidP="007D2827">
            <w:pPr>
              <w:jc w:val="center"/>
              <w:rPr>
                <w:color w:val="000000"/>
                <w:sz w:val="22"/>
                <w:szCs w:val="22"/>
                <w:lang w:val="en-US" w:eastAsia="en-GB"/>
              </w:rPr>
            </w:pPr>
            <w:r w:rsidRPr="00F17AEC">
              <w:rPr>
                <w:color w:val="000000"/>
                <w:sz w:val="22"/>
                <w:szCs w:val="22"/>
              </w:rPr>
              <w:t>137.05</w:t>
            </w:r>
          </w:p>
        </w:tc>
        <w:tc>
          <w:tcPr>
            <w:tcW w:w="423" w:type="pct"/>
            <w:tcBorders>
              <w:top w:val="nil"/>
              <w:left w:val="nil"/>
              <w:bottom w:val="nil"/>
              <w:right w:val="nil"/>
            </w:tcBorders>
            <w:shd w:val="clear" w:color="auto" w:fill="auto"/>
            <w:vAlign w:val="center"/>
            <w:hideMark/>
          </w:tcPr>
          <w:p w14:paraId="02D192AA" w14:textId="080C9E86" w:rsidR="00F17AEC" w:rsidRPr="00F17AEC" w:rsidRDefault="00F17AEC" w:rsidP="007D2827">
            <w:pPr>
              <w:jc w:val="center"/>
              <w:rPr>
                <w:color w:val="000000"/>
                <w:sz w:val="22"/>
                <w:szCs w:val="22"/>
                <w:lang w:val="en-US" w:eastAsia="en-GB"/>
              </w:rPr>
            </w:pPr>
            <w:r w:rsidRPr="00F17AEC">
              <w:rPr>
                <w:color w:val="000000"/>
                <w:sz w:val="22"/>
                <w:szCs w:val="22"/>
              </w:rPr>
              <w:t>7.58%</w:t>
            </w:r>
          </w:p>
        </w:tc>
        <w:tc>
          <w:tcPr>
            <w:tcW w:w="771" w:type="pct"/>
            <w:tcBorders>
              <w:top w:val="nil"/>
              <w:left w:val="nil"/>
              <w:bottom w:val="nil"/>
              <w:right w:val="nil"/>
            </w:tcBorders>
            <w:shd w:val="clear" w:color="auto" w:fill="auto"/>
            <w:vAlign w:val="center"/>
            <w:hideMark/>
          </w:tcPr>
          <w:p w14:paraId="3CF4483E" w14:textId="560EBF29" w:rsidR="00F17AEC" w:rsidRPr="00F17AEC" w:rsidRDefault="00F17AEC" w:rsidP="007D2827">
            <w:pPr>
              <w:jc w:val="center"/>
              <w:rPr>
                <w:color w:val="000000"/>
                <w:sz w:val="22"/>
                <w:szCs w:val="22"/>
                <w:lang w:val="en-US" w:eastAsia="en-GB"/>
              </w:rPr>
            </w:pPr>
            <w:r w:rsidRPr="00F17AEC">
              <w:rPr>
                <w:color w:val="000000"/>
                <w:sz w:val="22"/>
                <w:szCs w:val="22"/>
              </w:rPr>
              <w:t>16.12%</w:t>
            </w:r>
          </w:p>
        </w:tc>
        <w:tc>
          <w:tcPr>
            <w:tcW w:w="1058" w:type="pct"/>
            <w:tcBorders>
              <w:top w:val="nil"/>
              <w:left w:val="nil"/>
              <w:bottom w:val="nil"/>
              <w:right w:val="single" w:sz="4" w:space="0" w:color="auto"/>
            </w:tcBorders>
            <w:shd w:val="clear" w:color="auto" w:fill="auto"/>
            <w:vAlign w:val="center"/>
            <w:hideMark/>
          </w:tcPr>
          <w:p w14:paraId="02844D1E" w14:textId="3C7EEB3F" w:rsidR="00F17AEC" w:rsidRPr="00F17AEC" w:rsidRDefault="00F17AEC" w:rsidP="007D2827">
            <w:pPr>
              <w:jc w:val="center"/>
              <w:rPr>
                <w:color w:val="000000"/>
                <w:sz w:val="22"/>
                <w:szCs w:val="22"/>
                <w:lang w:val="en-US" w:eastAsia="en-GB"/>
              </w:rPr>
            </w:pPr>
            <w:r w:rsidRPr="00F17AEC">
              <w:rPr>
                <w:color w:val="000000"/>
                <w:sz w:val="22"/>
                <w:szCs w:val="22"/>
              </w:rPr>
              <w:t>740</w:t>
            </w:r>
          </w:p>
        </w:tc>
      </w:tr>
      <w:tr w:rsidR="00F17AEC" w:rsidRPr="00F17AEC" w14:paraId="31EF3792" w14:textId="77777777" w:rsidTr="00942A6C">
        <w:trPr>
          <w:trHeight w:val="191"/>
        </w:trPr>
        <w:tc>
          <w:tcPr>
            <w:tcW w:w="367" w:type="pct"/>
            <w:tcBorders>
              <w:top w:val="nil"/>
              <w:left w:val="nil"/>
              <w:bottom w:val="nil"/>
              <w:right w:val="nil"/>
            </w:tcBorders>
            <w:shd w:val="clear" w:color="auto" w:fill="auto"/>
            <w:noWrap/>
            <w:vAlign w:val="bottom"/>
            <w:hideMark/>
          </w:tcPr>
          <w:p w14:paraId="3D11D890" w14:textId="4B659F18" w:rsidR="00F17AEC" w:rsidRPr="00F17AEC" w:rsidRDefault="00F17AEC" w:rsidP="00F17AEC">
            <w:pPr>
              <w:jc w:val="center"/>
              <w:rPr>
                <w:color w:val="000000"/>
                <w:sz w:val="22"/>
                <w:szCs w:val="22"/>
                <w:lang w:val="en-US" w:eastAsia="en-GB"/>
              </w:rPr>
            </w:pPr>
            <w:r w:rsidRPr="00F17AEC">
              <w:rPr>
                <w:color w:val="000000"/>
                <w:sz w:val="22"/>
                <w:szCs w:val="22"/>
              </w:rPr>
              <w:t>3</w:t>
            </w:r>
          </w:p>
        </w:tc>
        <w:tc>
          <w:tcPr>
            <w:tcW w:w="1880" w:type="pct"/>
            <w:tcBorders>
              <w:top w:val="nil"/>
              <w:left w:val="nil"/>
              <w:bottom w:val="nil"/>
              <w:right w:val="nil"/>
            </w:tcBorders>
            <w:shd w:val="clear" w:color="auto" w:fill="auto"/>
            <w:vAlign w:val="bottom"/>
            <w:hideMark/>
          </w:tcPr>
          <w:p w14:paraId="70ADD644" w14:textId="39D5D066" w:rsidR="00F17AEC" w:rsidRPr="00F17AEC" w:rsidRDefault="00F17AEC" w:rsidP="00F17AEC">
            <w:pPr>
              <w:rPr>
                <w:color w:val="000000"/>
                <w:sz w:val="22"/>
                <w:szCs w:val="22"/>
                <w:lang w:val="en-US" w:eastAsia="en-GB"/>
              </w:rPr>
            </w:pPr>
            <w:r w:rsidRPr="00F17AEC">
              <w:rPr>
                <w:color w:val="000000"/>
                <w:sz w:val="22"/>
                <w:szCs w:val="22"/>
              </w:rPr>
              <w:t>SG Corporate &amp; Investment Banking</w:t>
            </w:r>
          </w:p>
        </w:tc>
        <w:tc>
          <w:tcPr>
            <w:tcW w:w="501" w:type="pct"/>
            <w:tcBorders>
              <w:top w:val="nil"/>
              <w:left w:val="nil"/>
              <w:bottom w:val="nil"/>
              <w:right w:val="nil"/>
            </w:tcBorders>
            <w:shd w:val="clear" w:color="auto" w:fill="auto"/>
            <w:vAlign w:val="center"/>
            <w:hideMark/>
          </w:tcPr>
          <w:p w14:paraId="5801D341" w14:textId="6F1A0FB5" w:rsidR="00F17AEC" w:rsidRPr="00F17AEC" w:rsidRDefault="00F17AEC" w:rsidP="007D2827">
            <w:pPr>
              <w:jc w:val="center"/>
              <w:rPr>
                <w:color w:val="000000"/>
                <w:sz w:val="22"/>
                <w:szCs w:val="22"/>
                <w:lang w:val="en-US" w:eastAsia="en-GB"/>
              </w:rPr>
            </w:pPr>
            <w:r w:rsidRPr="00F17AEC">
              <w:rPr>
                <w:color w:val="000000"/>
                <w:sz w:val="22"/>
                <w:szCs w:val="22"/>
              </w:rPr>
              <w:t>123.29</w:t>
            </w:r>
          </w:p>
        </w:tc>
        <w:tc>
          <w:tcPr>
            <w:tcW w:w="423" w:type="pct"/>
            <w:tcBorders>
              <w:top w:val="nil"/>
              <w:left w:val="nil"/>
              <w:bottom w:val="nil"/>
              <w:right w:val="nil"/>
            </w:tcBorders>
            <w:shd w:val="clear" w:color="auto" w:fill="auto"/>
            <w:vAlign w:val="center"/>
            <w:hideMark/>
          </w:tcPr>
          <w:p w14:paraId="59125BD3" w14:textId="3449ABCE" w:rsidR="00F17AEC" w:rsidRPr="00F17AEC" w:rsidRDefault="00F17AEC" w:rsidP="007D2827">
            <w:pPr>
              <w:jc w:val="center"/>
              <w:rPr>
                <w:color w:val="000000"/>
                <w:sz w:val="22"/>
                <w:szCs w:val="22"/>
                <w:lang w:val="en-US" w:eastAsia="en-GB"/>
              </w:rPr>
            </w:pPr>
            <w:r w:rsidRPr="00F17AEC">
              <w:rPr>
                <w:color w:val="000000"/>
                <w:sz w:val="22"/>
                <w:szCs w:val="22"/>
              </w:rPr>
              <w:t>6.82%</w:t>
            </w:r>
          </w:p>
        </w:tc>
        <w:tc>
          <w:tcPr>
            <w:tcW w:w="771" w:type="pct"/>
            <w:tcBorders>
              <w:top w:val="nil"/>
              <w:left w:val="nil"/>
              <w:bottom w:val="nil"/>
              <w:right w:val="nil"/>
            </w:tcBorders>
            <w:shd w:val="clear" w:color="auto" w:fill="auto"/>
            <w:vAlign w:val="center"/>
            <w:hideMark/>
          </w:tcPr>
          <w:p w14:paraId="3059871E" w14:textId="7EBC4A84" w:rsidR="00F17AEC" w:rsidRPr="00F17AEC" w:rsidRDefault="00F17AEC" w:rsidP="007D2827">
            <w:pPr>
              <w:jc w:val="center"/>
              <w:rPr>
                <w:color w:val="000000"/>
                <w:sz w:val="22"/>
                <w:szCs w:val="22"/>
                <w:lang w:val="en-US" w:eastAsia="en-GB"/>
              </w:rPr>
            </w:pPr>
            <w:r w:rsidRPr="00F17AEC">
              <w:rPr>
                <w:color w:val="000000"/>
                <w:sz w:val="22"/>
                <w:szCs w:val="22"/>
              </w:rPr>
              <w:t>22.94%</w:t>
            </w:r>
          </w:p>
        </w:tc>
        <w:tc>
          <w:tcPr>
            <w:tcW w:w="1058" w:type="pct"/>
            <w:tcBorders>
              <w:top w:val="nil"/>
              <w:left w:val="nil"/>
              <w:bottom w:val="nil"/>
              <w:right w:val="single" w:sz="4" w:space="0" w:color="auto"/>
            </w:tcBorders>
            <w:shd w:val="clear" w:color="auto" w:fill="auto"/>
            <w:vAlign w:val="center"/>
            <w:hideMark/>
          </w:tcPr>
          <w:p w14:paraId="75A15F17" w14:textId="0B6BF194" w:rsidR="00F17AEC" w:rsidRPr="00F17AEC" w:rsidRDefault="00F17AEC" w:rsidP="007D2827">
            <w:pPr>
              <w:jc w:val="center"/>
              <w:rPr>
                <w:color w:val="000000"/>
                <w:sz w:val="22"/>
                <w:szCs w:val="22"/>
                <w:lang w:val="en-US" w:eastAsia="en-GB"/>
              </w:rPr>
            </w:pPr>
            <w:r w:rsidRPr="00F17AEC">
              <w:rPr>
                <w:color w:val="000000"/>
                <w:sz w:val="22"/>
                <w:szCs w:val="22"/>
              </w:rPr>
              <w:t>888</w:t>
            </w:r>
          </w:p>
        </w:tc>
      </w:tr>
      <w:tr w:rsidR="00F17AEC" w:rsidRPr="00F17AEC" w14:paraId="76F736E4" w14:textId="77777777" w:rsidTr="00942A6C">
        <w:trPr>
          <w:trHeight w:val="191"/>
        </w:trPr>
        <w:tc>
          <w:tcPr>
            <w:tcW w:w="367" w:type="pct"/>
            <w:tcBorders>
              <w:top w:val="nil"/>
              <w:left w:val="nil"/>
              <w:bottom w:val="nil"/>
              <w:right w:val="nil"/>
            </w:tcBorders>
            <w:shd w:val="clear" w:color="auto" w:fill="auto"/>
            <w:noWrap/>
            <w:vAlign w:val="bottom"/>
            <w:hideMark/>
          </w:tcPr>
          <w:p w14:paraId="41339F06" w14:textId="1CC96734" w:rsidR="00F17AEC" w:rsidRPr="00F17AEC" w:rsidRDefault="00F17AEC" w:rsidP="00F17AEC">
            <w:pPr>
              <w:jc w:val="center"/>
              <w:rPr>
                <w:color w:val="000000"/>
                <w:sz w:val="22"/>
                <w:szCs w:val="22"/>
                <w:lang w:val="en-US" w:eastAsia="en-GB"/>
              </w:rPr>
            </w:pPr>
            <w:r w:rsidRPr="00F17AEC">
              <w:rPr>
                <w:color w:val="000000"/>
                <w:sz w:val="22"/>
                <w:szCs w:val="22"/>
              </w:rPr>
              <w:t>4</w:t>
            </w:r>
          </w:p>
        </w:tc>
        <w:tc>
          <w:tcPr>
            <w:tcW w:w="1880" w:type="pct"/>
            <w:tcBorders>
              <w:top w:val="nil"/>
              <w:left w:val="nil"/>
              <w:bottom w:val="nil"/>
              <w:right w:val="nil"/>
            </w:tcBorders>
            <w:shd w:val="clear" w:color="auto" w:fill="auto"/>
            <w:vAlign w:val="bottom"/>
            <w:hideMark/>
          </w:tcPr>
          <w:p w14:paraId="746891DA" w14:textId="255B740C" w:rsidR="00F17AEC" w:rsidRPr="00F17AEC" w:rsidRDefault="00F17AEC" w:rsidP="00F17AEC">
            <w:pPr>
              <w:rPr>
                <w:color w:val="000000"/>
                <w:sz w:val="22"/>
                <w:szCs w:val="22"/>
                <w:lang w:val="en-US" w:eastAsia="en-GB"/>
              </w:rPr>
            </w:pPr>
            <w:r w:rsidRPr="00F17AEC">
              <w:rPr>
                <w:color w:val="000000"/>
                <w:sz w:val="22"/>
                <w:szCs w:val="22"/>
              </w:rPr>
              <w:t>HSBC</w:t>
            </w:r>
          </w:p>
        </w:tc>
        <w:tc>
          <w:tcPr>
            <w:tcW w:w="501" w:type="pct"/>
            <w:tcBorders>
              <w:top w:val="nil"/>
              <w:left w:val="nil"/>
              <w:bottom w:val="nil"/>
              <w:right w:val="nil"/>
            </w:tcBorders>
            <w:shd w:val="clear" w:color="auto" w:fill="auto"/>
            <w:vAlign w:val="center"/>
            <w:hideMark/>
          </w:tcPr>
          <w:p w14:paraId="6AB04EE1" w14:textId="12E840CB" w:rsidR="00F17AEC" w:rsidRPr="00F17AEC" w:rsidRDefault="00F17AEC" w:rsidP="007D2827">
            <w:pPr>
              <w:jc w:val="center"/>
              <w:rPr>
                <w:color w:val="000000"/>
                <w:sz w:val="22"/>
                <w:szCs w:val="22"/>
                <w:lang w:val="en-US" w:eastAsia="en-GB"/>
              </w:rPr>
            </w:pPr>
            <w:r w:rsidRPr="00F17AEC">
              <w:rPr>
                <w:color w:val="000000"/>
                <w:sz w:val="22"/>
                <w:szCs w:val="22"/>
              </w:rPr>
              <w:t>104.33</w:t>
            </w:r>
          </w:p>
        </w:tc>
        <w:tc>
          <w:tcPr>
            <w:tcW w:w="423" w:type="pct"/>
            <w:tcBorders>
              <w:top w:val="nil"/>
              <w:left w:val="nil"/>
              <w:bottom w:val="nil"/>
              <w:right w:val="nil"/>
            </w:tcBorders>
            <w:shd w:val="clear" w:color="auto" w:fill="auto"/>
            <w:vAlign w:val="center"/>
            <w:hideMark/>
          </w:tcPr>
          <w:p w14:paraId="08CF0328" w14:textId="5F0A1528" w:rsidR="00F17AEC" w:rsidRPr="00F17AEC" w:rsidRDefault="00F17AEC" w:rsidP="007D2827">
            <w:pPr>
              <w:jc w:val="center"/>
              <w:rPr>
                <w:color w:val="000000"/>
                <w:sz w:val="22"/>
                <w:szCs w:val="22"/>
                <w:lang w:val="en-US" w:eastAsia="en-GB"/>
              </w:rPr>
            </w:pPr>
            <w:r w:rsidRPr="00F17AEC">
              <w:rPr>
                <w:color w:val="000000"/>
                <w:sz w:val="22"/>
                <w:szCs w:val="22"/>
              </w:rPr>
              <w:t>5.77%</w:t>
            </w:r>
          </w:p>
        </w:tc>
        <w:tc>
          <w:tcPr>
            <w:tcW w:w="771" w:type="pct"/>
            <w:tcBorders>
              <w:top w:val="nil"/>
              <w:left w:val="nil"/>
              <w:bottom w:val="nil"/>
              <w:right w:val="nil"/>
            </w:tcBorders>
            <w:shd w:val="clear" w:color="auto" w:fill="auto"/>
            <w:vAlign w:val="center"/>
            <w:hideMark/>
          </w:tcPr>
          <w:p w14:paraId="08B8BAD9" w14:textId="7D305C73" w:rsidR="00F17AEC" w:rsidRPr="00F17AEC" w:rsidRDefault="00F17AEC" w:rsidP="007D2827">
            <w:pPr>
              <w:jc w:val="center"/>
              <w:rPr>
                <w:color w:val="000000"/>
                <w:sz w:val="22"/>
                <w:szCs w:val="22"/>
                <w:lang w:val="en-US" w:eastAsia="en-GB"/>
              </w:rPr>
            </w:pPr>
            <w:r w:rsidRPr="00F17AEC">
              <w:rPr>
                <w:color w:val="000000"/>
                <w:sz w:val="22"/>
                <w:szCs w:val="22"/>
              </w:rPr>
              <w:t>28.71%</w:t>
            </w:r>
          </w:p>
        </w:tc>
        <w:tc>
          <w:tcPr>
            <w:tcW w:w="1058" w:type="pct"/>
            <w:tcBorders>
              <w:top w:val="nil"/>
              <w:left w:val="nil"/>
              <w:bottom w:val="nil"/>
              <w:right w:val="single" w:sz="4" w:space="0" w:color="auto"/>
            </w:tcBorders>
            <w:shd w:val="clear" w:color="auto" w:fill="auto"/>
            <w:vAlign w:val="center"/>
            <w:hideMark/>
          </w:tcPr>
          <w:p w14:paraId="31E4DBD8" w14:textId="1272B55A" w:rsidR="00F17AEC" w:rsidRPr="00F17AEC" w:rsidRDefault="00F17AEC" w:rsidP="007D2827">
            <w:pPr>
              <w:jc w:val="center"/>
              <w:rPr>
                <w:color w:val="000000"/>
                <w:sz w:val="22"/>
                <w:szCs w:val="22"/>
                <w:lang w:val="en-US" w:eastAsia="en-GB"/>
              </w:rPr>
            </w:pPr>
            <w:r w:rsidRPr="00F17AEC">
              <w:rPr>
                <w:color w:val="000000"/>
                <w:sz w:val="22"/>
                <w:szCs w:val="22"/>
              </w:rPr>
              <w:t>734</w:t>
            </w:r>
          </w:p>
        </w:tc>
      </w:tr>
      <w:tr w:rsidR="00F17AEC" w:rsidRPr="00F17AEC" w14:paraId="12D61FC3" w14:textId="77777777" w:rsidTr="00942A6C">
        <w:trPr>
          <w:trHeight w:val="191"/>
        </w:trPr>
        <w:tc>
          <w:tcPr>
            <w:tcW w:w="367" w:type="pct"/>
            <w:tcBorders>
              <w:top w:val="nil"/>
              <w:left w:val="nil"/>
              <w:bottom w:val="nil"/>
              <w:right w:val="nil"/>
            </w:tcBorders>
            <w:shd w:val="clear" w:color="auto" w:fill="auto"/>
            <w:noWrap/>
            <w:vAlign w:val="bottom"/>
            <w:hideMark/>
          </w:tcPr>
          <w:p w14:paraId="0501B4F4" w14:textId="0D149A69" w:rsidR="00F17AEC" w:rsidRPr="00F17AEC" w:rsidRDefault="00F17AEC" w:rsidP="00F17AEC">
            <w:pPr>
              <w:jc w:val="center"/>
              <w:rPr>
                <w:color w:val="000000"/>
                <w:sz w:val="22"/>
                <w:szCs w:val="22"/>
                <w:lang w:val="en-US" w:eastAsia="en-GB"/>
              </w:rPr>
            </w:pPr>
            <w:r w:rsidRPr="00F17AEC">
              <w:rPr>
                <w:color w:val="000000"/>
                <w:sz w:val="22"/>
                <w:szCs w:val="22"/>
              </w:rPr>
              <w:t>5</w:t>
            </w:r>
          </w:p>
        </w:tc>
        <w:tc>
          <w:tcPr>
            <w:tcW w:w="1880" w:type="pct"/>
            <w:tcBorders>
              <w:top w:val="nil"/>
              <w:left w:val="nil"/>
              <w:bottom w:val="nil"/>
              <w:right w:val="nil"/>
            </w:tcBorders>
            <w:shd w:val="clear" w:color="auto" w:fill="auto"/>
            <w:vAlign w:val="bottom"/>
            <w:hideMark/>
          </w:tcPr>
          <w:p w14:paraId="2D87AC50" w14:textId="0E6A3B95" w:rsidR="00F17AEC" w:rsidRPr="00F17AEC" w:rsidRDefault="00F17AEC" w:rsidP="00F17AEC">
            <w:pPr>
              <w:rPr>
                <w:color w:val="000000"/>
                <w:sz w:val="22"/>
                <w:szCs w:val="22"/>
                <w:lang w:val="en-US" w:eastAsia="en-GB"/>
              </w:rPr>
            </w:pPr>
            <w:r w:rsidRPr="00F17AEC">
              <w:rPr>
                <w:color w:val="000000"/>
                <w:sz w:val="22"/>
                <w:szCs w:val="22"/>
              </w:rPr>
              <w:t>Credit Agricole CIB</w:t>
            </w:r>
          </w:p>
        </w:tc>
        <w:tc>
          <w:tcPr>
            <w:tcW w:w="501" w:type="pct"/>
            <w:tcBorders>
              <w:top w:val="nil"/>
              <w:left w:val="nil"/>
              <w:bottom w:val="nil"/>
              <w:right w:val="nil"/>
            </w:tcBorders>
            <w:shd w:val="clear" w:color="auto" w:fill="auto"/>
            <w:vAlign w:val="center"/>
            <w:hideMark/>
          </w:tcPr>
          <w:p w14:paraId="48EA5154" w14:textId="72526417" w:rsidR="00F17AEC" w:rsidRPr="00F17AEC" w:rsidRDefault="00F17AEC" w:rsidP="007D2827">
            <w:pPr>
              <w:jc w:val="center"/>
              <w:rPr>
                <w:color w:val="000000"/>
                <w:sz w:val="22"/>
                <w:szCs w:val="22"/>
                <w:lang w:val="en-US" w:eastAsia="en-GB"/>
              </w:rPr>
            </w:pPr>
            <w:r w:rsidRPr="00F17AEC">
              <w:rPr>
                <w:color w:val="000000"/>
                <w:sz w:val="22"/>
                <w:szCs w:val="22"/>
              </w:rPr>
              <w:t>94.23</w:t>
            </w:r>
          </w:p>
        </w:tc>
        <w:tc>
          <w:tcPr>
            <w:tcW w:w="423" w:type="pct"/>
            <w:tcBorders>
              <w:top w:val="nil"/>
              <w:left w:val="nil"/>
              <w:bottom w:val="nil"/>
              <w:right w:val="nil"/>
            </w:tcBorders>
            <w:shd w:val="clear" w:color="auto" w:fill="auto"/>
            <w:vAlign w:val="center"/>
            <w:hideMark/>
          </w:tcPr>
          <w:p w14:paraId="603EDC4E" w14:textId="1908F33F" w:rsidR="00F17AEC" w:rsidRPr="00F17AEC" w:rsidRDefault="00F17AEC" w:rsidP="007D2827">
            <w:pPr>
              <w:jc w:val="center"/>
              <w:rPr>
                <w:color w:val="000000"/>
                <w:sz w:val="22"/>
                <w:szCs w:val="22"/>
                <w:lang w:val="en-US" w:eastAsia="en-GB"/>
              </w:rPr>
            </w:pPr>
            <w:r w:rsidRPr="00F17AEC">
              <w:rPr>
                <w:color w:val="000000"/>
                <w:sz w:val="22"/>
                <w:szCs w:val="22"/>
              </w:rPr>
              <w:t>5.21%</w:t>
            </w:r>
          </w:p>
        </w:tc>
        <w:tc>
          <w:tcPr>
            <w:tcW w:w="771" w:type="pct"/>
            <w:tcBorders>
              <w:top w:val="nil"/>
              <w:left w:val="nil"/>
              <w:bottom w:val="nil"/>
              <w:right w:val="nil"/>
            </w:tcBorders>
            <w:shd w:val="clear" w:color="auto" w:fill="auto"/>
            <w:vAlign w:val="center"/>
            <w:hideMark/>
          </w:tcPr>
          <w:p w14:paraId="66967F8A" w14:textId="505B0D5F" w:rsidR="00F17AEC" w:rsidRPr="00F17AEC" w:rsidRDefault="00F17AEC" w:rsidP="007D2827">
            <w:pPr>
              <w:jc w:val="center"/>
              <w:rPr>
                <w:color w:val="000000"/>
                <w:sz w:val="22"/>
                <w:szCs w:val="22"/>
                <w:lang w:val="en-US" w:eastAsia="en-GB"/>
              </w:rPr>
            </w:pPr>
            <w:r w:rsidRPr="00F17AEC">
              <w:rPr>
                <w:color w:val="000000"/>
                <w:sz w:val="22"/>
                <w:szCs w:val="22"/>
              </w:rPr>
              <w:t>33.93%</w:t>
            </w:r>
          </w:p>
        </w:tc>
        <w:tc>
          <w:tcPr>
            <w:tcW w:w="1058" w:type="pct"/>
            <w:tcBorders>
              <w:top w:val="nil"/>
              <w:left w:val="nil"/>
              <w:bottom w:val="nil"/>
              <w:right w:val="single" w:sz="4" w:space="0" w:color="auto"/>
            </w:tcBorders>
            <w:shd w:val="clear" w:color="auto" w:fill="auto"/>
            <w:vAlign w:val="center"/>
            <w:hideMark/>
          </w:tcPr>
          <w:p w14:paraId="36A7BDDB" w14:textId="7F7EBC81" w:rsidR="00F17AEC" w:rsidRPr="00F17AEC" w:rsidRDefault="00F17AEC" w:rsidP="007D2827">
            <w:pPr>
              <w:jc w:val="center"/>
              <w:rPr>
                <w:color w:val="000000"/>
                <w:sz w:val="22"/>
                <w:szCs w:val="22"/>
                <w:lang w:val="en-US" w:eastAsia="en-GB"/>
              </w:rPr>
            </w:pPr>
            <w:r w:rsidRPr="00F17AEC">
              <w:rPr>
                <w:color w:val="000000"/>
                <w:sz w:val="22"/>
                <w:szCs w:val="22"/>
              </w:rPr>
              <w:t>686</w:t>
            </w:r>
          </w:p>
        </w:tc>
      </w:tr>
      <w:tr w:rsidR="00F17AEC" w:rsidRPr="00F17AEC" w14:paraId="3F1A9483" w14:textId="77777777" w:rsidTr="00942A6C">
        <w:trPr>
          <w:trHeight w:val="191"/>
        </w:trPr>
        <w:tc>
          <w:tcPr>
            <w:tcW w:w="367" w:type="pct"/>
            <w:tcBorders>
              <w:top w:val="nil"/>
              <w:left w:val="nil"/>
              <w:bottom w:val="nil"/>
              <w:right w:val="nil"/>
            </w:tcBorders>
            <w:shd w:val="clear" w:color="auto" w:fill="auto"/>
            <w:noWrap/>
            <w:vAlign w:val="bottom"/>
            <w:hideMark/>
          </w:tcPr>
          <w:p w14:paraId="3B8D3037" w14:textId="33DEE24C" w:rsidR="00F17AEC" w:rsidRPr="00F17AEC" w:rsidRDefault="00F17AEC" w:rsidP="00F17AEC">
            <w:pPr>
              <w:jc w:val="center"/>
              <w:rPr>
                <w:color w:val="000000"/>
                <w:sz w:val="22"/>
                <w:szCs w:val="22"/>
                <w:lang w:val="en-US" w:eastAsia="en-GB"/>
              </w:rPr>
            </w:pPr>
            <w:r w:rsidRPr="00F17AEC">
              <w:rPr>
                <w:color w:val="000000"/>
                <w:sz w:val="22"/>
                <w:szCs w:val="22"/>
              </w:rPr>
              <w:t>6</w:t>
            </w:r>
          </w:p>
        </w:tc>
        <w:tc>
          <w:tcPr>
            <w:tcW w:w="1880" w:type="pct"/>
            <w:tcBorders>
              <w:top w:val="nil"/>
              <w:left w:val="nil"/>
              <w:bottom w:val="nil"/>
              <w:right w:val="nil"/>
            </w:tcBorders>
            <w:shd w:val="clear" w:color="auto" w:fill="auto"/>
            <w:vAlign w:val="bottom"/>
            <w:hideMark/>
          </w:tcPr>
          <w:p w14:paraId="327F868C" w14:textId="6FDF5370" w:rsidR="00F17AEC" w:rsidRPr="00F17AEC" w:rsidRDefault="00F17AEC" w:rsidP="00F17AEC">
            <w:pPr>
              <w:rPr>
                <w:color w:val="000000"/>
                <w:sz w:val="22"/>
                <w:szCs w:val="22"/>
                <w:lang w:val="en-US" w:eastAsia="en-GB"/>
              </w:rPr>
            </w:pPr>
            <w:r w:rsidRPr="00F17AEC">
              <w:rPr>
                <w:color w:val="000000"/>
                <w:sz w:val="22"/>
                <w:szCs w:val="22"/>
              </w:rPr>
              <w:t>NatWest Markets</w:t>
            </w:r>
          </w:p>
        </w:tc>
        <w:tc>
          <w:tcPr>
            <w:tcW w:w="501" w:type="pct"/>
            <w:tcBorders>
              <w:top w:val="nil"/>
              <w:left w:val="nil"/>
              <w:bottom w:val="nil"/>
              <w:right w:val="nil"/>
            </w:tcBorders>
            <w:shd w:val="clear" w:color="auto" w:fill="auto"/>
            <w:vAlign w:val="center"/>
            <w:hideMark/>
          </w:tcPr>
          <w:p w14:paraId="61597728" w14:textId="0FA99A72" w:rsidR="00F17AEC" w:rsidRPr="00F17AEC" w:rsidRDefault="00F17AEC" w:rsidP="007D2827">
            <w:pPr>
              <w:jc w:val="center"/>
              <w:rPr>
                <w:color w:val="000000"/>
                <w:sz w:val="22"/>
                <w:szCs w:val="22"/>
                <w:lang w:val="en-US" w:eastAsia="en-GB"/>
              </w:rPr>
            </w:pPr>
            <w:r w:rsidRPr="00F17AEC">
              <w:rPr>
                <w:color w:val="000000"/>
                <w:sz w:val="22"/>
                <w:szCs w:val="22"/>
              </w:rPr>
              <w:t>94.03</w:t>
            </w:r>
          </w:p>
        </w:tc>
        <w:tc>
          <w:tcPr>
            <w:tcW w:w="423" w:type="pct"/>
            <w:tcBorders>
              <w:top w:val="nil"/>
              <w:left w:val="nil"/>
              <w:bottom w:val="nil"/>
              <w:right w:val="nil"/>
            </w:tcBorders>
            <w:shd w:val="clear" w:color="auto" w:fill="auto"/>
            <w:vAlign w:val="center"/>
            <w:hideMark/>
          </w:tcPr>
          <w:p w14:paraId="403D329E" w14:textId="3F87276C" w:rsidR="00F17AEC" w:rsidRPr="00F17AEC" w:rsidRDefault="00F17AEC" w:rsidP="007D2827">
            <w:pPr>
              <w:jc w:val="center"/>
              <w:rPr>
                <w:color w:val="000000"/>
                <w:sz w:val="22"/>
                <w:szCs w:val="22"/>
                <w:lang w:val="en-US" w:eastAsia="en-GB"/>
              </w:rPr>
            </w:pPr>
            <w:r w:rsidRPr="00F17AEC">
              <w:rPr>
                <w:color w:val="000000"/>
                <w:sz w:val="22"/>
                <w:szCs w:val="22"/>
              </w:rPr>
              <w:t>5.20%</w:t>
            </w:r>
          </w:p>
        </w:tc>
        <w:tc>
          <w:tcPr>
            <w:tcW w:w="771" w:type="pct"/>
            <w:tcBorders>
              <w:top w:val="nil"/>
              <w:left w:val="nil"/>
              <w:bottom w:val="nil"/>
              <w:right w:val="nil"/>
            </w:tcBorders>
            <w:shd w:val="clear" w:color="auto" w:fill="auto"/>
            <w:vAlign w:val="center"/>
            <w:hideMark/>
          </w:tcPr>
          <w:p w14:paraId="06CB9F42" w14:textId="060B6C61" w:rsidR="00F17AEC" w:rsidRPr="00F17AEC" w:rsidRDefault="00F17AEC" w:rsidP="007D2827">
            <w:pPr>
              <w:jc w:val="center"/>
              <w:rPr>
                <w:color w:val="000000"/>
                <w:sz w:val="22"/>
                <w:szCs w:val="22"/>
                <w:lang w:val="en-US" w:eastAsia="en-GB"/>
              </w:rPr>
            </w:pPr>
            <w:r w:rsidRPr="00F17AEC">
              <w:rPr>
                <w:color w:val="000000"/>
                <w:sz w:val="22"/>
                <w:szCs w:val="22"/>
              </w:rPr>
              <w:t>39.13%</w:t>
            </w:r>
          </w:p>
        </w:tc>
        <w:tc>
          <w:tcPr>
            <w:tcW w:w="1058" w:type="pct"/>
            <w:tcBorders>
              <w:top w:val="nil"/>
              <w:left w:val="nil"/>
              <w:bottom w:val="nil"/>
              <w:right w:val="single" w:sz="4" w:space="0" w:color="auto"/>
            </w:tcBorders>
            <w:shd w:val="clear" w:color="auto" w:fill="auto"/>
            <w:vAlign w:val="center"/>
            <w:hideMark/>
          </w:tcPr>
          <w:p w14:paraId="4CA961DF" w14:textId="41976B6B" w:rsidR="00F17AEC" w:rsidRPr="00F17AEC" w:rsidRDefault="00F17AEC" w:rsidP="007D2827">
            <w:pPr>
              <w:jc w:val="center"/>
              <w:rPr>
                <w:color w:val="000000"/>
                <w:sz w:val="22"/>
                <w:szCs w:val="22"/>
                <w:lang w:val="en-US" w:eastAsia="en-GB"/>
              </w:rPr>
            </w:pPr>
            <w:r w:rsidRPr="00F17AEC">
              <w:rPr>
                <w:color w:val="000000"/>
                <w:sz w:val="22"/>
                <w:szCs w:val="22"/>
              </w:rPr>
              <w:t>566</w:t>
            </w:r>
          </w:p>
        </w:tc>
      </w:tr>
      <w:tr w:rsidR="00F17AEC" w:rsidRPr="00F17AEC" w14:paraId="5D43BEB5" w14:textId="77777777" w:rsidTr="00942A6C">
        <w:trPr>
          <w:trHeight w:val="191"/>
        </w:trPr>
        <w:tc>
          <w:tcPr>
            <w:tcW w:w="367" w:type="pct"/>
            <w:tcBorders>
              <w:top w:val="nil"/>
              <w:left w:val="nil"/>
              <w:bottom w:val="nil"/>
              <w:right w:val="nil"/>
            </w:tcBorders>
            <w:shd w:val="clear" w:color="auto" w:fill="auto"/>
            <w:noWrap/>
            <w:vAlign w:val="bottom"/>
            <w:hideMark/>
          </w:tcPr>
          <w:p w14:paraId="79C03CBA" w14:textId="5D816FE0" w:rsidR="00F17AEC" w:rsidRPr="00F17AEC" w:rsidRDefault="00F17AEC" w:rsidP="00F17AEC">
            <w:pPr>
              <w:jc w:val="center"/>
              <w:rPr>
                <w:color w:val="000000"/>
                <w:sz w:val="22"/>
                <w:szCs w:val="22"/>
                <w:lang w:val="en-US" w:eastAsia="en-GB"/>
              </w:rPr>
            </w:pPr>
            <w:r w:rsidRPr="00F17AEC">
              <w:rPr>
                <w:color w:val="000000"/>
                <w:sz w:val="22"/>
                <w:szCs w:val="22"/>
              </w:rPr>
              <w:t>7</w:t>
            </w:r>
          </w:p>
        </w:tc>
        <w:tc>
          <w:tcPr>
            <w:tcW w:w="1880" w:type="pct"/>
            <w:tcBorders>
              <w:top w:val="nil"/>
              <w:left w:val="nil"/>
              <w:bottom w:val="nil"/>
              <w:right w:val="nil"/>
            </w:tcBorders>
            <w:shd w:val="clear" w:color="auto" w:fill="auto"/>
            <w:vAlign w:val="bottom"/>
            <w:hideMark/>
          </w:tcPr>
          <w:p w14:paraId="5EE6B549" w14:textId="28DD1BDD" w:rsidR="00F17AEC" w:rsidRPr="00F17AEC" w:rsidRDefault="00F17AEC" w:rsidP="00F17AEC">
            <w:pPr>
              <w:rPr>
                <w:color w:val="000000"/>
                <w:sz w:val="22"/>
                <w:szCs w:val="22"/>
                <w:lang w:val="en-US" w:eastAsia="en-GB"/>
              </w:rPr>
            </w:pPr>
            <w:r w:rsidRPr="00F17AEC">
              <w:rPr>
                <w:color w:val="000000"/>
                <w:sz w:val="22"/>
                <w:szCs w:val="22"/>
              </w:rPr>
              <w:t>JPMorgan</w:t>
            </w:r>
          </w:p>
        </w:tc>
        <w:tc>
          <w:tcPr>
            <w:tcW w:w="501" w:type="pct"/>
            <w:tcBorders>
              <w:top w:val="nil"/>
              <w:left w:val="nil"/>
              <w:bottom w:val="nil"/>
              <w:right w:val="nil"/>
            </w:tcBorders>
            <w:shd w:val="clear" w:color="auto" w:fill="auto"/>
            <w:vAlign w:val="center"/>
            <w:hideMark/>
          </w:tcPr>
          <w:p w14:paraId="53C5AC53" w14:textId="4B7DD820" w:rsidR="00F17AEC" w:rsidRPr="00F17AEC" w:rsidRDefault="00F17AEC" w:rsidP="007D2827">
            <w:pPr>
              <w:jc w:val="center"/>
              <w:rPr>
                <w:color w:val="000000"/>
                <w:sz w:val="22"/>
                <w:szCs w:val="22"/>
                <w:lang w:val="en-US" w:eastAsia="en-GB"/>
              </w:rPr>
            </w:pPr>
            <w:r w:rsidRPr="00F17AEC">
              <w:rPr>
                <w:color w:val="000000"/>
                <w:sz w:val="22"/>
                <w:szCs w:val="22"/>
              </w:rPr>
              <w:t>93.48</w:t>
            </w:r>
          </w:p>
        </w:tc>
        <w:tc>
          <w:tcPr>
            <w:tcW w:w="423" w:type="pct"/>
            <w:tcBorders>
              <w:top w:val="nil"/>
              <w:left w:val="nil"/>
              <w:bottom w:val="nil"/>
              <w:right w:val="nil"/>
            </w:tcBorders>
            <w:shd w:val="clear" w:color="auto" w:fill="auto"/>
            <w:vAlign w:val="center"/>
            <w:hideMark/>
          </w:tcPr>
          <w:p w14:paraId="6170E130" w14:textId="581AE66A" w:rsidR="00F17AEC" w:rsidRPr="00F17AEC" w:rsidRDefault="00F17AEC" w:rsidP="007D2827">
            <w:pPr>
              <w:jc w:val="center"/>
              <w:rPr>
                <w:color w:val="000000"/>
                <w:sz w:val="22"/>
                <w:szCs w:val="22"/>
                <w:lang w:val="en-US" w:eastAsia="en-GB"/>
              </w:rPr>
            </w:pPr>
            <w:r w:rsidRPr="00F17AEC">
              <w:rPr>
                <w:color w:val="000000"/>
                <w:sz w:val="22"/>
                <w:szCs w:val="22"/>
              </w:rPr>
              <w:t>5.17%</w:t>
            </w:r>
          </w:p>
        </w:tc>
        <w:tc>
          <w:tcPr>
            <w:tcW w:w="771" w:type="pct"/>
            <w:tcBorders>
              <w:top w:val="nil"/>
              <w:left w:val="nil"/>
              <w:bottom w:val="nil"/>
              <w:right w:val="nil"/>
            </w:tcBorders>
            <w:shd w:val="clear" w:color="auto" w:fill="auto"/>
            <w:vAlign w:val="center"/>
            <w:hideMark/>
          </w:tcPr>
          <w:p w14:paraId="427BE400" w14:textId="5A791459" w:rsidR="00F17AEC" w:rsidRPr="00F17AEC" w:rsidRDefault="00F17AEC" w:rsidP="007D2827">
            <w:pPr>
              <w:jc w:val="center"/>
              <w:rPr>
                <w:color w:val="000000"/>
                <w:sz w:val="22"/>
                <w:szCs w:val="22"/>
                <w:lang w:val="en-US" w:eastAsia="en-GB"/>
              </w:rPr>
            </w:pPr>
            <w:r w:rsidRPr="00F17AEC">
              <w:rPr>
                <w:color w:val="000000"/>
                <w:sz w:val="22"/>
                <w:szCs w:val="22"/>
              </w:rPr>
              <w:t>44.31%</w:t>
            </w:r>
          </w:p>
        </w:tc>
        <w:tc>
          <w:tcPr>
            <w:tcW w:w="1058" w:type="pct"/>
            <w:tcBorders>
              <w:top w:val="nil"/>
              <w:left w:val="nil"/>
              <w:bottom w:val="nil"/>
              <w:right w:val="single" w:sz="4" w:space="0" w:color="auto"/>
            </w:tcBorders>
            <w:shd w:val="clear" w:color="auto" w:fill="auto"/>
            <w:vAlign w:val="center"/>
            <w:hideMark/>
          </w:tcPr>
          <w:p w14:paraId="25E6AD9E" w14:textId="32E4271E" w:rsidR="00F17AEC" w:rsidRPr="00F17AEC" w:rsidRDefault="00F17AEC" w:rsidP="007D2827">
            <w:pPr>
              <w:jc w:val="center"/>
              <w:rPr>
                <w:color w:val="000000"/>
                <w:sz w:val="22"/>
                <w:szCs w:val="22"/>
                <w:lang w:val="en-US" w:eastAsia="en-GB"/>
              </w:rPr>
            </w:pPr>
            <w:r w:rsidRPr="00F17AEC">
              <w:rPr>
                <w:color w:val="000000"/>
                <w:sz w:val="22"/>
                <w:szCs w:val="22"/>
              </w:rPr>
              <w:t>560</w:t>
            </w:r>
          </w:p>
        </w:tc>
      </w:tr>
      <w:tr w:rsidR="00F17AEC" w:rsidRPr="00F17AEC" w14:paraId="65B53DF1" w14:textId="77777777" w:rsidTr="00942A6C">
        <w:trPr>
          <w:trHeight w:val="191"/>
        </w:trPr>
        <w:tc>
          <w:tcPr>
            <w:tcW w:w="367" w:type="pct"/>
            <w:tcBorders>
              <w:top w:val="nil"/>
              <w:left w:val="nil"/>
              <w:bottom w:val="nil"/>
              <w:right w:val="nil"/>
            </w:tcBorders>
            <w:shd w:val="clear" w:color="auto" w:fill="auto"/>
            <w:noWrap/>
            <w:vAlign w:val="bottom"/>
            <w:hideMark/>
          </w:tcPr>
          <w:p w14:paraId="0AF7FD80" w14:textId="02513CE3" w:rsidR="00F17AEC" w:rsidRPr="00F17AEC" w:rsidRDefault="00F17AEC" w:rsidP="00F17AEC">
            <w:pPr>
              <w:jc w:val="center"/>
              <w:rPr>
                <w:color w:val="000000"/>
                <w:sz w:val="22"/>
                <w:szCs w:val="22"/>
                <w:lang w:val="en-US" w:eastAsia="en-GB"/>
              </w:rPr>
            </w:pPr>
            <w:r w:rsidRPr="00F17AEC">
              <w:rPr>
                <w:color w:val="000000"/>
                <w:sz w:val="22"/>
                <w:szCs w:val="22"/>
              </w:rPr>
              <w:t>8</w:t>
            </w:r>
          </w:p>
        </w:tc>
        <w:tc>
          <w:tcPr>
            <w:tcW w:w="1880" w:type="pct"/>
            <w:tcBorders>
              <w:top w:val="nil"/>
              <w:left w:val="nil"/>
              <w:bottom w:val="nil"/>
              <w:right w:val="nil"/>
            </w:tcBorders>
            <w:shd w:val="clear" w:color="auto" w:fill="auto"/>
            <w:vAlign w:val="bottom"/>
            <w:hideMark/>
          </w:tcPr>
          <w:p w14:paraId="66C4BF82" w14:textId="7B057399" w:rsidR="00F17AEC" w:rsidRPr="00F17AEC" w:rsidRDefault="00F17AEC" w:rsidP="00F17AEC">
            <w:pPr>
              <w:rPr>
                <w:color w:val="000000"/>
                <w:sz w:val="22"/>
                <w:szCs w:val="22"/>
                <w:lang w:val="en-US" w:eastAsia="en-GB"/>
              </w:rPr>
            </w:pPr>
            <w:r w:rsidRPr="00F17AEC">
              <w:rPr>
                <w:color w:val="000000"/>
                <w:sz w:val="22"/>
                <w:szCs w:val="22"/>
              </w:rPr>
              <w:t>Barclays</w:t>
            </w:r>
          </w:p>
        </w:tc>
        <w:tc>
          <w:tcPr>
            <w:tcW w:w="501" w:type="pct"/>
            <w:tcBorders>
              <w:top w:val="nil"/>
              <w:left w:val="nil"/>
              <w:bottom w:val="nil"/>
              <w:right w:val="nil"/>
            </w:tcBorders>
            <w:shd w:val="clear" w:color="auto" w:fill="auto"/>
            <w:vAlign w:val="center"/>
            <w:hideMark/>
          </w:tcPr>
          <w:p w14:paraId="24F3DE48" w14:textId="67A21500" w:rsidR="00F17AEC" w:rsidRPr="00F17AEC" w:rsidRDefault="00F17AEC" w:rsidP="007D2827">
            <w:pPr>
              <w:jc w:val="center"/>
              <w:rPr>
                <w:color w:val="000000"/>
                <w:sz w:val="22"/>
                <w:szCs w:val="22"/>
                <w:lang w:val="en-US" w:eastAsia="en-GB"/>
              </w:rPr>
            </w:pPr>
            <w:r w:rsidRPr="00F17AEC">
              <w:rPr>
                <w:color w:val="000000"/>
                <w:sz w:val="22"/>
                <w:szCs w:val="22"/>
              </w:rPr>
              <w:t>93.31</w:t>
            </w:r>
          </w:p>
        </w:tc>
        <w:tc>
          <w:tcPr>
            <w:tcW w:w="423" w:type="pct"/>
            <w:tcBorders>
              <w:top w:val="nil"/>
              <w:left w:val="nil"/>
              <w:bottom w:val="nil"/>
              <w:right w:val="nil"/>
            </w:tcBorders>
            <w:shd w:val="clear" w:color="auto" w:fill="auto"/>
            <w:vAlign w:val="center"/>
            <w:hideMark/>
          </w:tcPr>
          <w:p w14:paraId="3AA333E4" w14:textId="2B870FA6" w:rsidR="00F17AEC" w:rsidRPr="00F17AEC" w:rsidRDefault="00F17AEC" w:rsidP="007D2827">
            <w:pPr>
              <w:jc w:val="center"/>
              <w:rPr>
                <w:color w:val="000000"/>
                <w:sz w:val="22"/>
                <w:szCs w:val="22"/>
                <w:lang w:val="en-US" w:eastAsia="en-GB"/>
              </w:rPr>
            </w:pPr>
            <w:r w:rsidRPr="00F17AEC">
              <w:rPr>
                <w:color w:val="000000"/>
                <w:sz w:val="22"/>
                <w:szCs w:val="22"/>
              </w:rPr>
              <w:t>5.16%</w:t>
            </w:r>
          </w:p>
        </w:tc>
        <w:tc>
          <w:tcPr>
            <w:tcW w:w="771" w:type="pct"/>
            <w:tcBorders>
              <w:top w:val="nil"/>
              <w:left w:val="nil"/>
              <w:bottom w:val="nil"/>
              <w:right w:val="nil"/>
            </w:tcBorders>
            <w:shd w:val="clear" w:color="auto" w:fill="auto"/>
            <w:vAlign w:val="center"/>
            <w:hideMark/>
          </w:tcPr>
          <w:p w14:paraId="220A9376" w14:textId="22EE73BB" w:rsidR="00F17AEC" w:rsidRPr="00F17AEC" w:rsidRDefault="00F17AEC" w:rsidP="007D2827">
            <w:pPr>
              <w:jc w:val="center"/>
              <w:rPr>
                <w:color w:val="000000"/>
                <w:sz w:val="22"/>
                <w:szCs w:val="22"/>
                <w:lang w:val="en-US" w:eastAsia="en-GB"/>
              </w:rPr>
            </w:pPr>
            <w:r w:rsidRPr="00F17AEC">
              <w:rPr>
                <w:color w:val="000000"/>
                <w:sz w:val="22"/>
                <w:szCs w:val="22"/>
              </w:rPr>
              <w:t>49.47%</w:t>
            </w:r>
          </w:p>
        </w:tc>
        <w:tc>
          <w:tcPr>
            <w:tcW w:w="1058" w:type="pct"/>
            <w:tcBorders>
              <w:top w:val="nil"/>
              <w:left w:val="nil"/>
              <w:bottom w:val="nil"/>
              <w:right w:val="single" w:sz="4" w:space="0" w:color="auto"/>
            </w:tcBorders>
            <w:shd w:val="clear" w:color="auto" w:fill="auto"/>
            <w:vAlign w:val="center"/>
            <w:hideMark/>
          </w:tcPr>
          <w:p w14:paraId="0AC7E359" w14:textId="4CE126C2" w:rsidR="00F17AEC" w:rsidRPr="00F17AEC" w:rsidRDefault="00F17AEC" w:rsidP="007D2827">
            <w:pPr>
              <w:jc w:val="center"/>
              <w:rPr>
                <w:color w:val="000000"/>
                <w:sz w:val="22"/>
                <w:szCs w:val="22"/>
                <w:lang w:val="en-US" w:eastAsia="en-GB"/>
              </w:rPr>
            </w:pPr>
            <w:r w:rsidRPr="00F17AEC">
              <w:rPr>
                <w:color w:val="000000"/>
                <w:sz w:val="22"/>
                <w:szCs w:val="22"/>
              </w:rPr>
              <w:t>618</w:t>
            </w:r>
          </w:p>
        </w:tc>
      </w:tr>
      <w:tr w:rsidR="00F17AEC" w:rsidRPr="00F17AEC" w14:paraId="59D53937" w14:textId="77777777" w:rsidTr="00942A6C">
        <w:trPr>
          <w:trHeight w:val="191"/>
        </w:trPr>
        <w:tc>
          <w:tcPr>
            <w:tcW w:w="367" w:type="pct"/>
            <w:tcBorders>
              <w:top w:val="nil"/>
              <w:left w:val="nil"/>
              <w:bottom w:val="nil"/>
              <w:right w:val="nil"/>
            </w:tcBorders>
            <w:shd w:val="clear" w:color="auto" w:fill="auto"/>
            <w:noWrap/>
            <w:vAlign w:val="bottom"/>
            <w:hideMark/>
          </w:tcPr>
          <w:p w14:paraId="7516209D" w14:textId="255562E3" w:rsidR="00F17AEC" w:rsidRPr="00F17AEC" w:rsidRDefault="00F17AEC" w:rsidP="00F17AEC">
            <w:pPr>
              <w:jc w:val="center"/>
              <w:rPr>
                <w:color w:val="000000"/>
                <w:sz w:val="22"/>
                <w:szCs w:val="22"/>
                <w:lang w:val="en-US" w:eastAsia="en-GB"/>
              </w:rPr>
            </w:pPr>
            <w:r w:rsidRPr="00F17AEC">
              <w:rPr>
                <w:color w:val="000000"/>
                <w:sz w:val="22"/>
                <w:szCs w:val="22"/>
              </w:rPr>
              <w:t>9</w:t>
            </w:r>
          </w:p>
        </w:tc>
        <w:tc>
          <w:tcPr>
            <w:tcW w:w="1880" w:type="pct"/>
            <w:tcBorders>
              <w:top w:val="nil"/>
              <w:left w:val="nil"/>
              <w:bottom w:val="nil"/>
              <w:right w:val="nil"/>
            </w:tcBorders>
            <w:shd w:val="clear" w:color="auto" w:fill="auto"/>
            <w:vAlign w:val="bottom"/>
            <w:hideMark/>
          </w:tcPr>
          <w:p w14:paraId="6CEE0D9C" w14:textId="66F89FB2" w:rsidR="00F17AEC" w:rsidRPr="00F17AEC" w:rsidRDefault="00F17AEC" w:rsidP="00F17AEC">
            <w:pPr>
              <w:rPr>
                <w:color w:val="000000"/>
                <w:sz w:val="22"/>
                <w:szCs w:val="22"/>
                <w:lang w:val="en-US" w:eastAsia="en-GB"/>
              </w:rPr>
            </w:pPr>
            <w:r w:rsidRPr="00F17AEC">
              <w:rPr>
                <w:color w:val="000000"/>
                <w:sz w:val="22"/>
                <w:szCs w:val="22"/>
              </w:rPr>
              <w:t>Citi</w:t>
            </w:r>
          </w:p>
        </w:tc>
        <w:tc>
          <w:tcPr>
            <w:tcW w:w="501" w:type="pct"/>
            <w:tcBorders>
              <w:top w:val="nil"/>
              <w:left w:val="nil"/>
              <w:bottom w:val="nil"/>
              <w:right w:val="nil"/>
            </w:tcBorders>
            <w:shd w:val="clear" w:color="auto" w:fill="auto"/>
            <w:vAlign w:val="center"/>
            <w:hideMark/>
          </w:tcPr>
          <w:p w14:paraId="038D0D24" w14:textId="0D85F11A" w:rsidR="00F17AEC" w:rsidRPr="00F17AEC" w:rsidRDefault="00F17AEC" w:rsidP="007D2827">
            <w:pPr>
              <w:jc w:val="center"/>
              <w:rPr>
                <w:color w:val="000000"/>
                <w:sz w:val="22"/>
                <w:szCs w:val="22"/>
                <w:lang w:val="en-US" w:eastAsia="en-GB"/>
              </w:rPr>
            </w:pPr>
            <w:r w:rsidRPr="00F17AEC">
              <w:rPr>
                <w:color w:val="000000"/>
                <w:sz w:val="22"/>
                <w:szCs w:val="22"/>
              </w:rPr>
              <w:t>90.70</w:t>
            </w:r>
          </w:p>
        </w:tc>
        <w:tc>
          <w:tcPr>
            <w:tcW w:w="423" w:type="pct"/>
            <w:tcBorders>
              <w:top w:val="nil"/>
              <w:left w:val="nil"/>
              <w:bottom w:val="nil"/>
              <w:right w:val="nil"/>
            </w:tcBorders>
            <w:shd w:val="clear" w:color="auto" w:fill="auto"/>
            <w:vAlign w:val="center"/>
            <w:hideMark/>
          </w:tcPr>
          <w:p w14:paraId="553DCE1B" w14:textId="57681D55" w:rsidR="00F17AEC" w:rsidRPr="00F17AEC" w:rsidRDefault="00F17AEC" w:rsidP="007D2827">
            <w:pPr>
              <w:jc w:val="center"/>
              <w:rPr>
                <w:color w:val="000000"/>
                <w:sz w:val="22"/>
                <w:szCs w:val="22"/>
                <w:lang w:val="en-US" w:eastAsia="en-GB"/>
              </w:rPr>
            </w:pPr>
            <w:r w:rsidRPr="00F17AEC">
              <w:rPr>
                <w:color w:val="000000"/>
                <w:sz w:val="22"/>
                <w:szCs w:val="22"/>
              </w:rPr>
              <w:t>5.02%</w:t>
            </w:r>
          </w:p>
        </w:tc>
        <w:tc>
          <w:tcPr>
            <w:tcW w:w="771" w:type="pct"/>
            <w:tcBorders>
              <w:top w:val="nil"/>
              <w:left w:val="nil"/>
              <w:bottom w:val="nil"/>
              <w:right w:val="nil"/>
            </w:tcBorders>
            <w:shd w:val="clear" w:color="auto" w:fill="auto"/>
            <w:vAlign w:val="center"/>
            <w:hideMark/>
          </w:tcPr>
          <w:p w14:paraId="3F18CC35" w14:textId="61136530" w:rsidR="00F17AEC" w:rsidRPr="00F17AEC" w:rsidRDefault="00F17AEC" w:rsidP="007D2827">
            <w:pPr>
              <w:jc w:val="center"/>
              <w:rPr>
                <w:color w:val="000000"/>
                <w:sz w:val="22"/>
                <w:szCs w:val="22"/>
                <w:lang w:val="en-US" w:eastAsia="en-GB"/>
              </w:rPr>
            </w:pPr>
            <w:r w:rsidRPr="00F17AEC">
              <w:rPr>
                <w:color w:val="000000"/>
                <w:sz w:val="22"/>
                <w:szCs w:val="22"/>
              </w:rPr>
              <w:t>54.49%</w:t>
            </w:r>
          </w:p>
        </w:tc>
        <w:tc>
          <w:tcPr>
            <w:tcW w:w="1058" w:type="pct"/>
            <w:tcBorders>
              <w:top w:val="nil"/>
              <w:left w:val="nil"/>
              <w:bottom w:val="nil"/>
              <w:right w:val="single" w:sz="4" w:space="0" w:color="auto"/>
            </w:tcBorders>
            <w:shd w:val="clear" w:color="auto" w:fill="auto"/>
            <w:vAlign w:val="center"/>
            <w:hideMark/>
          </w:tcPr>
          <w:p w14:paraId="355EE466" w14:textId="501D3DD8" w:rsidR="00F17AEC" w:rsidRPr="00F17AEC" w:rsidRDefault="00F17AEC" w:rsidP="007D2827">
            <w:pPr>
              <w:jc w:val="center"/>
              <w:rPr>
                <w:color w:val="000000"/>
                <w:sz w:val="22"/>
                <w:szCs w:val="22"/>
                <w:lang w:val="en-US" w:eastAsia="en-GB"/>
              </w:rPr>
            </w:pPr>
            <w:r w:rsidRPr="00F17AEC">
              <w:rPr>
                <w:color w:val="000000"/>
                <w:sz w:val="22"/>
                <w:szCs w:val="22"/>
              </w:rPr>
              <w:t>615</w:t>
            </w:r>
          </w:p>
        </w:tc>
      </w:tr>
      <w:tr w:rsidR="00F17AEC" w:rsidRPr="00F17AEC" w14:paraId="352BAE46" w14:textId="77777777" w:rsidTr="00942A6C">
        <w:trPr>
          <w:trHeight w:val="191"/>
        </w:trPr>
        <w:tc>
          <w:tcPr>
            <w:tcW w:w="367" w:type="pct"/>
            <w:tcBorders>
              <w:top w:val="nil"/>
              <w:left w:val="nil"/>
              <w:bottom w:val="nil"/>
              <w:right w:val="nil"/>
            </w:tcBorders>
            <w:shd w:val="clear" w:color="auto" w:fill="auto"/>
            <w:noWrap/>
            <w:vAlign w:val="bottom"/>
            <w:hideMark/>
          </w:tcPr>
          <w:p w14:paraId="6400E9AA" w14:textId="30B726AA" w:rsidR="00F17AEC" w:rsidRPr="00F17AEC" w:rsidRDefault="00F17AEC" w:rsidP="00F17AEC">
            <w:pPr>
              <w:jc w:val="center"/>
              <w:rPr>
                <w:color w:val="000000"/>
                <w:sz w:val="22"/>
                <w:szCs w:val="22"/>
                <w:lang w:val="en-US" w:eastAsia="en-GB"/>
              </w:rPr>
            </w:pPr>
            <w:r w:rsidRPr="00F17AEC">
              <w:rPr>
                <w:color w:val="000000"/>
                <w:sz w:val="22"/>
                <w:szCs w:val="22"/>
              </w:rPr>
              <w:t>10</w:t>
            </w:r>
          </w:p>
        </w:tc>
        <w:tc>
          <w:tcPr>
            <w:tcW w:w="1880" w:type="pct"/>
            <w:tcBorders>
              <w:top w:val="nil"/>
              <w:left w:val="nil"/>
              <w:bottom w:val="nil"/>
              <w:right w:val="nil"/>
            </w:tcBorders>
            <w:shd w:val="clear" w:color="auto" w:fill="auto"/>
            <w:vAlign w:val="bottom"/>
            <w:hideMark/>
          </w:tcPr>
          <w:p w14:paraId="1211142C" w14:textId="7998B81D" w:rsidR="00F17AEC" w:rsidRPr="00F17AEC" w:rsidRDefault="00F17AEC" w:rsidP="00F17AEC">
            <w:pPr>
              <w:rPr>
                <w:color w:val="000000"/>
                <w:sz w:val="22"/>
                <w:szCs w:val="22"/>
                <w:lang w:val="en-US" w:eastAsia="en-GB"/>
              </w:rPr>
            </w:pPr>
            <w:r w:rsidRPr="00F17AEC">
              <w:rPr>
                <w:color w:val="000000"/>
                <w:sz w:val="22"/>
                <w:szCs w:val="22"/>
              </w:rPr>
              <w:t>UniCredit</w:t>
            </w:r>
          </w:p>
        </w:tc>
        <w:tc>
          <w:tcPr>
            <w:tcW w:w="501" w:type="pct"/>
            <w:tcBorders>
              <w:top w:val="nil"/>
              <w:left w:val="nil"/>
              <w:bottom w:val="nil"/>
              <w:right w:val="nil"/>
            </w:tcBorders>
            <w:shd w:val="clear" w:color="auto" w:fill="auto"/>
            <w:vAlign w:val="center"/>
            <w:hideMark/>
          </w:tcPr>
          <w:p w14:paraId="343FA7AA" w14:textId="39F7FCB7" w:rsidR="00F17AEC" w:rsidRPr="00F17AEC" w:rsidRDefault="00F17AEC" w:rsidP="007D2827">
            <w:pPr>
              <w:jc w:val="center"/>
              <w:rPr>
                <w:color w:val="000000"/>
                <w:sz w:val="22"/>
                <w:szCs w:val="22"/>
                <w:lang w:val="en-US" w:eastAsia="en-GB"/>
              </w:rPr>
            </w:pPr>
            <w:r w:rsidRPr="00F17AEC">
              <w:rPr>
                <w:color w:val="000000"/>
                <w:sz w:val="22"/>
                <w:szCs w:val="22"/>
              </w:rPr>
              <w:t>80.69</w:t>
            </w:r>
          </w:p>
        </w:tc>
        <w:tc>
          <w:tcPr>
            <w:tcW w:w="423" w:type="pct"/>
            <w:tcBorders>
              <w:top w:val="nil"/>
              <w:left w:val="nil"/>
              <w:bottom w:val="nil"/>
              <w:right w:val="nil"/>
            </w:tcBorders>
            <w:shd w:val="clear" w:color="auto" w:fill="auto"/>
            <w:vAlign w:val="center"/>
            <w:hideMark/>
          </w:tcPr>
          <w:p w14:paraId="090FE9C5" w14:textId="20A6B2D4" w:rsidR="00F17AEC" w:rsidRPr="00F17AEC" w:rsidRDefault="00F17AEC" w:rsidP="007D2827">
            <w:pPr>
              <w:jc w:val="center"/>
              <w:rPr>
                <w:color w:val="000000"/>
                <w:sz w:val="22"/>
                <w:szCs w:val="22"/>
                <w:lang w:val="en-US" w:eastAsia="en-GB"/>
              </w:rPr>
            </w:pPr>
            <w:r w:rsidRPr="00F17AEC">
              <w:rPr>
                <w:color w:val="000000"/>
                <w:sz w:val="22"/>
                <w:szCs w:val="22"/>
              </w:rPr>
              <w:t>4.47%</w:t>
            </w:r>
          </w:p>
        </w:tc>
        <w:tc>
          <w:tcPr>
            <w:tcW w:w="771" w:type="pct"/>
            <w:tcBorders>
              <w:top w:val="nil"/>
              <w:left w:val="nil"/>
              <w:bottom w:val="nil"/>
              <w:right w:val="nil"/>
            </w:tcBorders>
            <w:shd w:val="clear" w:color="auto" w:fill="auto"/>
            <w:vAlign w:val="center"/>
            <w:hideMark/>
          </w:tcPr>
          <w:p w14:paraId="4287E935" w14:textId="16C4C90D" w:rsidR="00F17AEC" w:rsidRPr="00F17AEC" w:rsidRDefault="00F17AEC" w:rsidP="007D2827">
            <w:pPr>
              <w:jc w:val="center"/>
              <w:rPr>
                <w:color w:val="000000"/>
                <w:sz w:val="22"/>
                <w:szCs w:val="22"/>
                <w:lang w:val="en-US" w:eastAsia="en-GB"/>
              </w:rPr>
            </w:pPr>
            <w:r w:rsidRPr="00F17AEC">
              <w:rPr>
                <w:color w:val="000000"/>
                <w:sz w:val="22"/>
                <w:szCs w:val="22"/>
              </w:rPr>
              <w:t>58.95%</w:t>
            </w:r>
          </w:p>
        </w:tc>
        <w:tc>
          <w:tcPr>
            <w:tcW w:w="1058" w:type="pct"/>
            <w:tcBorders>
              <w:top w:val="nil"/>
              <w:left w:val="nil"/>
              <w:bottom w:val="nil"/>
              <w:right w:val="single" w:sz="4" w:space="0" w:color="auto"/>
            </w:tcBorders>
            <w:shd w:val="clear" w:color="auto" w:fill="auto"/>
            <w:vAlign w:val="center"/>
            <w:hideMark/>
          </w:tcPr>
          <w:p w14:paraId="730A6A65" w14:textId="3DDFFEF5" w:rsidR="00F17AEC" w:rsidRPr="00F17AEC" w:rsidRDefault="00F17AEC" w:rsidP="007D2827">
            <w:pPr>
              <w:jc w:val="center"/>
              <w:rPr>
                <w:color w:val="000000"/>
                <w:sz w:val="22"/>
                <w:szCs w:val="22"/>
                <w:lang w:val="en-US" w:eastAsia="en-GB"/>
              </w:rPr>
            </w:pPr>
            <w:r w:rsidRPr="00F17AEC">
              <w:rPr>
                <w:color w:val="000000"/>
                <w:sz w:val="22"/>
                <w:szCs w:val="22"/>
              </w:rPr>
              <w:t>607</w:t>
            </w:r>
          </w:p>
        </w:tc>
      </w:tr>
      <w:tr w:rsidR="00F17AEC" w:rsidRPr="00F17AEC" w14:paraId="1D49AD0F" w14:textId="77777777" w:rsidTr="00942A6C">
        <w:trPr>
          <w:trHeight w:val="191"/>
        </w:trPr>
        <w:tc>
          <w:tcPr>
            <w:tcW w:w="367" w:type="pct"/>
            <w:tcBorders>
              <w:top w:val="nil"/>
              <w:left w:val="nil"/>
              <w:bottom w:val="nil"/>
              <w:right w:val="nil"/>
            </w:tcBorders>
            <w:shd w:val="clear" w:color="auto" w:fill="auto"/>
            <w:noWrap/>
            <w:vAlign w:val="bottom"/>
            <w:hideMark/>
          </w:tcPr>
          <w:p w14:paraId="67C977FD" w14:textId="4A244E79" w:rsidR="00F17AEC" w:rsidRPr="00F17AEC" w:rsidRDefault="00F17AEC" w:rsidP="00F17AEC">
            <w:pPr>
              <w:jc w:val="center"/>
              <w:rPr>
                <w:color w:val="000000"/>
                <w:sz w:val="22"/>
                <w:szCs w:val="22"/>
                <w:lang w:val="en-US" w:eastAsia="en-GB"/>
              </w:rPr>
            </w:pPr>
            <w:r w:rsidRPr="00F17AEC">
              <w:rPr>
                <w:color w:val="000000"/>
                <w:sz w:val="22"/>
                <w:szCs w:val="22"/>
              </w:rPr>
              <w:t>11</w:t>
            </w:r>
          </w:p>
        </w:tc>
        <w:tc>
          <w:tcPr>
            <w:tcW w:w="1880" w:type="pct"/>
            <w:tcBorders>
              <w:top w:val="nil"/>
              <w:left w:val="nil"/>
              <w:bottom w:val="nil"/>
              <w:right w:val="nil"/>
            </w:tcBorders>
            <w:shd w:val="clear" w:color="auto" w:fill="auto"/>
            <w:vAlign w:val="bottom"/>
            <w:hideMark/>
          </w:tcPr>
          <w:p w14:paraId="370D0678" w14:textId="43DFDB21" w:rsidR="00F17AEC" w:rsidRPr="00F17AEC" w:rsidRDefault="00F17AEC" w:rsidP="00F17AEC">
            <w:pPr>
              <w:rPr>
                <w:color w:val="000000"/>
                <w:sz w:val="22"/>
                <w:szCs w:val="22"/>
                <w:lang w:val="en-US" w:eastAsia="en-GB"/>
              </w:rPr>
            </w:pPr>
            <w:r w:rsidRPr="00F17AEC">
              <w:rPr>
                <w:color w:val="000000"/>
                <w:sz w:val="22"/>
                <w:szCs w:val="22"/>
              </w:rPr>
              <w:t>Commerzbank Group</w:t>
            </w:r>
          </w:p>
        </w:tc>
        <w:tc>
          <w:tcPr>
            <w:tcW w:w="501" w:type="pct"/>
            <w:tcBorders>
              <w:top w:val="nil"/>
              <w:left w:val="nil"/>
              <w:bottom w:val="nil"/>
              <w:right w:val="nil"/>
            </w:tcBorders>
            <w:shd w:val="clear" w:color="auto" w:fill="auto"/>
            <w:vAlign w:val="center"/>
            <w:hideMark/>
          </w:tcPr>
          <w:p w14:paraId="09BDF01B" w14:textId="0C13D12D" w:rsidR="00F17AEC" w:rsidRPr="00F17AEC" w:rsidRDefault="00F17AEC" w:rsidP="007D2827">
            <w:pPr>
              <w:jc w:val="center"/>
              <w:rPr>
                <w:color w:val="000000"/>
                <w:sz w:val="22"/>
                <w:szCs w:val="22"/>
                <w:lang w:val="en-US" w:eastAsia="en-GB"/>
              </w:rPr>
            </w:pPr>
            <w:r w:rsidRPr="00F17AEC">
              <w:rPr>
                <w:color w:val="000000"/>
                <w:sz w:val="22"/>
                <w:szCs w:val="22"/>
              </w:rPr>
              <w:t>72.52</w:t>
            </w:r>
          </w:p>
        </w:tc>
        <w:tc>
          <w:tcPr>
            <w:tcW w:w="423" w:type="pct"/>
            <w:tcBorders>
              <w:top w:val="nil"/>
              <w:left w:val="nil"/>
              <w:bottom w:val="nil"/>
              <w:right w:val="nil"/>
            </w:tcBorders>
            <w:shd w:val="clear" w:color="auto" w:fill="auto"/>
            <w:vAlign w:val="center"/>
            <w:hideMark/>
          </w:tcPr>
          <w:p w14:paraId="56B0EC5C" w14:textId="5431F67F" w:rsidR="00F17AEC" w:rsidRPr="00F17AEC" w:rsidRDefault="00F17AEC" w:rsidP="007D2827">
            <w:pPr>
              <w:jc w:val="center"/>
              <w:rPr>
                <w:color w:val="000000"/>
                <w:sz w:val="22"/>
                <w:szCs w:val="22"/>
                <w:lang w:val="en-US" w:eastAsia="en-GB"/>
              </w:rPr>
            </w:pPr>
            <w:r w:rsidRPr="00F17AEC">
              <w:rPr>
                <w:color w:val="000000"/>
                <w:sz w:val="22"/>
                <w:szCs w:val="22"/>
              </w:rPr>
              <w:t>4.01%</w:t>
            </w:r>
          </w:p>
        </w:tc>
        <w:tc>
          <w:tcPr>
            <w:tcW w:w="771" w:type="pct"/>
            <w:tcBorders>
              <w:top w:val="nil"/>
              <w:left w:val="nil"/>
              <w:bottom w:val="nil"/>
              <w:right w:val="nil"/>
            </w:tcBorders>
            <w:shd w:val="clear" w:color="auto" w:fill="auto"/>
            <w:vAlign w:val="center"/>
            <w:hideMark/>
          </w:tcPr>
          <w:p w14:paraId="5C687A3C" w14:textId="3852F383" w:rsidR="00F17AEC" w:rsidRPr="00F17AEC" w:rsidRDefault="00F17AEC" w:rsidP="007D2827">
            <w:pPr>
              <w:jc w:val="center"/>
              <w:rPr>
                <w:color w:val="000000"/>
                <w:sz w:val="22"/>
                <w:szCs w:val="22"/>
                <w:lang w:val="en-US" w:eastAsia="en-GB"/>
              </w:rPr>
            </w:pPr>
            <w:r w:rsidRPr="00F17AEC">
              <w:rPr>
                <w:color w:val="000000"/>
                <w:sz w:val="22"/>
                <w:szCs w:val="22"/>
              </w:rPr>
              <w:t>62.97%</w:t>
            </w:r>
          </w:p>
        </w:tc>
        <w:tc>
          <w:tcPr>
            <w:tcW w:w="1058" w:type="pct"/>
            <w:tcBorders>
              <w:top w:val="nil"/>
              <w:left w:val="nil"/>
              <w:bottom w:val="nil"/>
              <w:right w:val="single" w:sz="4" w:space="0" w:color="auto"/>
            </w:tcBorders>
            <w:shd w:val="clear" w:color="auto" w:fill="auto"/>
            <w:vAlign w:val="center"/>
            <w:hideMark/>
          </w:tcPr>
          <w:p w14:paraId="2F263075" w14:textId="09AE5EEA" w:rsidR="00F17AEC" w:rsidRPr="00F17AEC" w:rsidRDefault="00F17AEC" w:rsidP="007D2827">
            <w:pPr>
              <w:jc w:val="center"/>
              <w:rPr>
                <w:color w:val="000000"/>
                <w:sz w:val="22"/>
                <w:szCs w:val="22"/>
                <w:lang w:val="en-US" w:eastAsia="en-GB"/>
              </w:rPr>
            </w:pPr>
            <w:r w:rsidRPr="00F17AEC">
              <w:rPr>
                <w:color w:val="000000"/>
                <w:sz w:val="22"/>
                <w:szCs w:val="22"/>
              </w:rPr>
              <w:t>509</w:t>
            </w:r>
          </w:p>
        </w:tc>
      </w:tr>
      <w:tr w:rsidR="00F17AEC" w:rsidRPr="00F17AEC" w14:paraId="565A6D04" w14:textId="77777777" w:rsidTr="00942A6C">
        <w:trPr>
          <w:trHeight w:val="191"/>
        </w:trPr>
        <w:tc>
          <w:tcPr>
            <w:tcW w:w="367" w:type="pct"/>
            <w:tcBorders>
              <w:top w:val="nil"/>
              <w:left w:val="nil"/>
              <w:bottom w:val="nil"/>
              <w:right w:val="nil"/>
            </w:tcBorders>
            <w:shd w:val="clear" w:color="auto" w:fill="auto"/>
            <w:noWrap/>
            <w:vAlign w:val="bottom"/>
            <w:hideMark/>
          </w:tcPr>
          <w:p w14:paraId="2E80E2DB" w14:textId="0BBC9341" w:rsidR="00F17AEC" w:rsidRPr="00F17AEC" w:rsidRDefault="00F17AEC" w:rsidP="00F17AEC">
            <w:pPr>
              <w:jc w:val="center"/>
              <w:rPr>
                <w:color w:val="000000"/>
                <w:sz w:val="22"/>
                <w:szCs w:val="22"/>
                <w:lang w:val="en-US" w:eastAsia="en-GB"/>
              </w:rPr>
            </w:pPr>
            <w:r w:rsidRPr="00F17AEC">
              <w:rPr>
                <w:color w:val="000000"/>
                <w:sz w:val="22"/>
                <w:szCs w:val="22"/>
              </w:rPr>
              <w:t>12</w:t>
            </w:r>
          </w:p>
        </w:tc>
        <w:tc>
          <w:tcPr>
            <w:tcW w:w="1880" w:type="pct"/>
            <w:tcBorders>
              <w:top w:val="nil"/>
              <w:left w:val="nil"/>
              <w:bottom w:val="nil"/>
              <w:right w:val="nil"/>
            </w:tcBorders>
            <w:shd w:val="clear" w:color="auto" w:fill="auto"/>
            <w:vAlign w:val="bottom"/>
            <w:hideMark/>
          </w:tcPr>
          <w:p w14:paraId="218BAD33" w14:textId="6479BD2E" w:rsidR="00F17AEC" w:rsidRPr="00F17AEC" w:rsidRDefault="00F17AEC" w:rsidP="00F17AEC">
            <w:pPr>
              <w:rPr>
                <w:color w:val="000000"/>
                <w:sz w:val="22"/>
                <w:szCs w:val="22"/>
                <w:lang w:val="en-US" w:eastAsia="en-GB"/>
              </w:rPr>
            </w:pPr>
            <w:r w:rsidRPr="00F17AEC">
              <w:rPr>
                <w:color w:val="000000"/>
                <w:sz w:val="22"/>
                <w:szCs w:val="22"/>
              </w:rPr>
              <w:t>Santander</w:t>
            </w:r>
          </w:p>
        </w:tc>
        <w:tc>
          <w:tcPr>
            <w:tcW w:w="501" w:type="pct"/>
            <w:tcBorders>
              <w:top w:val="nil"/>
              <w:left w:val="nil"/>
              <w:bottom w:val="nil"/>
              <w:right w:val="nil"/>
            </w:tcBorders>
            <w:shd w:val="clear" w:color="auto" w:fill="auto"/>
            <w:vAlign w:val="center"/>
            <w:hideMark/>
          </w:tcPr>
          <w:p w14:paraId="06803581" w14:textId="619382AA" w:rsidR="00F17AEC" w:rsidRPr="00F17AEC" w:rsidRDefault="00F17AEC" w:rsidP="007D2827">
            <w:pPr>
              <w:jc w:val="center"/>
              <w:rPr>
                <w:color w:val="000000"/>
                <w:sz w:val="22"/>
                <w:szCs w:val="22"/>
                <w:lang w:val="en-US" w:eastAsia="en-GB"/>
              </w:rPr>
            </w:pPr>
            <w:r w:rsidRPr="00F17AEC">
              <w:rPr>
                <w:color w:val="000000"/>
                <w:sz w:val="22"/>
                <w:szCs w:val="22"/>
              </w:rPr>
              <w:t>63.65</w:t>
            </w:r>
          </w:p>
        </w:tc>
        <w:tc>
          <w:tcPr>
            <w:tcW w:w="423" w:type="pct"/>
            <w:tcBorders>
              <w:top w:val="nil"/>
              <w:left w:val="nil"/>
              <w:bottom w:val="nil"/>
              <w:right w:val="nil"/>
            </w:tcBorders>
            <w:shd w:val="clear" w:color="auto" w:fill="auto"/>
            <w:vAlign w:val="center"/>
            <w:hideMark/>
          </w:tcPr>
          <w:p w14:paraId="7F913D46" w14:textId="346BC9DA" w:rsidR="00F17AEC" w:rsidRPr="00F17AEC" w:rsidRDefault="00F17AEC" w:rsidP="007D2827">
            <w:pPr>
              <w:jc w:val="center"/>
              <w:rPr>
                <w:color w:val="000000"/>
                <w:sz w:val="22"/>
                <w:szCs w:val="22"/>
                <w:lang w:val="en-US" w:eastAsia="en-GB"/>
              </w:rPr>
            </w:pPr>
            <w:r w:rsidRPr="00F17AEC">
              <w:rPr>
                <w:color w:val="000000"/>
                <w:sz w:val="22"/>
                <w:szCs w:val="22"/>
              </w:rPr>
              <w:t>3.52%</w:t>
            </w:r>
          </w:p>
        </w:tc>
        <w:tc>
          <w:tcPr>
            <w:tcW w:w="771" w:type="pct"/>
            <w:tcBorders>
              <w:top w:val="nil"/>
              <w:left w:val="nil"/>
              <w:bottom w:val="nil"/>
              <w:right w:val="nil"/>
            </w:tcBorders>
            <w:shd w:val="clear" w:color="auto" w:fill="auto"/>
            <w:vAlign w:val="center"/>
            <w:hideMark/>
          </w:tcPr>
          <w:p w14:paraId="01E8951A" w14:textId="70750044" w:rsidR="00F17AEC" w:rsidRPr="00F17AEC" w:rsidRDefault="00F17AEC" w:rsidP="007D2827">
            <w:pPr>
              <w:jc w:val="center"/>
              <w:rPr>
                <w:color w:val="000000"/>
                <w:sz w:val="22"/>
                <w:szCs w:val="22"/>
                <w:lang w:val="en-US" w:eastAsia="en-GB"/>
              </w:rPr>
            </w:pPr>
            <w:r w:rsidRPr="00F17AEC">
              <w:rPr>
                <w:color w:val="000000"/>
                <w:sz w:val="22"/>
                <w:szCs w:val="22"/>
              </w:rPr>
              <w:t>66.49%</w:t>
            </w:r>
          </w:p>
        </w:tc>
        <w:tc>
          <w:tcPr>
            <w:tcW w:w="1058" w:type="pct"/>
            <w:tcBorders>
              <w:top w:val="nil"/>
              <w:left w:val="nil"/>
              <w:bottom w:val="nil"/>
              <w:right w:val="single" w:sz="4" w:space="0" w:color="auto"/>
            </w:tcBorders>
            <w:shd w:val="clear" w:color="auto" w:fill="auto"/>
            <w:vAlign w:val="center"/>
            <w:hideMark/>
          </w:tcPr>
          <w:p w14:paraId="52ACC4DC" w14:textId="0D7FA9BA" w:rsidR="00F17AEC" w:rsidRPr="00F17AEC" w:rsidRDefault="00F17AEC" w:rsidP="007D2827">
            <w:pPr>
              <w:jc w:val="center"/>
              <w:rPr>
                <w:color w:val="000000"/>
                <w:sz w:val="22"/>
                <w:szCs w:val="22"/>
                <w:lang w:val="en-US" w:eastAsia="en-GB"/>
              </w:rPr>
            </w:pPr>
            <w:r w:rsidRPr="00F17AEC">
              <w:rPr>
                <w:color w:val="000000"/>
                <w:sz w:val="22"/>
                <w:szCs w:val="22"/>
              </w:rPr>
              <w:t>511</w:t>
            </w:r>
          </w:p>
        </w:tc>
      </w:tr>
      <w:tr w:rsidR="00F17AEC" w:rsidRPr="00F17AEC" w14:paraId="10A26A83" w14:textId="77777777" w:rsidTr="00942A6C">
        <w:trPr>
          <w:trHeight w:val="191"/>
        </w:trPr>
        <w:tc>
          <w:tcPr>
            <w:tcW w:w="367" w:type="pct"/>
            <w:tcBorders>
              <w:top w:val="nil"/>
              <w:left w:val="nil"/>
              <w:bottom w:val="nil"/>
              <w:right w:val="nil"/>
            </w:tcBorders>
            <w:shd w:val="clear" w:color="auto" w:fill="auto"/>
            <w:noWrap/>
            <w:vAlign w:val="bottom"/>
            <w:hideMark/>
          </w:tcPr>
          <w:p w14:paraId="6615271D" w14:textId="6D93620E" w:rsidR="00F17AEC" w:rsidRPr="00F17AEC" w:rsidRDefault="00F17AEC" w:rsidP="00F17AEC">
            <w:pPr>
              <w:jc w:val="center"/>
              <w:rPr>
                <w:color w:val="000000"/>
                <w:sz w:val="22"/>
                <w:szCs w:val="22"/>
                <w:lang w:val="en-US" w:eastAsia="en-GB"/>
              </w:rPr>
            </w:pPr>
            <w:r w:rsidRPr="00F17AEC">
              <w:rPr>
                <w:color w:val="000000"/>
                <w:sz w:val="22"/>
                <w:szCs w:val="22"/>
              </w:rPr>
              <w:t>13</w:t>
            </w:r>
          </w:p>
        </w:tc>
        <w:tc>
          <w:tcPr>
            <w:tcW w:w="1880" w:type="pct"/>
            <w:tcBorders>
              <w:top w:val="nil"/>
              <w:left w:val="nil"/>
              <w:bottom w:val="nil"/>
              <w:right w:val="nil"/>
            </w:tcBorders>
            <w:shd w:val="clear" w:color="auto" w:fill="auto"/>
            <w:vAlign w:val="bottom"/>
            <w:hideMark/>
          </w:tcPr>
          <w:p w14:paraId="548A7C9E" w14:textId="233F30ED" w:rsidR="00F17AEC" w:rsidRPr="00F17AEC" w:rsidRDefault="00F17AEC" w:rsidP="00F17AEC">
            <w:pPr>
              <w:rPr>
                <w:color w:val="000000"/>
                <w:sz w:val="22"/>
                <w:szCs w:val="22"/>
                <w:lang w:val="en-US" w:eastAsia="en-GB"/>
              </w:rPr>
            </w:pPr>
            <w:r w:rsidRPr="00F17AEC">
              <w:rPr>
                <w:color w:val="000000"/>
                <w:sz w:val="22"/>
                <w:szCs w:val="22"/>
              </w:rPr>
              <w:t>BofA Securities</w:t>
            </w:r>
          </w:p>
        </w:tc>
        <w:tc>
          <w:tcPr>
            <w:tcW w:w="501" w:type="pct"/>
            <w:tcBorders>
              <w:top w:val="nil"/>
              <w:left w:val="nil"/>
              <w:bottom w:val="nil"/>
              <w:right w:val="nil"/>
            </w:tcBorders>
            <w:shd w:val="clear" w:color="auto" w:fill="auto"/>
            <w:vAlign w:val="center"/>
            <w:hideMark/>
          </w:tcPr>
          <w:p w14:paraId="5FDBA79E" w14:textId="2DFE4C49" w:rsidR="00F17AEC" w:rsidRPr="00F17AEC" w:rsidRDefault="00F17AEC" w:rsidP="007D2827">
            <w:pPr>
              <w:jc w:val="center"/>
              <w:rPr>
                <w:color w:val="000000"/>
                <w:sz w:val="22"/>
                <w:szCs w:val="22"/>
                <w:lang w:val="en-US" w:eastAsia="en-GB"/>
              </w:rPr>
            </w:pPr>
            <w:r w:rsidRPr="00F17AEC">
              <w:rPr>
                <w:color w:val="000000"/>
                <w:sz w:val="22"/>
                <w:szCs w:val="22"/>
              </w:rPr>
              <w:t>63.35</w:t>
            </w:r>
          </w:p>
        </w:tc>
        <w:tc>
          <w:tcPr>
            <w:tcW w:w="423" w:type="pct"/>
            <w:tcBorders>
              <w:top w:val="nil"/>
              <w:left w:val="nil"/>
              <w:bottom w:val="nil"/>
              <w:right w:val="nil"/>
            </w:tcBorders>
            <w:shd w:val="clear" w:color="auto" w:fill="auto"/>
            <w:vAlign w:val="center"/>
            <w:hideMark/>
          </w:tcPr>
          <w:p w14:paraId="08BA39A9" w14:textId="0ADB82D2" w:rsidR="00F17AEC" w:rsidRPr="00F17AEC" w:rsidRDefault="00F17AEC" w:rsidP="007D2827">
            <w:pPr>
              <w:jc w:val="center"/>
              <w:rPr>
                <w:color w:val="000000"/>
                <w:sz w:val="22"/>
                <w:szCs w:val="22"/>
                <w:lang w:val="en-US" w:eastAsia="en-GB"/>
              </w:rPr>
            </w:pPr>
            <w:r w:rsidRPr="00F17AEC">
              <w:rPr>
                <w:color w:val="000000"/>
                <w:sz w:val="22"/>
                <w:szCs w:val="22"/>
              </w:rPr>
              <w:t>3.51%</w:t>
            </w:r>
          </w:p>
        </w:tc>
        <w:tc>
          <w:tcPr>
            <w:tcW w:w="771" w:type="pct"/>
            <w:tcBorders>
              <w:top w:val="nil"/>
              <w:left w:val="nil"/>
              <w:bottom w:val="nil"/>
              <w:right w:val="nil"/>
            </w:tcBorders>
            <w:shd w:val="clear" w:color="auto" w:fill="auto"/>
            <w:vAlign w:val="center"/>
            <w:hideMark/>
          </w:tcPr>
          <w:p w14:paraId="6B42B307" w14:textId="1CD3B767" w:rsidR="00F17AEC" w:rsidRPr="00F17AEC" w:rsidRDefault="00F17AEC" w:rsidP="007D2827">
            <w:pPr>
              <w:jc w:val="center"/>
              <w:rPr>
                <w:color w:val="000000"/>
                <w:sz w:val="22"/>
                <w:szCs w:val="22"/>
                <w:lang w:val="en-US" w:eastAsia="en-GB"/>
              </w:rPr>
            </w:pPr>
            <w:r w:rsidRPr="00F17AEC">
              <w:rPr>
                <w:color w:val="000000"/>
                <w:sz w:val="22"/>
                <w:szCs w:val="22"/>
              </w:rPr>
              <w:t>70.00%</w:t>
            </w:r>
          </w:p>
        </w:tc>
        <w:tc>
          <w:tcPr>
            <w:tcW w:w="1058" w:type="pct"/>
            <w:tcBorders>
              <w:top w:val="nil"/>
              <w:left w:val="nil"/>
              <w:bottom w:val="nil"/>
              <w:right w:val="single" w:sz="4" w:space="0" w:color="auto"/>
            </w:tcBorders>
            <w:shd w:val="clear" w:color="auto" w:fill="auto"/>
            <w:vAlign w:val="center"/>
            <w:hideMark/>
          </w:tcPr>
          <w:p w14:paraId="78DAFAF1" w14:textId="1C6FB8DB" w:rsidR="00F17AEC" w:rsidRPr="00F17AEC" w:rsidRDefault="00F17AEC" w:rsidP="007D2827">
            <w:pPr>
              <w:jc w:val="center"/>
              <w:rPr>
                <w:color w:val="000000"/>
                <w:sz w:val="22"/>
                <w:szCs w:val="22"/>
                <w:lang w:val="en-US" w:eastAsia="en-GB"/>
              </w:rPr>
            </w:pPr>
            <w:r w:rsidRPr="00F17AEC">
              <w:rPr>
                <w:color w:val="000000"/>
                <w:sz w:val="22"/>
                <w:szCs w:val="22"/>
              </w:rPr>
              <w:t>470</w:t>
            </w:r>
          </w:p>
        </w:tc>
      </w:tr>
      <w:tr w:rsidR="00F17AEC" w:rsidRPr="00F17AEC" w14:paraId="71CDFAFC" w14:textId="77777777" w:rsidTr="00942A6C">
        <w:trPr>
          <w:trHeight w:val="191"/>
        </w:trPr>
        <w:tc>
          <w:tcPr>
            <w:tcW w:w="367" w:type="pct"/>
            <w:tcBorders>
              <w:top w:val="nil"/>
              <w:left w:val="nil"/>
              <w:bottom w:val="nil"/>
              <w:right w:val="nil"/>
            </w:tcBorders>
            <w:shd w:val="clear" w:color="auto" w:fill="auto"/>
            <w:noWrap/>
            <w:vAlign w:val="bottom"/>
            <w:hideMark/>
          </w:tcPr>
          <w:p w14:paraId="41DCD87D" w14:textId="54075261" w:rsidR="00F17AEC" w:rsidRPr="00F17AEC" w:rsidRDefault="00F17AEC" w:rsidP="00F17AEC">
            <w:pPr>
              <w:jc w:val="center"/>
              <w:rPr>
                <w:color w:val="000000"/>
                <w:sz w:val="22"/>
                <w:szCs w:val="22"/>
                <w:lang w:val="en-US" w:eastAsia="en-GB"/>
              </w:rPr>
            </w:pPr>
            <w:r w:rsidRPr="00F17AEC">
              <w:rPr>
                <w:color w:val="000000"/>
                <w:sz w:val="22"/>
                <w:szCs w:val="22"/>
              </w:rPr>
              <w:t>14</w:t>
            </w:r>
          </w:p>
        </w:tc>
        <w:tc>
          <w:tcPr>
            <w:tcW w:w="1880" w:type="pct"/>
            <w:tcBorders>
              <w:top w:val="nil"/>
              <w:left w:val="nil"/>
              <w:bottom w:val="nil"/>
              <w:right w:val="nil"/>
            </w:tcBorders>
            <w:shd w:val="clear" w:color="auto" w:fill="auto"/>
            <w:vAlign w:val="bottom"/>
            <w:hideMark/>
          </w:tcPr>
          <w:p w14:paraId="506A1664" w14:textId="16FC3770" w:rsidR="00F17AEC" w:rsidRPr="00F17AEC" w:rsidRDefault="00F17AEC" w:rsidP="00F17AEC">
            <w:pPr>
              <w:rPr>
                <w:color w:val="000000"/>
                <w:sz w:val="22"/>
                <w:szCs w:val="22"/>
                <w:lang w:val="en-US" w:eastAsia="en-GB"/>
              </w:rPr>
            </w:pPr>
            <w:r w:rsidRPr="00F17AEC">
              <w:rPr>
                <w:color w:val="000000"/>
                <w:sz w:val="22"/>
                <w:szCs w:val="22"/>
              </w:rPr>
              <w:t>Natixis</w:t>
            </w:r>
          </w:p>
        </w:tc>
        <w:tc>
          <w:tcPr>
            <w:tcW w:w="501" w:type="pct"/>
            <w:tcBorders>
              <w:top w:val="nil"/>
              <w:left w:val="nil"/>
              <w:bottom w:val="nil"/>
              <w:right w:val="nil"/>
            </w:tcBorders>
            <w:shd w:val="clear" w:color="auto" w:fill="auto"/>
            <w:vAlign w:val="center"/>
            <w:hideMark/>
          </w:tcPr>
          <w:p w14:paraId="10E9D226" w14:textId="0672CC46" w:rsidR="00F17AEC" w:rsidRPr="00F17AEC" w:rsidRDefault="00F17AEC" w:rsidP="007D2827">
            <w:pPr>
              <w:jc w:val="center"/>
              <w:rPr>
                <w:color w:val="000000"/>
                <w:sz w:val="22"/>
                <w:szCs w:val="22"/>
                <w:lang w:val="en-US" w:eastAsia="en-GB"/>
              </w:rPr>
            </w:pPr>
            <w:r w:rsidRPr="00F17AEC">
              <w:rPr>
                <w:color w:val="000000"/>
                <w:sz w:val="22"/>
                <w:szCs w:val="22"/>
              </w:rPr>
              <w:t>49.71</w:t>
            </w:r>
          </w:p>
        </w:tc>
        <w:tc>
          <w:tcPr>
            <w:tcW w:w="423" w:type="pct"/>
            <w:tcBorders>
              <w:top w:val="nil"/>
              <w:left w:val="nil"/>
              <w:bottom w:val="nil"/>
              <w:right w:val="nil"/>
            </w:tcBorders>
            <w:shd w:val="clear" w:color="auto" w:fill="auto"/>
            <w:vAlign w:val="center"/>
            <w:hideMark/>
          </w:tcPr>
          <w:p w14:paraId="752FAAC8" w14:textId="1A8C9B68" w:rsidR="00F17AEC" w:rsidRPr="00F17AEC" w:rsidRDefault="00F17AEC" w:rsidP="007D2827">
            <w:pPr>
              <w:jc w:val="center"/>
              <w:rPr>
                <w:color w:val="000000"/>
                <w:sz w:val="22"/>
                <w:szCs w:val="22"/>
                <w:lang w:val="en-US" w:eastAsia="en-GB"/>
              </w:rPr>
            </w:pPr>
            <w:r w:rsidRPr="00F17AEC">
              <w:rPr>
                <w:color w:val="000000"/>
                <w:sz w:val="22"/>
                <w:szCs w:val="22"/>
              </w:rPr>
              <w:t>2.75%</w:t>
            </w:r>
          </w:p>
        </w:tc>
        <w:tc>
          <w:tcPr>
            <w:tcW w:w="771" w:type="pct"/>
            <w:tcBorders>
              <w:top w:val="nil"/>
              <w:left w:val="nil"/>
              <w:bottom w:val="nil"/>
              <w:right w:val="nil"/>
            </w:tcBorders>
            <w:shd w:val="clear" w:color="auto" w:fill="auto"/>
            <w:vAlign w:val="center"/>
            <w:hideMark/>
          </w:tcPr>
          <w:p w14:paraId="40B7B697" w14:textId="72D42FF9" w:rsidR="00F17AEC" w:rsidRPr="00F17AEC" w:rsidRDefault="00F17AEC" w:rsidP="007D2827">
            <w:pPr>
              <w:jc w:val="center"/>
              <w:rPr>
                <w:color w:val="000000"/>
                <w:sz w:val="22"/>
                <w:szCs w:val="22"/>
                <w:lang w:val="en-US" w:eastAsia="en-GB"/>
              </w:rPr>
            </w:pPr>
            <w:r w:rsidRPr="00F17AEC">
              <w:rPr>
                <w:color w:val="000000"/>
                <w:sz w:val="22"/>
                <w:szCs w:val="22"/>
              </w:rPr>
              <w:t>72.75%</w:t>
            </w:r>
          </w:p>
        </w:tc>
        <w:tc>
          <w:tcPr>
            <w:tcW w:w="1058" w:type="pct"/>
            <w:tcBorders>
              <w:top w:val="nil"/>
              <w:left w:val="nil"/>
              <w:bottom w:val="nil"/>
              <w:right w:val="single" w:sz="4" w:space="0" w:color="auto"/>
            </w:tcBorders>
            <w:shd w:val="clear" w:color="auto" w:fill="auto"/>
            <w:vAlign w:val="center"/>
            <w:hideMark/>
          </w:tcPr>
          <w:p w14:paraId="62E4831D" w14:textId="54262150" w:rsidR="00F17AEC" w:rsidRPr="00F17AEC" w:rsidRDefault="00F17AEC" w:rsidP="007D2827">
            <w:pPr>
              <w:jc w:val="center"/>
              <w:rPr>
                <w:color w:val="000000"/>
                <w:sz w:val="22"/>
                <w:szCs w:val="22"/>
                <w:lang w:val="en-US" w:eastAsia="en-GB"/>
              </w:rPr>
            </w:pPr>
            <w:r w:rsidRPr="00F17AEC">
              <w:rPr>
                <w:color w:val="000000"/>
                <w:sz w:val="22"/>
                <w:szCs w:val="22"/>
              </w:rPr>
              <w:t>427</w:t>
            </w:r>
          </w:p>
        </w:tc>
      </w:tr>
      <w:tr w:rsidR="00F17AEC" w:rsidRPr="00F17AEC" w14:paraId="5894D0F3" w14:textId="77777777" w:rsidTr="00942A6C">
        <w:trPr>
          <w:trHeight w:val="191"/>
        </w:trPr>
        <w:tc>
          <w:tcPr>
            <w:tcW w:w="367" w:type="pct"/>
            <w:tcBorders>
              <w:top w:val="nil"/>
              <w:left w:val="nil"/>
              <w:bottom w:val="nil"/>
              <w:right w:val="nil"/>
            </w:tcBorders>
            <w:shd w:val="clear" w:color="auto" w:fill="auto"/>
            <w:noWrap/>
            <w:vAlign w:val="bottom"/>
            <w:hideMark/>
          </w:tcPr>
          <w:p w14:paraId="062285B8" w14:textId="7CF517AD" w:rsidR="00F17AEC" w:rsidRPr="00F17AEC" w:rsidRDefault="00F17AEC" w:rsidP="00F17AEC">
            <w:pPr>
              <w:jc w:val="center"/>
              <w:rPr>
                <w:color w:val="000000"/>
                <w:sz w:val="22"/>
                <w:szCs w:val="22"/>
                <w:lang w:val="en-US" w:eastAsia="en-GB"/>
              </w:rPr>
            </w:pPr>
            <w:r w:rsidRPr="00F17AEC">
              <w:rPr>
                <w:color w:val="000000"/>
                <w:sz w:val="22"/>
                <w:szCs w:val="22"/>
              </w:rPr>
              <w:t>15</w:t>
            </w:r>
          </w:p>
        </w:tc>
        <w:tc>
          <w:tcPr>
            <w:tcW w:w="1880" w:type="pct"/>
            <w:tcBorders>
              <w:top w:val="nil"/>
              <w:left w:val="nil"/>
              <w:bottom w:val="nil"/>
              <w:right w:val="nil"/>
            </w:tcBorders>
            <w:shd w:val="clear" w:color="auto" w:fill="auto"/>
            <w:vAlign w:val="bottom"/>
            <w:hideMark/>
          </w:tcPr>
          <w:p w14:paraId="7570942B" w14:textId="7899B792" w:rsidR="00F17AEC" w:rsidRPr="00F17AEC" w:rsidRDefault="00F17AEC" w:rsidP="00F17AEC">
            <w:pPr>
              <w:rPr>
                <w:color w:val="000000"/>
                <w:sz w:val="22"/>
                <w:szCs w:val="22"/>
                <w:lang w:val="en-US" w:eastAsia="en-GB"/>
              </w:rPr>
            </w:pPr>
            <w:r w:rsidRPr="00F17AEC">
              <w:rPr>
                <w:color w:val="000000"/>
                <w:sz w:val="22"/>
                <w:szCs w:val="22"/>
              </w:rPr>
              <w:t>ING</w:t>
            </w:r>
          </w:p>
        </w:tc>
        <w:tc>
          <w:tcPr>
            <w:tcW w:w="501" w:type="pct"/>
            <w:tcBorders>
              <w:top w:val="nil"/>
              <w:left w:val="nil"/>
              <w:bottom w:val="nil"/>
              <w:right w:val="nil"/>
            </w:tcBorders>
            <w:shd w:val="clear" w:color="auto" w:fill="auto"/>
            <w:vAlign w:val="center"/>
            <w:hideMark/>
          </w:tcPr>
          <w:p w14:paraId="7AF13BE4" w14:textId="69AAE43E" w:rsidR="00F17AEC" w:rsidRPr="00F17AEC" w:rsidRDefault="00F17AEC" w:rsidP="007D2827">
            <w:pPr>
              <w:jc w:val="center"/>
              <w:rPr>
                <w:color w:val="000000"/>
                <w:sz w:val="22"/>
                <w:szCs w:val="22"/>
                <w:lang w:val="en-US" w:eastAsia="en-GB"/>
              </w:rPr>
            </w:pPr>
            <w:r w:rsidRPr="00F17AEC">
              <w:rPr>
                <w:color w:val="000000"/>
                <w:sz w:val="22"/>
                <w:szCs w:val="22"/>
              </w:rPr>
              <w:t>49.16</w:t>
            </w:r>
          </w:p>
        </w:tc>
        <w:tc>
          <w:tcPr>
            <w:tcW w:w="423" w:type="pct"/>
            <w:tcBorders>
              <w:top w:val="nil"/>
              <w:left w:val="nil"/>
              <w:bottom w:val="nil"/>
              <w:right w:val="nil"/>
            </w:tcBorders>
            <w:shd w:val="clear" w:color="auto" w:fill="auto"/>
            <w:vAlign w:val="center"/>
            <w:hideMark/>
          </w:tcPr>
          <w:p w14:paraId="139386DA" w14:textId="30CD1CC2" w:rsidR="00F17AEC" w:rsidRPr="00F17AEC" w:rsidRDefault="00F17AEC" w:rsidP="007D2827">
            <w:pPr>
              <w:jc w:val="center"/>
              <w:rPr>
                <w:color w:val="000000"/>
                <w:sz w:val="22"/>
                <w:szCs w:val="22"/>
                <w:lang w:val="en-US" w:eastAsia="en-GB"/>
              </w:rPr>
            </w:pPr>
            <w:r w:rsidRPr="00F17AEC">
              <w:rPr>
                <w:color w:val="000000"/>
                <w:sz w:val="22"/>
                <w:szCs w:val="22"/>
              </w:rPr>
              <w:t>2.72%</w:t>
            </w:r>
          </w:p>
        </w:tc>
        <w:tc>
          <w:tcPr>
            <w:tcW w:w="771" w:type="pct"/>
            <w:tcBorders>
              <w:top w:val="nil"/>
              <w:left w:val="nil"/>
              <w:bottom w:val="nil"/>
              <w:right w:val="nil"/>
            </w:tcBorders>
            <w:shd w:val="clear" w:color="auto" w:fill="auto"/>
            <w:vAlign w:val="center"/>
            <w:hideMark/>
          </w:tcPr>
          <w:p w14:paraId="1DA917C3" w14:textId="557188D4" w:rsidR="00F17AEC" w:rsidRPr="00F17AEC" w:rsidRDefault="00F17AEC" w:rsidP="007D2827">
            <w:pPr>
              <w:jc w:val="center"/>
              <w:rPr>
                <w:color w:val="000000"/>
                <w:sz w:val="22"/>
                <w:szCs w:val="22"/>
                <w:lang w:val="en-US" w:eastAsia="en-GB"/>
              </w:rPr>
            </w:pPr>
            <w:r w:rsidRPr="00F17AEC">
              <w:rPr>
                <w:color w:val="000000"/>
                <w:sz w:val="22"/>
                <w:szCs w:val="22"/>
              </w:rPr>
              <w:t>75.47%</w:t>
            </w:r>
          </w:p>
        </w:tc>
        <w:tc>
          <w:tcPr>
            <w:tcW w:w="1058" w:type="pct"/>
            <w:tcBorders>
              <w:top w:val="nil"/>
              <w:left w:val="nil"/>
              <w:bottom w:val="nil"/>
              <w:right w:val="single" w:sz="4" w:space="0" w:color="auto"/>
            </w:tcBorders>
            <w:shd w:val="clear" w:color="auto" w:fill="auto"/>
            <w:vAlign w:val="center"/>
            <w:hideMark/>
          </w:tcPr>
          <w:p w14:paraId="7B016103" w14:textId="7BEF53DF" w:rsidR="00F17AEC" w:rsidRPr="00F17AEC" w:rsidRDefault="00F17AEC" w:rsidP="007D2827">
            <w:pPr>
              <w:jc w:val="center"/>
              <w:rPr>
                <w:color w:val="000000"/>
                <w:sz w:val="22"/>
                <w:szCs w:val="22"/>
                <w:lang w:val="en-US" w:eastAsia="en-GB"/>
              </w:rPr>
            </w:pPr>
            <w:r w:rsidRPr="00F17AEC">
              <w:rPr>
                <w:color w:val="000000"/>
                <w:sz w:val="22"/>
                <w:szCs w:val="22"/>
              </w:rPr>
              <w:t>419</w:t>
            </w:r>
          </w:p>
        </w:tc>
      </w:tr>
      <w:tr w:rsidR="00F17AEC" w:rsidRPr="00F17AEC" w14:paraId="18FB40D0" w14:textId="77777777" w:rsidTr="00942A6C">
        <w:trPr>
          <w:trHeight w:val="191"/>
        </w:trPr>
        <w:tc>
          <w:tcPr>
            <w:tcW w:w="367" w:type="pct"/>
            <w:tcBorders>
              <w:top w:val="nil"/>
              <w:left w:val="nil"/>
              <w:bottom w:val="nil"/>
              <w:right w:val="nil"/>
            </w:tcBorders>
            <w:shd w:val="clear" w:color="auto" w:fill="auto"/>
            <w:noWrap/>
            <w:vAlign w:val="bottom"/>
            <w:hideMark/>
          </w:tcPr>
          <w:p w14:paraId="6020DE15" w14:textId="48BE73DA" w:rsidR="00F17AEC" w:rsidRPr="00F17AEC" w:rsidRDefault="00F17AEC" w:rsidP="00F17AEC">
            <w:pPr>
              <w:jc w:val="center"/>
              <w:rPr>
                <w:color w:val="000000"/>
                <w:sz w:val="22"/>
                <w:szCs w:val="22"/>
                <w:lang w:val="en-US" w:eastAsia="en-GB"/>
              </w:rPr>
            </w:pPr>
            <w:r w:rsidRPr="00F17AEC">
              <w:rPr>
                <w:color w:val="000000"/>
                <w:sz w:val="22"/>
                <w:szCs w:val="22"/>
              </w:rPr>
              <w:t>16</w:t>
            </w:r>
          </w:p>
        </w:tc>
        <w:tc>
          <w:tcPr>
            <w:tcW w:w="1880" w:type="pct"/>
            <w:tcBorders>
              <w:top w:val="nil"/>
              <w:left w:val="nil"/>
              <w:bottom w:val="nil"/>
              <w:right w:val="nil"/>
            </w:tcBorders>
            <w:shd w:val="clear" w:color="auto" w:fill="auto"/>
            <w:vAlign w:val="bottom"/>
            <w:hideMark/>
          </w:tcPr>
          <w:p w14:paraId="67F4A35E" w14:textId="41042F9B" w:rsidR="00F17AEC" w:rsidRPr="00F17AEC" w:rsidRDefault="00F17AEC" w:rsidP="00F17AEC">
            <w:pPr>
              <w:rPr>
                <w:color w:val="000000"/>
                <w:sz w:val="22"/>
                <w:szCs w:val="22"/>
                <w:lang w:val="en-US" w:eastAsia="en-GB"/>
              </w:rPr>
            </w:pPr>
            <w:r w:rsidRPr="00F17AEC">
              <w:rPr>
                <w:color w:val="000000"/>
                <w:sz w:val="22"/>
                <w:szCs w:val="22"/>
              </w:rPr>
              <w:t>MUFG</w:t>
            </w:r>
          </w:p>
        </w:tc>
        <w:tc>
          <w:tcPr>
            <w:tcW w:w="501" w:type="pct"/>
            <w:tcBorders>
              <w:top w:val="nil"/>
              <w:left w:val="nil"/>
              <w:bottom w:val="nil"/>
              <w:right w:val="nil"/>
            </w:tcBorders>
            <w:shd w:val="clear" w:color="auto" w:fill="auto"/>
            <w:vAlign w:val="center"/>
            <w:hideMark/>
          </w:tcPr>
          <w:p w14:paraId="2F2C41E3" w14:textId="7C74319F" w:rsidR="00F17AEC" w:rsidRPr="00F17AEC" w:rsidRDefault="00F17AEC" w:rsidP="007D2827">
            <w:pPr>
              <w:jc w:val="center"/>
              <w:rPr>
                <w:color w:val="000000"/>
                <w:sz w:val="22"/>
                <w:szCs w:val="22"/>
                <w:lang w:val="en-US" w:eastAsia="en-GB"/>
              </w:rPr>
            </w:pPr>
            <w:r w:rsidRPr="00F17AEC">
              <w:rPr>
                <w:color w:val="000000"/>
                <w:sz w:val="22"/>
                <w:szCs w:val="22"/>
              </w:rPr>
              <w:t>39.92</w:t>
            </w:r>
          </w:p>
        </w:tc>
        <w:tc>
          <w:tcPr>
            <w:tcW w:w="423" w:type="pct"/>
            <w:tcBorders>
              <w:top w:val="nil"/>
              <w:left w:val="nil"/>
              <w:bottom w:val="nil"/>
              <w:right w:val="nil"/>
            </w:tcBorders>
            <w:shd w:val="clear" w:color="auto" w:fill="auto"/>
            <w:vAlign w:val="center"/>
            <w:hideMark/>
          </w:tcPr>
          <w:p w14:paraId="4FE87B27" w14:textId="4D96729B" w:rsidR="00F17AEC" w:rsidRPr="00F17AEC" w:rsidRDefault="00F17AEC" w:rsidP="007D2827">
            <w:pPr>
              <w:jc w:val="center"/>
              <w:rPr>
                <w:color w:val="000000"/>
                <w:sz w:val="22"/>
                <w:szCs w:val="22"/>
                <w:lang w:val="en-US" w:eastAsia="en-GB"/>
              </w:rPr>
            </w:pPr>
            <w:r w:rsidRPr="00F17AEC">
              <w:rPr>
                <w:color w:val="000000"/>
                <w:sz w:val="22"/>
                <w:szCs w:val="22"/>
              </w:rPr>
              <w:t>2.21%</w:t>
            </w:r>
          </w:p>
        </w:tc>
        <w:tc>
          <w:tcPr>
            <w:tcW w:w="771" w:type="pct"/>
            <w:tcBorders>
              <w:top w:val="nil"/>
              <w:left w:val="nil"/>
              <w:bottom w:val="nil"/>
              <w:right w:val="nil"/>
            </w:tcBorders>
            <w:shd w:val="clear" w:color="auto" w:fill="auto"/>
            <w:vAlign w:val="center"/>
            <w:hideMark/>
          </w:tcPr>
          <w:p w14:paraId="24C97145" w14:textId="5CEDEF4B" w:rsidR="00F17AEC" w:rsidRPr="00F17AEC" w:rsidRDefault="00F17AEC" w:rsidP="007D2827">
            <w:pPr>
              <w:jc w:val="center"/>
              <w:rPr>
                <w:color w:val="000000"/>
                <w:sz w:val="22"/>
                <w:szCs w:val="22"/>
                <w:lang w:val="en-US" w:eastAsia="en-GB"/>
              </w:rPr>
            </w:pPr>
            <w:r w:rsidRPr="00F17AEC">
              <w:rPr>
                <w:color w:val="000000"/>
                <w:sz w:val="22"/>
                <w:szCs w:val="22"/>
              </w:rPr>
              <w:t>77.68%</w:t>
            </w:r>
          </w:p>
        </w:tc>
        <w:tc>
          <w:tcPr>
            <w:tcW w:w="1058" w:type="pct"/>
            <w:tcBorders>
              <w:top w:val="nil"/>
              <w:left w:val="nil"/>
              <w:bottom w:val="nil"/>
              <w:right w:val="single" w:sz="4" w:space="0" w:color="auto"/>
            </w:tcBorders>
            <w:shd w:val="clear" w:color="auto" w:fill="auto"/>
            <w:vAlign w:val="center"/>
            <w:hideMark/>
          </w:tcPr>
          <w:p w14:paraId="5F0B1F55" w14:textId="7C384937" w:rsidR="00F17AEC" w:rsidRPr="00F17AEC" w:rsidRDefault="00F17AEC" w:rsidP="007D2827">
            <w:pPr>
              <w:jc w:val="center"/>
              <w:rPr>
                <w:color w:val="000000"/>
                <w:sz w:val="22"/>
                <w:szCs w:val="22"/>
                <w:lang w:val="en-US" w:eastAsia="en-GB"/>
              </w:rPr>
            </w:pPr>
            <w:r w:rsidRPr="00F17AEC">
              <w:rPr>
                <w:color w:val="000000"/>
                <w:sz w:val="22"/>
                <w:szCs w:val="22"/>
              </w:rPr>
              <w:t>381</w:t>
            </w:r>
          </w:p>
        </w:tc>
      </w:tr>
      <w:tr w:rsidR="00F17AEC" w:rsidRPr="00F17AEC" w14:paraId="001E1D85" w14:textId="77777777" w:rsidTr="00942A6C">
        <w:trPr>
          <w:trHeight w:val="191"/>
        </w:trPr>
        <w:tc>
          <w:tcPr>
            <w:tcW w:w="367" w:type="pct"/>
            <w:tcBorders>
              <w:top w:val="nil"/>
              <w:left w:val="nil"/>
              <w:bottom w:val="nil"/>
              <w:right w:val="nil"/>
            </w:tcBorders>
            <w:shd w:val="clear" w:color="auto" w:fill="auto"/>
            <w:noWrap/>
            <w:vAlign w:val="bottom"/>
            <w:hideMark/>
          </w:tcPr>
          <w:p w14:paraId="79F235D0" w14:textId="24B9E38C" w:rsidR="00F17AEC" w:rsidRPr="00F17AEC" w:rsidRDefault="00F17AEC" w:rsidP="00F17AEC">
            <w:pPr>
              <w:jc w:val="center"/>
              <w:rPr>
                <w:color w:val="000000"/>
                <w:sz w:val="22"/>
                <w:szCs w:val="22"/>
                <w:lang w:val="en-US" w:eastAsia="en-GB"/>
              </w:rPr>
            </w:pPr>
            <w:r w:rsidRPr="00F17AEC">
              <w:rPr>
                <w:color w:val="000000"/>
                <w:sz w:val="22"/>
                <w:szCs w:val="22"/>
              </w:rPr>
              <w:t>17</w:t>
            </w:r>
          </w:p>
        </w:tc>
        <w:tc>
          <w:tcPr>
            <w:tcW w:w="1880" w:type="pct"/>
            <w:tcBorders>
              <w:top w:val="nil"/>
              <w:left w:val="nil"/>
              <w:bottom w:val="nil"/>
              <w:right w:val="nil"/>
            </w:tcBorders>
            <w:shd w:val="clear" w:color="auto" w:fill="auto"/>
            <w:vAlign w:val="bottom"/>
            <w:hideMark/>
          </w:tcPr>
          <w:p w14:paraId="5C076CFD" w14:textId="67B6AEC3" w:rsidR="00F17AEC" w:rsidRPr="00F17AEC" w:rsidRDefault="00F17AEC" w:rsidP="00F17AEC">
            <w:pPr>
              <w:rPr>
                <w:color w:val="000000"/>
                <w:sz w:val="22"/>
                <w:szCs w:val="22"/>
                <w:lang w:val="en-US" w:eastAsia="en-GB"/>
              </w:rPr>
            </w:pPr>
            <w:r w:rsidRPr="00F17AEC">
              <w:rPr>
                <w:color w:val="000000"/>
                <w:sz w:val="22"/>
                <w:szCs w:val="22"/>
              </w:rPr>
              <w:t>BBVA</w:t>
            </w:r>
          </w:p>
        </w:tc>
        <w:tc>
          <w:tcPr>
            <w:tcW w:w="501" w:type="pct"/>
            <w:tcBorders>
              <w:top w:val="nil"/>
              <w:left w:val="nil"/>
              <w:bottom w:val="nil"/>
              <w:right w:val="nil"/>
            </w:tcBorders>
            <w:shd w:val="clear" w:color="auto" w:fill="auto"/>
            <w:vAlign w:val="center"/>
            <w:hideMark/>
          </w:tcPr>
          <w:p w14:paraId="23ED0CA4" w14:textId="7CBC3BF1" w:rsidR="00F17AEC" w:rsidRPr="00F17AEC" w:rsidRDefault="00F17AEC" w:rsidP="007D2827">
            <w:pPr>
              <w:jc w:val="center"/>
              <w:rPr>
                <w:color w:val="000000"/>
                <w:sz w:val="22"/>
                <w:szCs w:val="22"/>
                <w:lang w:val="en-US" w:eastAsia="en-GB"/>
              </w:rPr>
            </w:pPr>
            <w:r w:rsidRPr="00F17AEC">
              <w:rPr>
                <w:color w:val="000000"/>
                <w:sz w:val="22"/>
                <w:szCs w:val="22"/>
              </w:rPr>
              <w:t>36.51</w:t>
            </w:r>
          </w:p>
        </w:tc>
        <w:tc>
          <w:tcPr>
            <w:tcW w:w="423" w:type="pct"/>
            <w:tcBorders>
              <w:top w:val="nil"/>
              <w:left w:val="nil"/>
              <w:bottom w:val="nil"/>
              <w:right w:val="nil"/>
            </w:tcBorders>
            <w:shd w:val="clear" w:color="auto" w:fill="auto"/>
            <w:vAlign w:val="center"/>
            <w:hideMark/>
          </w:tcPr>
          <w:p w14:paraId="580AA42D" w14:textId="391D75E0" w:rsidR="00F17AEC" w:rsidRPr="00F17AEC" w:rsidRDefault="00F17AEC" w:rsidP="007D2827">
            <w:pPr>
              <w:jc w:val="center"/>
              <w:rPr>
                <w:color w:val="000000"/>
                <w:sz w:val="22"/>
                <w:szCs w:val="22"/>
                <w:lang w:val="en-US" w:eastAsia="en-GB"/>
              </w:rPr>
            </w:pPr>
            <w:r w:rsidRPr="00F17AEC">
              <w:rPr>
                <w:color w:val="000000"/>
                <w:sz w:val="22"/>
                <w:szCs w:val="22"/>
              </w:rPr>
              <w:t>2.02%</w:t>
            </w:r>
          </w:p>
        </w:tc>
        <w:tc>
          <w:tcPr>
            <w:tcW w:w="771" w:type="pct"/>
            <w:tcBorders>
              <w:top w:val="nil"/>
              <w:left w:val="nil"/>
              <w:bottom w:val="nil"/>
              <w:right w:val="nil"/>
            </w:tcBorders>
            <w:shd w:val="clear" w:color="auto" w:fill="auto"/>
            <w:vAlign w:val="center"/>
            <w:hideMark/>
          </w:tcPr>
          <w:p w14:paraId="2B493FD2" w14:textId="40E5B0B2" w:rsidR="00F17AEC" w:rsidRPr="00F17AEC" w:rsidRDefault="00F17AEC" w:rsidP="007D2827">
            <w:pPr>
              <w:jc w:val="center"/>
              <w:rPr>
                <w:color w:val="000000"/>
                <w:sz w:val="22"/>
                <w:szCs w:val="22"/>
                <w:lang w:val="en-US" w:eastAsia="en-GB"/>
              </w:rPr>
            </w:pPr>
            <w:r w:rsidRPr="00F17AEC">
              <w:rPr>
                <w:color w:val="000000"/>
                <w:sz w:val="22"/>
                <w:szCs w:val="22"/>
              </w:rPr>
              <w:t>79.70%</w:t>
            </w:r>
          </w:p>
        </w:tc>
        <w:tc>
          <w:tcPr>
            <w:tcW w:w="1058" w:type="pct"/>
            <w:tcBorders>
              <w:top w:val="nil"/>
              <w:left w:val="nil"/>
              <w:bottom w:val="nil"/>
              <w:right w:val="single" w:sz="4" w:space="0" w:color="auto"/>
            </w:tcBorders>
            <w:shd w:val="clear" w:color="auto" w:fill="auto"/>
            <w:vAlign w:val="center"/>
            <w:hideMark/>
          </w:tcPr>
          <w:p w14:paraId="34221D3A" w14:textId="2EAC98C5" w:rsidR="00F17AEC" w:rsidRPr="00F17AEC" w:rsidRDefault="00F17AEC" w:rsidP="007D2827">
            <w:pPr>
              <w:jc w:val="center"/>
              <w:rPr>
                <w:color w:val="000000"/>
                <w:sz w:val="22"/>
                <w:szCs w:val="22"/>
                <w:lang w:val="en-US" w:eastAsia="en-GB"/>
              </w:rPr>
            </w:pPr>
            <w:r w:rsidRPr="00F17AEC">
              <w:rPr>
                <w:color w:val="000000"/>
                <w:sz w:val="22"/>
                <w:szCs w:val="22"/>
              </w:rPr>
              <w:t>311</w:t>
            </w:r>
          </w:p>
        </w:tc>
      </w:tr>
      <w:tr w:rsidR="00F17AEC" w:rsidRPr="00F17AEC" w14:paraId="54E34E9A" w14:textId="77777777" w:rsidTr="00942A6C">
        <w:trPr>
          <w:trHeight w:val="191"/>
        </w:trPr>
        <w:tc>
          <w:tcPr>
            <w:tcW w:w="367" w:type="pct"/>
            <w:tcBorders>
              <w:top w:val="nil"/>
              <w:left w:val="nil"/>
              <w:bottom w:val="nil"/>
              <w:right w:val="nil"/>
            </w:tcBorders>
            <w:shd w:val="clear" w:color="auto" w:fill="auto"/>
            <w:noWrap/>
            <w:vAlign w:val="bottom"/>
            <w:hideMark/>
          </w:tcPr>
          <w:p w14:paraId="1E5F1690" w14:textId="38CFD692" w:rsidR="00F17AEC" w:rsidRPr="00F17AEC" w:rsidRDefault="00F17AEC" w:rsidP="00F17AEC">
            <w:pPr>
              <w:jc w:val="center"/>
              <w:rPr>
                <w:color w:val="000000"/>
                <w:sz w:val="22"/>
                <w:szCs w:val="22"/>
                <w:lang w:val="en-US" w:eastAsia="en-GB"/>
              </w:rPr>
            </w:pPr>
            <w:r w:rsidRPr="00F17AEC">
              <w:rPr>
                <w:color w:val="000000"/>
                <w:sz w:val="22"/>
                <w:szCs w:val="22"/>
              </w:rPr>
              <w:t>18</w:t>
            </w:r>
          </w:p>
        </w:tc>
        <w:tc>
          <w:tcPr>
            <w:tcW w:w="1880" w:type="pct"/>
            <w:tcBorders>
              <w:top w:val="nil"/>
              <w:left w:val="nil"/>
              <w:bottom w:val="nil"/>
              <w:right w:val="nil"/>
            </w:tcBorders>
            <w:shd w:val="clear" w:color="auto" w:fill="auto"/>
            <w:vAlign w:val="bottom"/>
            <w:hideMark/>
          </w:tcPr>
          <w:p w14:paraId="40F16256" w14:textId="56302EEA" w:rsidR="00F17AEC" w:rsidRPr="00F17AEC" w:rsidRDefault="00F17AEC" w:rsidP="00F17AEC">
            <w:pPr>
              <w:rPr>
                <w:color w:val="000000"/>
                <w:sz w:val="22"/>
                <w:szCs w:val="22"/>
                <w:lang w:val="en-US" w:eastAsia="en-GB"/>
              </w:rPr>
            </w:pPr>
            <w:r w:rsidRPr="00F17AEC">
              <w:rPr>
                <w:color w:val="000000"/>
                <w:sz w:val="22"/>
                <w:szCs w:val="22"/>
              </w:rPr>
              <w:t>Morgan Stanley</w:t>
            </w:r>
          </w:p>
        </w:tc>
        <w:tc>
          <w:tcPr>
            <w:tcW w:w="501" w:type="pct"/>
            <w:tcBorders>
              <w:top w:val="nil"/>
              <w:left w:val="nil"/>
              <w:bottom w:val="nil"/>
              <w:right w:val="nil"/>
            </w:tcBorders>
            <w:shd w:val="clear" w:color="auto" w:fill="auto"/>
            <w:vAlign w:val="center"/>
            <w:hideMark/>
          </w:tcPr>
          <w:p w14:paraId="0756652C" w14:textId="3005182E" w:rsidR="00F17AEC" w:rsidRPr="00F17AEC" w:rsidRDefault="00F17AEC" w:rsidP="007D2827">
            <w:pPr>
              <w:jc w:val="center"/>
              <w:rPr>
                <w:color w:val="000000"/>
                <w:sz w:val="22"/>
                <w:szCs w:val="22"/>
                <w:lang w:val="en-US" w:eastAsia="en-GB"/>
              </w:rPr>
            </w:pPr>
            <w:r w:rsidRPr="00F17AEC">
              <w:rPr>
                <w:color w:val="000000"/>
                <w:sz w:val="22"/>
                <w:szCs w:val="22"/>
              </w:rPr>
              <w:t>35.38</w:t>
            </w:r>
          </w:p>
        </w:tc>
        <w:tc>
          <w:tcPr>
            <w:tcW w:w="423" w:type="pct"/>
            <w:tcBorders>
              <w:top w:val="nil"/>
              <w:left w:val="nil"/>
              <w:bottom w:val="nil"/>
              <w:right w:val="nil"/>
            </w:tcBorders>
            <w:shd w:val="clear" w:color="auto" w:fill="auto"/>
            <w:vAlign w:val="center"/>
            <w:hideMark/>
          </w:tcPr>
          <w:p w14:paraId="1873F9FD" w14:textId="2CF978EE" w:rsidR="00F17AEC" w:rsidRPr="00F17AEC" w:rsidRDefault="00F17AEC" w:rsidP="007D2827">
            <w:pPr>
              <w:jc w:val="center"/>
              <w:rPr>
                <w:color w:val="000000"/>
                <w:sz w:val="22"/>
                <w:szCs w:val="22"/>
                <w:lang w:val="en-US" w:eastAsia="en-GB"/>
              </w:rPr>
            </w:pPr>
            <w:r w:rsidRPr="00F17AEC">
              <w:rPr>
                <w:color w:val="000000"/>
                <w:sz w:val="22"/>
                <w:szCs w:val="22"/>
              </w:rPr>
              <w:t>1.96%</w:t>
            </w:r>
          </w:p>
        </w:tc>
        <w:tc>
          <w:tcPr>
            <w:tcW w:w="771" w:type="pct"/>
            <w:tcBorders>
              <w:top w:val="nil"/>
              <w:left w:val="nil"/>
              <w:bottom w:val="nil"/>
              <w:right w:val="nil"/>
            </w:tcBorders>
            <w:shd w:val="clear" w:color="auto" w:fill="auto"/>
            <w:vAlign w:val="center"/>
            <w:hideMark/>
          </w:tcPr>
          <w:p w14:paraId="344A30CF" w14:textId="2FFC1EDE" w:rsidR="00F17AEC" w:rsidRPr="00F17AEC" w:rsidRDefault="00F17AEC" w:rsidP="007D2827">
            <w:pPr>
              <w:jc w:val="center"/>
              <w:rPr>
                <w:color w:val="000000"/>
                <w:sz w:val="22"/>
                <w:szCs w:val="22"/>
                <w:lang w:val="en-US" w:eastAsia="en-GB"/>
              </w:rPr>
            </w:pPr>
            <w:r w:rsidRPr="00F17AEC">
              <w:rPr>
                <w:color w:val="000000"/>
                <w:sz w:val="22"/>
                <w:szCs w:val="22"/>
              </w:rPr>
              <w:t>81.65%</w:t>
            </w:r>
          </w:p>
        </w:tc>
        <w:tc>
          <w:tcPr>
            <w:tcW w:w="1058" w:type="pct"/>
            <w:tcBorders>
              <w:top w:val="nil"/>
              <w:left w:val="nil"/>
              <w:bottom w:val="nil"/>
              <w:right w:val="single" w:sz="4" w:space="0" w:color="auto"/>
            </w:tcBorders>
            <w:shd w:val="clear" w:color="auto" w:fill="auto"/>
            <w:vAlign w:val="center"/>
            <w:hideMark/>
          </w:tcPr>
          <w:p w14:paraId="1D3F3D22" w14:textId="039F0A66" w:rsidR="00F17AEC" w:rsidRPr="00F17AEC" w:rsidRDefault="00F17AEC" w:rsidP="007D2827">
            <w:pPr>
              <w:jc w:val="center"/>
              <w:rPr>
                <w:color w:val="000000"/>
                <w:sz w:val="22"/>
                <w:szCs w:val="22"/>
                <w:lang w:val="en-US" w:eastAsia="en-GB"/>
              </w:rPr>
            </w:pPr>
            <w:r w:rsidRPr="00F17AEC">
              <w:rPr>
                <w:color w:val="000000"/>
                <w:sz w:val="22"/>
                <w:szCs w:val="22"/>
              </w:rPr>
              <w:t>238</w:t>
            </w:r>
          </w:p>
        </w:tc>
      </w:tr>
      <w:tr w:rsidR="00F17AEC" w:rsidRPr="00F17AEC" w14:paraId="33C3FA9B" w14:textId="77777777" w:rsidTr="00942A6C">
        <w:trPr>
          <w:trHeight w:val="191"/>
        </w:trPr>
        <w:tc>
          <w:tcPr>
            <w:tcW w:w="367" w:type="pct"/>
            <w:tcBorders>
              <w:top w:val="nil"/>
              <w:left w:val="nil"/>
              <w:bottom w:val="nil"/>
              <w:right w:val="nil"/>
            </w:tcBorders>
            <w:shd w:val="clear" w:color="auto" w:fill="auto"/>
            <w:noWrap/>
            <w:vAlign w:val="bottom"/>
            <w:hideMark/>
          </w:tcPr>
          <w:p w14:paraId="2F4B6009" w14:textId="52622B2F" w:rsidR="00F17AEC" w:rsidRPr="00F17AEC" w:rsidRDefault="00F17AEC" w:rsidP="00F17AEC">
            <w:pPr>
              <w:jc w:val="center"/>
              <w:rPr>
                <w:color w:val="000000"/>
                <w:sz w:val="22"/>
                <w:szCs w:val="22"/>
                <w:lang w:val="en-US" w:eastAsia="en-GB"/>
              </w:rPr>
            </w:pPr>
            <w:r w:rsidRPr="00F17AEC">
              <w:rPr>
                <w:color w:val="000000"/>
                <w:sz w:val="22"/>
                <w:szCs w:val="22"/>
              </w:rPr>
              <w:t>19</w:t>
            </w:r>
          </w:p>
        </w:tc>
        <w:tc>
          <w:tcPr>
            <w:tcW w:w="1880" w:type="pct"/>
            <w:tcBorders>
              <w:top w:val="nil"/>
              <w:left w:val="nil"/>
              <w:bottom w:val="nil"/>
              <w:right w:val="nil"/>
            </w:tcBorders>
            <w:shd w:val="clear" w:color="auto" w:fill="auto"/>
            <w:vAlign w:val="bottom"/>
            <w:hideMark/>
          </w:tcPr>
          <w:p w14:paraId="79AFF6EF" w14:textId="233CB7DF" w:rsidR="00F17AEC" w:rsidRPr="00F17AEC" w:rsidRDefault="00F17AEC" w:rsidP="00F17AEC">
            <w:pPr>
              <w:rPr>
                <w:color w:val="000000"/>
                <w:sz w:val="22"/>
                <w:szCs w:val="22"/>
                <w:lang w:val="en-US" w:eastAsia="en-GB"/>
              </w:rPr>
            </w:pPr>
            <w:r w:rsidRPr="00F17AEC">
              <w:rPr>
                <w:color w:val="000000"/>
                <w:sz w:val="22"/>
                <w:szCs w:val="22"/>
              </w:rPr>
              <w:t>Credit Suisse</w:t>
            </w:r>
          </w:p>
        </w:tc>
        <w:tc>
          <w:tcPr>
            <w:tcW w:w="501" w:type="pct"/>
            <w:tcBorders>
              <w:top w:val="nil"/>
              <w:left w:val="nil"/>
              <w:bottom w:val="nil"/>
              <w:right w:val="nil"/>
            </w:tcBorders>
            <w:shd w:val="clear" w:color="auto" w:fill="auto"/>
            <w:vAlign w:val="center"/>
            <w:hideMark/>
          </w:tcPr>
          <w:p w14:paraId="6EA11B78" w14:textId="39D023B8" w:rsidR="00F17AEC" w:rsidRPr="00F17AEC" w:rsidRDefault="00F17AEC" w:rsidP="007D2827">
            <w:pPr>
              <w:jc w:val="center"/>
              <w:rPr>
                <w:color w:val="000000"/>
                <w:sz w:val="22"/>
                <w:szCs w:val="22"/>
                <w:lang w:val="en-US" w:eastAsia="en-GB"/>
              </w:rPr>
            </w:pPr>
            <w:r w:rsidRPr="00F17AEC">
              <w:rPr>
                <w:color w:val="000000"/>
                <w:sz w:val="22"/>
                <w:szCs w:val="22"/>
              </w:rPr>
              <w:t>33.55</w:t>
            </w:r>
          </w:p>
        </w:tc>
        <w:tc>
          <w:tcPr>
            <w:tcW w:w="423" w:type="pct"/>
            <w:tcBorders>
              <w:top w:val="nil"/>
              <w:left w:val="nil"/>
              <w:bottom w:val="nil"/>
              <w:right w:val="nil"/>
            </w:tcBorders>
            <w:shd w:val="clear" w:color="auto" w:fill="auto"/>
            <w:vAlign w:val="center"/>
            <w:hideMark/>
          </w:tcPr>
          <w:p w14:paraId="35A7B31F" w14:textId="27125512" w:rsidR="00F17AEC" w:rsidRPr="00F17AEC" w:rsidRDefault="00F17AEC" w:rsidP="007D2827">
            <w:pPr>
              <w:jc w:val="center"/>
              <w:rPr>
                <w:color w:val="000000"/>
                <w:sz w:val="22"/>
                <w:szCs w:val="22"/>
                <w:lang w:val="en-US" w:eastAsia="en-GB"/>
              </w:rPr>
            </w:pPr>
            <w:r w:rsidRPr="00F17AEC">
              <w:rPr>
                <w:color w:val="000000"/>
                <w:sz w:val="22"/>
                <w:szCs w:val="22"/>
              </w:rPr>
              <w:t>1.86%</w:t>
            </w:r>
          </w:p>
        </w:tc>
        <w:tc>
          <w:tcPr>
            <w:tcW w:w="771" w:type="pct"/>
            <w:tcBorders>
              <w:top w:val="nil"/>
              <w:left w:val="nil"/>
              <w:bottom w:val="nil"/>
              <w:right w:val="nil"/>
            </w:tcBorders>
            <w:shd w:val="clear" w:color="auto" w:fill="auto"/>
            <w:vAlign w:val="center"/>
            <w:hideMark/>
          </w:tcPr>
          <w:p w14:paraId="7D8F6EB8" w14:textId="5DAF4AEE" w:rsidR="00F17AEC" w:rsidRPr="00F17AEC" w:rsidRDefault="00F17AEC" w:rsidP="007D2827">
            <w:pPr>
              <w:jc w:val="center"/>
              <w:rPr>
                <w:color w:val="000000"/>
                <w:sz w:val="22"/>
                <w:szCs w:val="22"/>
                <w:lang w:val="en-US" w:eastAsia="en-GB"/>
              </w:rPr>
            </w:pPr>
            <w:r w:rsidRPr="00F17AEC">
              <w:rPr>
                <w:color w:val="000000"/>
                <w:sz w:val="22"/>
                <w:szCs w:val="22"/>
              </w:rPr>
              <w:t>83.51%</w:t>
            </w:r>
          </w:p>
        </w:tc>
        <w:tc>
          <w:tcPr>
            <w:tcW w:w="1058" w:type="pct"/>
            <w:tcBorders>
              <w:top w:val="nil"/>
              <w:left w:val="nil"/>
              <w:bottom w:val="nil"/>
              <w:right w:val="single" w:sz="4" w:space="0" w:color="auto"/>
            </w:tcBorders>
            <w:shd w:val="clear" w:color="auto" w:fill="auto"/>
            <w:vAlign w:val="center"/>
            <w:hideMark/>
          </w:tcPr>
          <w:p w14:paraId="02978D79" w14:textId="5E346267" w:rsidR="00F17AEC" w:rsidRPr="00F17AEC" w:rsidRDefault="00F17AEC" w:rsidP="007D2827">
            <w:pPr>
              <w:jc w:val="center"/>
              <w:rPr>
                <w:color w:val="000000"/>
                <w:sz w:val="22"/>
                <w:szCs w:val="22"/>
                <w:lang w:val="en-US" w:eastAsia="en-GB"/>
              </w:rPr>
            </w:pPr>
            <w:r w:rsidRPr="00F17AEC">
              <w:rPr>
                <w:color w:val="000000"/>
                <w:sz w:val="22"/>
                <w:szCs w:val="22"/>
              </w:rPr>
              <w:t>210</w:t>
            </w:r>
          </w:p>
        </w:tc>
      </w:tr>
      <w:tr w:rsidR="00F17AEC" w:rsidRPr="00F17AEC" w14:paraId="4F0D2EC7" w14:textId="77777777" w:rsidTr="00942A6C">
        <w:trPr>
          <w:trHeight w:val="191"/>
        </w:trPr>
        <w:tc>
          <w:tcPr>
            <w:tcW w:w="367" w:type="pct"/>
            <w:tcBorders>
              <w:top w:val="nil"/>
              <w:left w:val="nil"/>
              <w:bottom w:val="nil"/>
              <w:right w:val="nil"/>
            </w:tcBorders>
            <w:shd w:val="clear" w:color="auto" w:fill="auto"/>
            <w:noWrap/>
            <w:vAlign w:val="bottom"/>
            <w:hideMark/>
          </w:tcPr>
          <w:p w14:paraId="0071CBC7" w14:textId="6885EE75" w:rsidR="00F17AEC" w:rsidRPr="00F17AEC" w:rsidRDefault="00F17AEC" w:rsidP="00F17AEC">
            <w:pPr>
              <w:jc w:val="center"/>
              <w:rPr>
                <w:color w:val="000000"/>
                <w:sz w:val="22"/>
                <w:szCs w:val="22"/>
                <w:lang w:val="en-US" w:eastAsia="en-GB"/>
              </w:rPr>
            </w:pPr>
            <w:r w:rsidRPr="00F17AEC">
              <w:rPr>
                <w:color w:val="000000"/>
                <w:sz w:val="22"/>
                <w:szCs w:val="22"/>
              </w:rPr>
              <w:t>20</w:t>
            </w:r>
          </w:p>
        </w:tc>
        <w:tc>
          <w:tcPr>
            <w:tcW w:w="1880" w:type="pct"/>
            <w:tcBorders>
              <w:top w:val="nil"/>
              <w:left w:val="nil"/>
              <w:bottom w:val="nil"/>
              <w:right w:val="nil"/>
            </w:tcBorders>
            <w:shd w:val="clear" w:color="auto" w:fill="auto"/>
            <w:vAlign w:val="bottom"/>
            <w:hideMark/>
          </w:tcPr>
          <w:p w14:paraId="28A33F00" w14:textId="7E61D90C" w:rsidR="00F17AEC" w:rsidRPr="00F17AEC" w:rsidRDefault="00F17AEC" w:rsidP="00F17AEC">
            <w:pPr>
              <w:rPr>
                <w:color w:val="000000"/>
                <w:sz w:val="22"/>
                <w:szCs w:val="22"/>
                <w:lang w:val="en-US" w:eastAsia="en-GB"/>
              </w:rPr>
            </w:pPr>
            <w:r w:rsidRPr="00F17AEC">
              <w:rPr>
                <w:color w:val="000000"/>
                <w:sz w:val="22"/>
                <w:szCs w:val="22"/>
              </w:rPr>
              <w:t>Goldman Sachs</w:t>
            </w:r>
          </w:p>
        </w:tc>
        <w:tc>
          <w:tcPr>
            <w:tcW w:w="501" w:type="pct"/>
            <w:tcBorders>
              <w:top w:val="nil"/>
              <w:left w:val="nil"/>
              <w:bottom w:val="nil"/>
              <w:right w:val="nil"/>
            </w:tcBorders>
            <w:shd w:val="clear" w:color="auto" w:fill="auto"/>
            <w:vAlign w:val="center"/>
            <w:hideMark/>
          </w:tcPr>
          <w:p w14:paraId="19B4B533" w14:textId="254E94AB" w:rsidR="00F17AEC" w:rsidRPr="00F17AEC" w:rsidRDefault="00F17AEC" w:rsidP="007D2827">
            <w:pPr>
              <w:jc w:val="center"/>
              <w:rPr>
                <w:color w:val="000000"/>
                <w:sz w:val="22"/>
                <w:szCs w:val="22"/>
                <w:lang w:val="en-US" w:eastAsia="en-GB"/>
              </w:rPr>
            </w:pPr>
            <w:r w:rsidRPr="00F17AEC">
              <w:rPr>
                <w:color w:val="000000"/>
                <w:sz w:val="22"/>
                <w:szCs w:val="22"/>
              </w:rPr>
              <w:t>33.24</w:t>
            </w:r>
          </w:p>
        </w:tc>
        <w:tc>
          <w:tcPr>
            <w:tcW w:w="423" w:type="pct"/>
            <w:tcBorders>
              <w:top w:val="nil"/>
              <w:left w:val="nil"/>
              <w:bottom w:val="nil"/>
              <w:right w:val="nil"/>
            </w:tcBorders>
            <w:shd w:val="clear" w:color="auto" w:fill="auto"/>
            <w:vAlign w:val="center"/>
            <w:hideMark/>
          </w:tcPr>
          <w:p w14:paraId="44982E78" w14:textId="5E82C531" w:rsidR="00F17AEC" w:rsidRPr="00F17AEC" w:rsidRDefault="00F17AEC" w:rsidP="007D2827">
            <w:pPr>
              <w:jc w:val="center"/>
              <w:rPr>
                <w:color w:val="000000"/>
                <w:sz w:val="22"/>
                <w:szCs w:val="22"/>
                <w:lang w:val="en-US" w:eastAsia="en-GB"/>
              </w:rPr>
            </w:pPr>
            <w:r w:rsidRPr="00F17AEC">
              <w:rPr>
                <w:color w:val="000000"/>
                <w:sz w:val="22"/>
                <w:szCs w:val="22"/>
              </w:rPr>
              <w:t>1.84%</w:t>
            </w:r>
          </w:p>
        </w:tc>
        <w:tc>
          <w:tcPr>
            <w:tcW w:w="771" w:type="pct"/>
            <w:tcBorders>
              <w:top w:val="nil"/>
              <w:left w:val="nil"/>
              <w:bottom w:val="nil"/>
              <w:right w:val="nil"/>
            </w:tcBorders>
            <w:shd w:val="clear" w:color="auto" w:fill="auto"/>
            <w:vAlign w:val="center"/>
            <w:hideMark/>
          </w:tcPr>
          <w:p w14:paraId="1D3B97FC" w14:textId="2FD87178" w:rsidR="00F17AEC" w:rsidRPr="00F17AEC" w:rsidRDefault="00F17AEC" w:rsidP="007D2827">
            <w:pPr>
              <w:jc w:val="center"/>
              <w:rPr>
                <w:color w:val="000000"/>
                <w:sz w:val="22"/>
                <w:szCs w:val="22"/>
                <w:lang w:val="en-US" w:eastAsia="en-GB"/>
              </w:rPr>
            </w:pPr>
            <w:r w:rsidRPr="00F17AEC">
              <w:rPr>
                <w:color w:val="000000"/>
                <w:sz w:val="22"/>
                <w:szCs w:val="22"/>
              </w:rPr>
              <w:t>85.35%</w:t>
            </w:r>
          </w:p>
        </w:tc>
        <w:tc>
          <w:tcPr>
            <w:tcW w:w="1058" w:type="pct"/>
            <w:tcBorders>
              <w:top w:val="nil"/>
              <w:left w:val="nil"/>
              <w:bottom w:val="nil"/>
              <w:right w:val="single" w:sz="4" w:space="0" w:color="auto"/>
            </w:tcBorders>
            <w:shd w:val="clear" w:color="auto" w:fill="auto"/>
            <w:vAlign w:val="center"/>
            <w:hideMark/>
          </w:tcPr>
          <w:p w14:paraId="12426D60" w14:textId="34131095" w:rsidR="00F17AEC" w:rsidRPr="00F17AEC" w:rsidRDefault="00F17AEC" w:rsidP="007D2827">
            <w:pPr>
              <w:jc w:val="center"/>
              <w:rPr>
                <w:color w:val="000000"/>
                <w:sz w:val="22"/>
                <w:szCs w:val="22"/>
                <w:lang w:val="en-US" w:eastAsia="en-GB"/>
              </w:rPr>
            </w:pPr>
            <w:r w:rsidRPr="00F17AEC">
              <w:rPr>
                <w:color w:val="000000"/>
                <w:sz w:val="22"/>
                <w:szCs w:val="22"/>
              </w:rPr>
              <w:t>261</w:t>
            </w:r>
          </w:p>
        </w:tc>
      </w:tr>
      <w:tr w:rsidR="00F17AEC" w:rsidRPr="00F17AEC" w14:paraId="54F7BB26" w14:textId="77777777" w:rsidTr="00942A6C">
        <w:trPr>
          <w:trHeight w:val="191"/>
        </w:trPr>
        <w:tc>
          <w:tcPr>
            <w:tcW w:w="367" w:type="pct"/>
            <w:tcBorders>
              <w:top w:val="nil"/>
              <w:left w:val="nil"/>
              <w:bottom w:val="nil"/>
              <w:right w:val="nil"/>
            </w:tcBorders>
            <w:shd w:val="clear" w:color="auto" w:fill="auto"/>
            <w:noWrap/>
            <w:vAlign w:val="bottom"/>
            <w:hideMark/>
          </w:tcPr>
          <w:p w14:paraId="47C8582B" w14:textId="16381BB7" w:rsidR="00F17AEC" w:rsidRPr="00F17AEC" w:rsidRDefault="00F17AEC" w:rsidP="00F17AEC">
            <w:pPr>
              <w:jc w:val="center"/>
              <w:rPr>
                <w:color w:val="000000"/>
                <w:sz w:val="22"/>
                <w:szCs w:val="22"/>
                <w:lang w:val="en-US" w:eastAsia="en-GB"/>
              </w:rPr>
            </w:pPr>
            <w:r w:rsidRPr="00F17AEC">
              <w:rPr>
                <w:color w:val="000000"/>
                <w:sz w:val="22"/>
                <w:szCs w:val="22"/>
              </w:rPr>
              <w:t>21</w:t>
            </w:r>
          </w:p>
        </w:tc>
        <w:tc>
          <w:tcPr>
            <w:tcW w:w="1880" w:type="pct"/>
            <w:tcBorders>
              <w:top w:val="nil"/>
              <w:left w:val="nil"/>
              <w:bottom w:val="nil"/>
              <w:right w:val="nil"/>
            </w:tcBorders>
            <w:shd w:val="clear" w:color="auto" w:fill="auto"/>
            <w:vAlign w:val="bottom"/>
            <w:hideMark/>
          </w:tcPr>
          <w:p w14:paraId="6BEB3539" w14:textId="730CDFA2" w:rsidR="00F17AEC" w:rsidRPr="00F17AEC" w:rsidRDefault="00F17AEC" w:rsidP="00F17AEC">
            <w:pPr>
              <w:rPr>
                <w:color w:val="000000"/>
                <w:sz w:val="22"/>
                <w:szCs w:val="22"/>
                <w:lang w:val="en-US" w:eastAsia="en-GB"/>
              </w:rPr>
            </w:pPr>
            <w:r w:rsidRPr="00F17AEC">
              <w:rPr>
                <w:color w:val="000000"/>
                <w:sz w:val="22"/>
                <w:szCs w:val="22"/>
              </w:rPr>
              <w:t>Intesa Sanpaolo SpA</w:t>
            </w:r>
          </w:p>
        </w:tc>
        <w:tc>
          <w:tcPr>
            <w:tcW w:w="501" w:type="pct"/>
            <w:tcBorders>
              <w:top w:val="nil"/>
              <w:left w:val="nil"/>
              <w:bottom w:val="nil"/>
              <w:right w:val="nil"/>
            </w:tcBorders>
            <w:shd w:val="clear" w:color="auto" w:fill="auto"/>
            <w:vAlign w:val="center"/>
            <w:hideMark/>
          </w:tcPr>
          <w:p w14:paraId="3965B01D" w14:textId="666B96CF" w:rsidR="00F17AEC" w:rsidRPr="00F17AEC" w:rsidRDefault="00F17AEC" w:rsidP="007D2827">
            <w:pPr>
              <w:jc w:val="center"/>
              <w:rPr>
                <w:color w:val="000000"/>
                <w:sz w:val="22"/>
                <w:szCs w:val="22"/>
                <w:lang w:val="en-US" w:eastAsia="en-GB"/>
              </w:rPr>
            </w:pPr>
            <w:r w:rsidRPr="00F17AEC">
              <w:rPr>
                <w:color w:val="000000"/>
                <w:sz w:val="22"/>
                <w:szCs w:val="22"/>
              </w:rPr>
              <w:t>31.97</w:t>
            </w:r>
          </w:p>
        </w:tc>
        <w:tc>
          <w:tcPr>
            <w:tcW w:w="423" w:type="pct"/>
            <w:tcBorders>
              <w:top w:val="nil"/>
              <w:left w:val="nil"/>
              <w:bottom w:val="nil"/>
              <w:right w:val="nil"/>
            </w:tcBorders>
            <w:shd w:val="clear" w:color="auto" w:fill="auto"/>
            <w:vAlign w:val="center"/>
            <w:hideMark/>
          </w:tcPr>
          <w:p w14:paraId="0D220B4D" w14:textId="536AF06B" w:rsidR="00F17AEC" w:rsidRPr="00F17AEC" w:rsidRDefault="00F17AEC" w:rsidP="007D2827">
            <w:pPr>
              <w:jc w:val="center"/>
              <w:rPr>
                <w:color w:val="000000"/>
                <w:sz w:val="22"/>
                <w:szCs w:val="22"/>
                <w:lang w:val="en-US" w:eastAsia="en-GB"/>
              </w:rPr>
            </w:pPr>
            <w:r w:rsidRPr="00F17AEC">
              <w:rPr>
                <w:color w:val="000000"/>
                <w:sz w:val="22"/>
                <w:szCs w:val="22"/>
              </w:rPr>
              <w:t>1.77%</w:t>
            </w:r>
          </w:p>
        </w:tc>
        <w:tc>
          <w:tcPr>
            <w:tcW w:w="771" w:type="pct"/>
            <w:tcBorders>
              <w:top w:val="nil"/>
              <w:left w:val="nil"/>
              <w:bottom w:val="nil"/>
              <w:right w:val="nil"/>
            </w:tcBorders>
            <w:shd w:val="clear" w:color="auto" w:fill="auto"/>
            <w:vAlign w:val="center"/>
            <w:hideMark/>
          </w:tcPr>
          <w:p w14:paraId="6E183660" w14:textId="42BCE63E" w:rsidR="00F17AEC" w:rsidRPr="00F17AEC" w:rsidRDefault="00F17AEC" w:rsidP="007D2827">
            <w:pPr>
              <w:jc w:val="center"/>
              <w:rPr>
                <w:color w:val="000000"/>
                <w:sz w:val="22"/>
                <w:szCs w:val="22"/>
                <w:lang w:val="en-US" w:eastAsia="en-GB"/>
              </w:rPr>
            </w:pPr>
            <w:r w:rsidRPr="00F17AEC">
              <w:rPr>
                <w:color w:val="000000"/>
                <w:sz w:val="22"/>
                <w:szCs w:val="22"/>
              </w:rPr>
              <w:t>87.12%</w:t>
            </w:r>
          </w:p>
        </w:tc>
        <w:tc>
          <w:tcPr>
            <w:tcW w:w="1058" w:type="pct"/>
            <w:tcBorders>
              <w:top w:val="nil"/>
              <w:left w:val="nil"/>
              <w:bottom w:val="nil"/>
              <w:right w:val="single" w:sz="4" w:space="0" w:color="auto"/>
            </w:tcBorders>
            <w:shd w:val="clear" w:color="auto" w:fill="auto"/>
            <w:vAlign w:val="center"/>
            <w:hideMark/>
          </w:tcPr>
          <w:p w14:paraId="31EB03ED" w14:textId="323A8458" w:rsidR="00F17AEC" w:rsidRPr="00F17AEC" w:rsidRDefault="00F17AEC" w:rsidP="007D2827">
            <w:pPr>
              <w:jc w:val="center"/>
              <w:rPr>
                <w:color w:val="000000"/>
                <w:sz w:val="22"/>
                <w:szCs w:val="22"/>
                <w:lang w:val="en-US" w:eastAsia="en-GB"/>
              </w:rPr>
            </w:pPr>
            <w:r w:rsidRPr="00F17AEC">
              <w:rPr>
                <w:color w:val="000000"/>
                <w:sz w:val="22"/>
                <w:szCs w:val="22"/>
              </w:rPr>
              <w:t>278</w:t>
            </w:r>
          </w:p>
        </w:tc>
      </w:tr>
      <w:tr w:rsidR="00F17AEC" w:rsidRPr="00F17AEC" w14:paraId="0E951EA7" w14:textId="77777777" w:rsidTr="00942A6C">
        <w:trPr>
          <w:trHeight w:val="191"/>
        </w:trPr>
        <w:tc>
          <w:tcPr>
            <w:tcW w:w="367" w:type="pct"/>
            <w:tcBorders>
              <w:top w:val="nil"/>
              <w:left w:val="nil"/>
              <w:bottom w:val="nil"/>
              <w:right w:val="nil"/>
            </w:tcBorders>
            <w:shd w:val="clear" w:color="auto" w:fill="auto"/>
            <w:noWrap/>
            <w:vAlign w:val="bottom"/>
            <w:hideMark/>
          </w:tcPr>
          <w:p w14:paraId="3ED38522" w14:textId="70D29A91" w:rsidR="00F17AEC" w:rsidRPr="00F17AEC" w:rsidRDefault="00F17AEC" w:rsidP="00F17AEC">
            <w:pPr>
              <w:jc w:val="center"/>
              <w:rPr>
                <w:color w:val="000000"/>
                <w:sz w:val="22"/>
                <w:szCs w:val="22"/>
                <w:lang w:val="en-US" w:eastAsia="en-GB"/>
              </w:rPr>
            </w:pPr>
            <w:r w:rsidRPr="00F17AEC">
              <w:rPr>
                <w:color w:val="000000"/>
                <w:sz w:val="22"/>
                <w:szCs w:val="22"/>
              </w:rPr>
              <w:t>22</w:t>
            </w:r>
          </w:p>
        </w:tc>
        <w:tc>
          <w:tcPr>
            <w:tcW w:w="1880" w:type="pct"/>
            <w:tcBorders>
              <w:top w:val="nil"/>
              <w:left w:val="nil"/>
              <w:bottom w:val="nil"/>
              <w:right w:val="nil"/>
            </w:tcBorders>
            <w:shd w:val="clear" w:color="auto" w:fill="auto"/>
            <w:vAlign w:val="bottom"/>
            <w:hideMark/>
          </w:tcPr>
          <w:p w14:paraId="53A74B82" w14:textId="1310C11C" w:rsidR="00F17AEC" w:rsidRPr="00F17AEC" w:rsidRDefault="00F17AEC" w:rsidP="00F17AEC">
            <w:pPr>
              <w:rPr>
                <w:color w:val="000000"/>
                <w:sz w:val="22"/>
                <w:szCs w:val="22"/>
                <w:lang w:val="en-US" w:eastAsia="en-GB"/>
              </w:rPr>
            </w:pPr>
            <w:r w:rsidRPr="00F17AEC">
              <w:rPr>
                <w:color w:val="000000"/>
                <w:sz w:val="22"/>
                <w:szCs w:val="22"/>
              </w:rPr>
              <w:t>Mizuho</w:t>
            </w:r>
          </w:p>
        </w:tc>
        <w:tc>
          <w:tcPr>
            <w:tcW w:w="501" w:type="pct"/>
            <w:tcBorders>
              <w:top w:val="nil"/>
              <w:left w:val="nil"/>
              <w:bottom w:val="nil"/>
              <w:right w:val="nil"/>
            </w:tcBorders>
            <w:shd w:val="clear" w:color="auto" w:fill="auto"/>
            <w:vAlign w:val="center"/>
            <w:hideMark/>
          </w:tcPr>
          <w:p w14:paraId="5408921E" w14:textId="4179E158" w:rsidR="00F17AEC" w:rsidRPr="00F17AEC" w:rsidRDefault="00F17AEC" w:rsidP="007D2827">
            <w:pPr>
              <w:jc w:val="center"/>
              <w:rPr>
                <w:color w:val="000000"/>
                <w:sz w:val="22"/>
                <w:szCs w:val="22"/>
                <w:lang w:val="en-US" w:eastAsia="en-GB"/>
              </w:rPr>
            </w:pPr>
            <w:r w:rsidRPr="00F17AEC">
              <w:rPr>
                <w:color w:val="000000"/>
                <w:sz w:val="22"/>
                <w:szCs w:val="22"/>
              </w:rPr>
              <w:t>25.71</w:t>
            </w:r>
          </w:p>
        </w:tc>
        <w:tc>
          <w:tcPr>
            <w:tcW w:w="423" w:type="pct"/>
            <w:tcBorders>
              <w:top w:val="nil"/>
              <w:left w:val="nil"/>
              <w:bottom w:val="nil"/>
              <w:right w:val="nil"/>
            </w:tcBorders>
            <w:shd w:val="clear" w:color="auto" w:fill="auto"/>
            <w:vAlign w:val="center"/>
            <w:hideMark/>
          </w:tcPr>
          <w:p w14:paraId="67DA6535" w14:textId="178B40F9" w:rsidR="00F17AEC" w:rsidRPr="00F17AEC" w:rsidRDefault="00F17AEC" w:rsidP="007D2827">
            <w:pPr>
              <w:jc w:val="center"/>
              <w:rPr>
                <w:color w:val="000000"/>
                <w:sz w:val="22"/>
                <w:szCs w:val="22"/>
                <w:lang w:val="en-US" w:eastAsia="en-GB"/>
              </w:rPr>
            </w:pPr>
            <w:r w:rsidRPr="00F17AEC">
              <w:rPr>
                <w:color w:val="000000"/>
                <w:sz w:val="22"/>
                <w:szCs w:val="22"/>
              </w:rPr>
              <w:t>1.42%</w:t>
            </w:r>
          </w:p>
        </w:tc>
        <w:tc>
          <w:tcPr>
            <w:tcW w:w="771" w:type="pct"/>
            <w:tcBorders>
              <w:top w:val="nil"/>
              <w:left w:val="nil"/>
              <w:bottom w:val="nil"/>
              <w:right w:val="nil"/>
            </w:tcBorders>
            <w:shd w:val="clear" w:color="auto" w:fill="auto"/>
            <w:vAlign w:val="center"/>
            <w:hideMark/>
          </w:tcPr>
          <w:p w14:paraId="40699A11" w14:textId="77794A6B" w:rsidR="00F17AEC" w:rsidRPr="00F17AEC" w:rsidRDefault="00F17AEC" w:rsidP="007D2827">
            <w:pPr>
              <w:jc w:val="center"/>
              <w:rPr>
                <w:color w:val="000000"/>
                <w:sz w:val="22"/>
                <w:szCs w:val="22"/>
                <w:lang w:val="en-US" w:eastAsia="en-GB"/>
              </w:rPr>
            </w:pPr>
            <w:r w:rsidRPr="00F17AEC">
              <w:rPr>
                <w:color w:val="000000"/>
                <w:sz w:val="22"/>
                <w:szCs w:val="22"/>
              </w:rPr>
              <w:t>88.54%</w:t>
            </w:r>
          </w:p>
        </w:tc>
        <w:tc>
          <w:tcPr>
            <w:tcW w:w="1058" w:type="pct"/>
            <w:tcBorders>
              <w:top w:val="nil"/>
              <w:left w:val="nil"/>
              <w:bottom w:val="nil"/>
              <w:right w:val="single" w:sz="4" w:space="0" w:color="auto"/>
            </w:tcBorders>
            <w:shd w:val="clear" w:color="auto" w:fill="auto"/>
            <w:vAlign w:val="center"/>
            <w:hideMark/>
          </w:tcPr>
          <w:p w14:paraId="2E4842A9" w14:textId="53285126" w:rsidR="00F17AEC" w:rsidRPr="00F17AEC" w:rsidRDefault="00F17AEC" w:rsidP="007D2827">
            <w:pPr>
              <w:jc w:val="center"/>
              <w:rPr>
                <w:color w:val="000000"/>
                <w:sz w:val="22"/>
                <w:szCs w:val="22"/>
                <w:lang w:val="en-US" w:eastAsia="en-GB"/>
              </w:rPr>
            </w:pPr>
            <w:r w:rsidRPr="00F17AEC">
              <w:rPr>
                <w:color w:val="000000"/>
                <w:sz w:val="22"/>
                <w:szCs w:val="22"/>
              </w:rPr>
              <w:t>263</w:t>
            </w:r>
          </w:p>
        </w:tc>
      </w:tr>
      <w:tr w:rsidR="00F17AEC" w:rsidRPr="00F17AEC" w14:paraId="1D8F65FB" w14:textId="77777777" w:rsidTr="00942A6C">
        <w:trPr>
          <w:trHeight w:val="191"/>
        </w:trPr>
        <w:tc>
          <w:tcPr>
            <w:tcW w:w="367" w:type="pct"/>
            <w:tcBorders>
              <w:top w:val="nil"/>
              <w:left w:val="nil"/>
              <w:bottom w:val="nil"/>
              <w:right w:val="nil"/>
            </w:tcBorders>
            <w:shd w:val="clear" w:color="auto" w:fill="auto"/>
            <w:noWrap/>
            <w:vAlign w:val="bottom"/>
            <w:hideMark/>
          </w:tcPr>
          <w:p w14:paraId="09C5AA90" w14:textId="3146001B" w:rsidR="00F17AEC" w:rsidRPr="00F17AEC" w:rsidRDefault="00F17AEC" w:rsidP="00F17AEC">
            <w:pPr>
              <w:jc w:val="center"/>
              <w:rPr>
                <w:color w:val="000000"/>
                <w:sz w:val="22"/>
                <w:szCs w:val="22"/>
                <w:lang w:val="en-US" w:eastAsia="en-GB"/>
              </w:rPr>
            </w:pPr>
            <w:r w:rsidRPr="00F17AEC">
              <w:rPr>
                <w:color w:val="000000"/>
                <w:sz w:val="22"/>
                <w:szCs w:val="22"/>
              </w:rPr>
              <w:t>23</w:t>
            </w:r>
          </w:p>
        </w:tc>
        <w:tc>
          <w:tcPr>
            <w:tcW w:w="1880" w:type="pct"/>
            <w:tcBorders>
              <w:top w:val="nil"/>
              <w:left w:val="nil"/>
              <w:bottom w:val="nil"/>
              <w:right w:val="nil"/>
            </w:tcBorders>
            <w:shd w:val="clear" w:color="auto" w:fill="auto"/>
            <w:vAlign w:val="bottom"/>
            <w:hideMark/>
          </w:tcPr>
          <w:p w14:paraId="7F2D0B22" w14:textId="4EB034D3" w:rsidR="00F17AEC" w:rsidRPr="00F17AEC" w:rsidRDefault="00F17AEC" w:rsidP="00F17AEC">
            <w:pPr>
              <w:rPr>
                <w:color w:val="000000"/>
                <w:sz w:val="22"/>
                <w:szCs w:val="22"/>
                <w:lang w:val="en-US" w:eastAsia="en-GB"/>
              </w:rPr>
            </w:pPr>
            <w:r w:rsidRPr="00F17AEC">
              <w:rPr>
                <w:color w:val="000000"/>
                <w:sz w:val="22"/>
                <w:szCs w:val="22"/>
              </w:rPr>
              <w:t>UBS</w:t>
            </w:r>
          </w:p>
        </w:tc>
        <w:tc>
          <w:tcPr>
            <w:tcW w:w="501" w:type="pct"/>
            <w:tcBorders>
              <w:top w:val="nil"/>
              <w:left w:val="nil"/>
              <w:bottom w:val="nil"/>
              <w:right w:val="nil"/>
            </w:tcBorders>
            <w:shd w:val="clear" w:color="auto" w:fill="auto"/>
            <w:vAlign w:val="center"/>
            <w:hideMark/>
          </w:tcPr>
          <w:p w14:paraId="7E1119B9" w14:textId="153E53EF" w:rsidR="00F17AEC" w:rsidRPr="00F17AEC" w:rsidRDefault="00F17AEC" w:rsidP="007D2827">
            <w:pPr>
              <w:jc w:val="center"/>
              <w:rPr>
                <w:color w:val="000000"/>
                <w:sz w:val="22"/>
                <w:szCs w:val="22"/>
                <w:lang w:val="en-US" w:eastAsia="en-GB"/>
              </w:rPr>
            </w:pPr>
            <w:r w:rsidRPr="00F17AEC">
              <w:rPr>
                <w:color w:val="000000"/>
                <w:sz w:val="22"/>
                <w:szCs w:val="22"/>
              </w:rPr>
              <w:t>17.63</w:t>
            </w:r>
          </w:p>
        </w:tc>
        <w:tc>
          <w:tcPr>
            <w:tcW w:w="423" w:type="pct"/>
            <w:tcBorders>
              <w:top w:val="nil"/>
              <w:left w:val="nil"/>
              <w:bottom w:val="nil"/>
              <w:right w:val="nil"/>
            </w:tcBorders>
            <w:shd w:val="clear" w:color="auto" w:fill="auto"/>
            <w:vAlign w:val="center"/>
            <w:hideMark/>
          </w:tcPr>
          <w:p w14:paraId="7114D081" w14:textId="3A306699" w:rsidR="00F17AEC" w:rsidRPr="00F17AEC" w:rsidRDefault="00F17AEC" w:rsidP="007D2827">
            <w:pPr>
              <w:jc w:val="center"/>
              <w:rPr>
                <w:color w:val="000000"/>
                <w:sz w:val="22"/>
                <w:szCs w:val="22"/>
                <w:lang w:val="en-US" w:eastAsia="en-GB"/>
              </w:rPr>
            </w:pPr>
            <w:r w:rsidRPr="00F17AEC">
              <w:rPr>
                <w:color w:val="000000"/>
                <w:sz w:val="22"/>
                <w:szCs w:val="22"/>
              </w:rPr>
              <w:t>0.98%</w:t>
            </w:r>
          </w:p>
        </w:tc>
        <w:tc>
          <w:tcPr>
            <w:tcW w:w="771" w:type="pct"/>
            <w:tcBorders>
              <w:top w:val="nil"/>
              <w:left w:val="nil"/>
              <w:bottom w:val="nil"/>
              <w:right w:val="nil"/>
            </w:tcBorders>
            <w:shd w:val="clear" w:color="auto" w:fill="auto"/>
            <w:vAlign w:val="center"/>
            <w:hideMark/>
          </w:tcPr>
          <w:p w14:paraId="468FE045" w14:textId="48C406A2" w:rsidR="00F17AEC" w:rsidRPr="00F17AEC" w:rsidRDefault="00F17AEC" w:rsidP="007D2827">
            <w:pPr>
              <w:jc w:val="center"/>
              <w:rPr>
                <w:color w:val="000000"/>
                <w:sz w:val="22"/>
                <w:szCs w:val="22"/>
                <w:lang w:val="en-US" w:eastAsia="en-GB"/>
              </w:rPr>
            </w:pPr>
            <w:r w:rsidRPr="00F17AEC">
              <w:rPr>
                <w:color w:val="000000"/>
                <w:sz w:val="22"/>
                <w:szCs w:val="22"/>
              </w:rPr>
              <w:t>89.52%</w:t>
            </w:r>
          </w:p>
        </w:tc>
        <w:tc>
          <w:tcPr>
            <w:tcW w:w="1058" w:type="pct"/>
            <w:tcBorders>
              <w:top w:val="nil"/>
              <w:left w:val="nil"/>
              <w:bottom w:val="nil"/>
              <w:right w:val="single" w:sz="4" w:space="0" w:color="auto"/>
            </w:tcBorders>
            <w:shd w:val="clear" w:color="auto" w:fill="auto"/>
            <w:vAlign w:val="center"/>
            <w:hideMark/>
          </w:tcPr>
          <w:p w14:paraId="189B9734" w14:textId="519A8CDD" w:rsidR="00F17AEC" w:rsidRPr="00F17AEC" w:rsidRDefault="00F17AEC" w:rsidP="007D2827">
            <w:pPr>
              <w:jc w:val="center"/>
              <w:rPr>
                <w:color w:val="000000"/>
                <w:sz w:val="22"/>
                <w:szCs w:val="22"/>
                <w:lang w:val="en-US" w:eastAsia="en-GB"/>
              </w:rPr>
            </w:pPr>
            <w:r w:rsidRPr="00F17AEC">
              <w:rPr>
                <w:color w:val="000000"/>
                <w:sz w:val="22"/>
                <w:szCs w:val="22"/>
              </w:rPr>
              <w:t>123</w:t>
            </w:r>
          </w:p>
        </w:tc>
      </w:tr>
      <w:tr w:rsidR="00F17AEC" w:rsidRPr="00F17AEC" w14:paraId="2201C9FD" w14:textId="77777777" w:rsidTr="00942A6C">
        <w:trPr>
          <w:trHeight w:val="191"/>
        </w:trPr>
        <w:tc>
          <w:tcPr>
            <w:tcW w:w="367" w:type="pct"/>
            <w:tcBorders>
              <w:top w:val="nil"/>
              <w:left w:val="nil"/>
              <w:right w:val="nil"/>
            </w:tcBorders>
            <w:shd w:val="clear" w:color="auto" w:fill="auto"/>
            <w:noWrap/>
            <w:vAlign w:val="bottom"/>
            <w:hideMark/>
          </w:tcPr>
          <w:p w14:paraId="21480D5A" w14:textId="701740F6" w:rsidR="00F17AEC" w:rsidRPr="00F17AEC" w:rsidRDefault="00F17AEC" w:rsidP="00F17AEC">
            <w:pPr>
              <w:jc w:val="center"/>
              <w:rPr>
                <w:color w:val="000000"/>
                <w:sz w:val="22"/>
                <w:szCs w:val="22"/>
                <w:lang w:val="en-US" w:eastAsia="en-GB"/>
              </w:rPr>
            </w:pPr>
            <w:r w:rsidRPr="00F17AEC">
              <w:rPr>
                <w:color w:val="000000"/>
                <w:sz w:val="22"/>
                <w:szCs w:val="22"/>
              </w:rPr>
              <w:t>24</w:t>
            </w:r>
          </w:p>
        </w:tc>
        <w:tc>
          <w:tcPr>
            <w:tcW w:w="1880" w:type="pct"/>
            <w:tcBorders>
              <w:top w:val="nil"/>
              <w:left w:val="nil"/>
              <w:right w:val="nil"/>
            </w:tcBorders>
            <w:shd w:val="clear" w:color="auto" w:fill="auto"/>
            <w:vAlign w:val="bottom"/>
            <w:hideMark/>
          </w:tcPr>
          <w:p w14:paraId="6434EDE4" w14:textId="5052B2FE" w:rsidR="00F17AEC" w:rsidRPr="00F17AEC" w:rsidRDefault="00F17AEC" w:rsidP="00F17AEC">
            <w:pPr>
              <w:rPr>
                <w:color w:val="000000"/>
                <w:sz w:val="22"/>
                <w:szCs w:val="22"/>
                <w:lang w:val="en-US" w:eastAsia="en-GB"/>
              </w:rPr>
            </w:pPr>
            <w:r w:rsidRPr="00F17AEC">
              <w:rPr>
                <w:color w:val="000000"/>
                <w:sz w:val="22"/>
                <w:szCs w:val="22"/>
              </w:rPr>
              <w:t>BayernLB</w:t>
            </w:r>
          </w:p>
        </w:tc>
        <w:tc>
          <w:tcPr>
            <w:tcW w:w="501" w:type="pct"/>
            <w:tcBorders>
              <w:top w:val="nil"/>
              <w:left w:val="nil"/>
              <w:right w:val="nil"/>
            </w:tcBorders>
            <w:shd w:val="clear" w:color="auto" w:fill="auto"/>
            <w:vAlign w:val="center"/>
            <w:hideMark/>
          </w:tcPr>
          <w:p w14:paraId="5D972682" w14:textId="4D0DC013" w:rsidR="00F17AEC" w:rsidRPr="00F17AEC" w:rsidRDefault="00F17AEC" w:rsidP="007D2827">
            <w:pPr>
              <w:jc w:val="center"/>
              <w:rPr>
                <w:color w:val="000000"/>
                <w:sz w:val="22"/>
                <w:szCs w:val="22"/>
                <w:lang w:val="en-US" w:eastAsia="en-GB"/>
              </w:rPr>
            </w:pPr>
            <w:r w:rsidRPr="00F17AEC">
              <w:rPr>
                <w:color w:val="000000"/>
                <w:sz w:val="22"/>
                <w:szCs w:val="22"/>
              </w:rPr>
              <w:t>16.86</w:t>
            </w:r>
          </w:p>
        </w:tc>
        <w:tc>
          <w:tcPr>
            <w:tcW w:w="423" w:type="pct"/>
            <w:tcBorders>
              <w:top w:val="nil"/>
              <w:left w:val="nil"/>
              <w:right w:val="nil"/>
            </w:tcBorders>
            <w:shd w:val="clear" w:color="auto" w:fill="auto"/>
            <w:vAlign w:val="center"/>
            <w:hideMark/>
          </w:tcPr>
          <w:p w14:paraId="0AAD2B89" w14:textId="2C892A2D" w:rsidR="00F17AEC" w:rsidRPr="00F17AEC" w:rsidRDefault="00F17AEC" w:rsidP="007D2827">
            <w:pPr>
              <w:jc w:val="center"/>
              <w:rPr>
                <w:color w:val="000000"/>
                <w:sz w:val="22"/>
                <w:szCs w:val="22"/>
                <w:lang w:val="en-US" w:eastAsia="en-GB"/>
              </w:rPr>
            </w:pPr>
            <w:r w:rsidRPr="00F17AEC">
              <w:rPr>
                <w:color w:val="000000"/>
                <w:sz w:val="22"/>
                <w:szCs w:val="22"/>
              </w:rPr>
              <w:t>0.93%</w:t>
            </w:r>
          </w:p>
        </w:tc>
        <w:tc>
          <w:tcPr>
            <w:tcW w:w="771" w:type="pct"/>
            <w:tcBorders>
              <w:top w:val="nil"/>
              <w:left w:val="nil"/>
              <w:right w:val="nil"/>
            </w:tcBorders>
            <w:shd w:val="clear" w:color="auto" w:fill="auto"/>
            <w:vAlign w:val="center"/>
            <w:hideMark/>
          </w:tcPr>
          <w:p w14:paraId="306BE63C" w14:textId="6B45574E" w:rsidR="00F17AEC" w:rsidRPr="00F17AEC" w:rsidRDefault="00F17AEC" w:rsidP="007D2827">
            <w:pPr>
              <w:jc w:val="center"/>
              <w:rPr>
                <w:color w:val="000000"/>
                <w:sz w:val="22"/>
                <w:szCs w:val="22"/>
                <w:lang w:val="en-US" w:eastAsia="en-GB"/>
              </w:rPr>
            </w:pPr>
            <w:r w:rsidRPr="00F17AEC">
              <w:rPr>
                <w:color w:val="000000"/>
                <w:sz w:val="22"/>
                <w:szCs w:val="22"/>
              </w:rPr>
              <w:t>90.45%</w:t>
            </w:r>
          </w:p>
        </w:tc>
        <w:tc>
          <w:tcPr>
            <w:tcW w:w="1058" w:type="pct"/>
            <w:tcBorders>
              <w:top w:val="nil"/>
              <w:left w:val="nil"/>
              <w:right w:val="single" w:sz="4" w:space="0" w:color="auto"/>
            </w:tcBorders>
            <w:shd w:val="clear" w:color="auto" w:fill="auto"/>
            <w:vAlign w:val="center"/>
            <w:hideMark/>
          </w:tcPr>
          <w:p w14:paraId="366C5FDE" w14:textId="6FD4AB17" w:rsidR="00F17AEC" w:rsidRPr="00F17AEC" w:rsidRDefault="00F17AEC" w:rsidP="007D2827">
            <w:pPr>
              <w:jc w:val="center"/>
              <w:rPr>
                <w:color w:val="000000"/>
                <w:sz w:val="22"/>
                <w:szCs w:val="22"/>
                <w:lang w:val="en-US" w:eastAsia="en-GB"/>
              </w:rPr>
            </w:pPr>
            <w:r w:rsidRPr="00F17AEC">
              <w:rPr>
                <w:color w:val="000000"/>
                <w:sz w:val="22"/>
                <w:szCs w:val="22"/>
              </w:rPr>
              <w:t>109</w:t>
            </w:r>
          </w:p>
        </w:tc>
      </w:tr>
      <w:tr w:rsidR="00F17AEC" w:rsidRPr="00F17AEC" w14:paraId="6CDA590F" w14:textId="77777777" w:rsidTr="00942A6C">
        <w:trPr>
          <w:trHeight w:val="191"/>
        </w:trPr>
        <w:tc>
          <w:tcPr>
            <w:tcW w:w="367" w:type="pct"/>
            <w:tcBorders>
              <w:top w:val="nil"/>
              <w:left w:val="nil"/>
              <w:bottom w:val="single" w:sz="4" w:space="0" w:color="auto"/>
              <w:right w:val="nil"/>
            </w:tcBorders>
            <w:shd w:val="clear" w:color="auto" w:fill="auto"/>
            <w:noWrap/>
            <w:vAlign w:val="bottom"/>
            <w:hideMark/>
          </w:tcPr>
          <w:p w14:paraId="39AEA409" w14:textId="419DC22F" w:rsidR="00F17AEC" w:rsidRPr="00F17AEC" w:rsidRDefault="00F17AEC" w:rsidP="00F17AEC">
            <w:pPr>
              <w:jc w:val="center"/>
              <w:rPr>
                <w:color w:val="000000"/>
                <w:sz w:val="22"/>
                <w:szCs w:val="22"/>
                <w:lang w:val="en-US" w:eastAsia="en-GB"/>
              </w:rPr>
            </w:pPr>
            <w:r w:rsidRPr="00F17AEC">
              <w:rPr>
                <w:color w:val="000000"/>
                <w:sz w:val="22"/>
                <w:szCs w:val="22"/>
              </w:rPr>
              <w:t>25</w:t>
            </w:r>
          </w:p>
        </w:tc>
        <w:tc>
          <w:tcPr>
            <w:tcW w:w="1880" w:type="pct"/>
            <w:tcBorders>
              <w:top w:val="nil"/>
              <w:left w:val="nil"/>
              <w:bottom w:val="single" w:sz="4" w:space="0" w:color="auto"/>
              <w:right w:val="nil"/>
            </w:tcBorders>
            <w:shd w:val="clear" w:color="auto" w:fill="auto"/>
            <w:vAlign w:val="bottom"/>
            <w:hideMark/>
          </w:tcPr>
          <w:p w14:paraId="7BD7BECA" w14:textId="1EB83B6F" w:rsidR="00F17AEC" w:rsidRPr="00F17AEC" w:rsidRDefault="00F17AEC" w:rsidP="00F17AEC">
            <w:pPr>
              <w:rPr>
                <w:color w:val="000000"/>
                <w:sz w:val="22"/>
                <w:szCs w:val="22"/>
                <w:lang w:val="en-US" w:eastAsia="en-GB"/>
              </w:rPr>
            </w:pPr>
            <w:r w:rsidRPr="00F17AEC">
              <w:rPr>
                <w:color w:val="000000"/>
                <w:sz w:val="22"/>
                <w:szCs w:val="22"/>
              </w:rPr>
              <w:t>Sumitomo Mitsui Financial Group</w:t>
            </w:r>
          </w:p>
        </w:tc>
        <w:tc>
          <w:tcPr>
            <w:tcW w:w="501" w:type="pct"/>
            <w:tcBorders>
              <w:top w:val="nil"/>
              <w:left w:val="nil"/>
              <w:bottom w:val="single" w:sz="4" w:space="0" w:color="auto"/>
              <w:right w:val="nil"/>
            </w:tcBorders>
            <w:shd w:val="clear" w:color="auto" w:fill="auto"/>
            <w:vAlign w:val="center"/>
            <w:hideMark/>
          </w:tcPr>
          <w:p w14:paraId="1EBF3D34" w14:textId="2DB49397" w:rsidR="00F17AEC" w:rsidRPr="00F17AEC" w:rsidRDefault="00F17AEC" w:rsidP="007D2827">
            <w:pPr>
              <w:jc w:val="center"/>
              <w:rPr>
                <w:color w:val="000000"/>
                <w:sz w:val="22"/>
                <w:szCs w:val="22"/>
                <w:lang w:val="en-US" w:eastAsia="en-GB"/>
              </w:rPr>
            </w:pPr>
            <w:r w:rsidRPr="00F17AEC">
              <w:rPr>
                <w:color w:val="000000"/>
                <w:sz w:val="22"/>
                <w:szCs w:val="22"/>
              </w:rPr>
              <w:t>16.62</w:t>
            </w:r>
          </w:p>
        </w:tc>
        <w:tc>
          <w:tcPr>
            <w:tcW w:w="423" w:type="pct"/>
            <w:tcBorders>
              <w:top w:val="nil"/>
              <w:left w:val="nil"/>
              <w:bottom w:val="single" w:sz="4" w:space="0" w:color="auto"/>
              <w:right w:val="nil"/>
            </w:tcBorders>
            <w:shd w:val="clear" w:color="auto" w:fill="auto"/>
            <w:vAlign w:val="center"/>
            <w:hideMark/>
          </w:tcPr>
          <w:p w14:paraId="299BA412" w14:textId="6A0AC65A" w:rsidR="00F17AEC" w:rsidRPr="00F17AEC" w:rsidRDefault="00F17AEC" w:rsidP="007D2827">
            <w:pPr>
              <w:jc w:val="center"/>
              <w:rPr>
                <w:color w:val="000000"/>
                <w:sz w:val="22"/>
                <w:szCs w:val="22"/>
                <w:lang w:val="en-US" w:eastAsia="en-GB"/>
              </w:rPr>
            </w:pPr>
            <w:r w:rsidRPr="00F17AEC">
              <w:rPr>
                <w:color w:val="000000"/>
                <w:sz w:val="22"/>
                <w:szCs w:val="22"/>
              </w:rPr>
              <w:t>0.92%</w:t>
            </w:r>
          </w:p>
        </w:tc>
        <w:tc>
          <w:tcPr>
            <w:tcW w:w="771" w:type="pct"/>
            <w:tcBorders>
              <w:top w:val="nil"/>
              <w:left w:val="nil"/>
              <w:bottom w:val="single" w:sz="4" w:space="0" w:color="auto"/>
              <w:right w:val="nil"/>
            </w:tcBorders>
            <w:shd w:val="clear" w:color="auto" w:fill="auto"/>
            <w:vAlign w:val="center"/>
            <w:hideMark/>
          </w:tcPr>
          <w:p w14:paraId="52F21883" w14:textId="4FCBEE67" w:rsidR="00F17AEC" w:rsidRPr="00F17AEC" w:rsidRDefault="00F17AEC" w:rsidP="007D2827">
            <w:pPr>
              <w:jc w:val="center"/>
              <w:rPr>
                <w:color w:val="000000"/>
                <w:sz w:val="22"/>
                <w:szCs w:val="22"/>
                <w:lang w:val="en-US" w:eastAsia="en-GB"/>
              </w:rPr>
            </w:pPr>
            <w:r w:rsidRPr="00F17AEC">
              <w:rPr>
                <w:color w:val="000000"/>
                <w:sz w:val="22"/>
                <w:szCs w:val="22"/>
              </w:rPr>
              <w:t>91.37%</w:t>
            </w:r>
          </w:p>
        </w:tc>
        <w:tc>
          <w:tcPr>
            <w:tcW w:w="1058" w:type="pct"/>
            <w:tcBorders>
              <w:top w:val="nil"/>
              <w:left w:val="nil"/>
              <w:bottom w:val="single" w:sz="4" w:space="0" w:color="auto"/>
              <w:right w:val="single" w:sz="4" w:space="0" w:color="auto"/>
            </w:tcBorders>
            <w:shd w:val="clear" w:color="auto" w:fill="auto"/>
            <w:vAlign w:val="center"/>
            <w:hideMark/>
          </w:tcPr>
          <w:p w14:paraId="2CA3287E" w14:textId="7037CAF0" w:rsidR="00F17AEC" w:rsidRPr="00F17AEC" w:rsidRDefault="00F17AEC" w:rsidP="007D2827">
            <w:pPr>
              <w:jc w:val="center"/>
              <w:rPr>
                <w:color w:val="000000"/>
                <w:sz w:val="22"/>
                <w:szCs w:val="22"/>
                <w:lang w:val="en-US" w:eastAsia="en-GB"/>
              </w:rPr>
            </w:pPr>
            <w:r w:rsidRPr="00F17AEC">
              <w:rPr>
                <w:color w:val="000000"/>
                <w:sz w:val="22"/>
                <w:szCs w:val="22"/>
              </w:rPr>
              <w:t>175</w:t>
            </w:r>
          </w:p>
        </w:tc>
      </w:tr>
    </w:tbl>
    <w:p w14:paraId="3BF9E6DA" w14:textId="7D1A0911" w:rsidR="00AB4B84" w:rsidRDefault="00AB4B84" w:rsidP="00AB4B84">
      <w:pPr>
        <w:rPr>
          <w:sz w:val="20"/>
          <w:szCs w:val="20"/>
          <w:lang w:val="en-US"/>
        </w:rPr>
      </w:pPr>
    </w:p>
    <w:p w14:paraId="6ADAC324" w14:textId="384223AD" w:rsidR="002334DD" w:rsidRDefault="002334DD">
      <w:r>
        <w:br w:type="page"/>
      </w:r>
    </w:p>
    <w:p w14:paraId="59E485BA" w14:textId="77777777" w:rsidR="002334DD" w:rsidRPr="00BC4111" w:rsidRDefault="002334DD" w:rsidP="002334DD">
      <w:pPr>
        <w:rPr>
          <w:b/>
          <w:bCs/>
          <w:i/>
          <w:iCs/>
        </w:rPr>
      </w:pPr>
      <w:r w:rsidRPr="00BC4111">
        <w:rPr>
          <w:b/>
          <w:bCs/>
          <w:i/>
          <w:iCs/>
        </w:rPr>
        <w:lastRenderedPageBreak/>
        <w:t>Appendix B</w:t>
      </w:r>
    </w:p>
    <w:p w14:paraId="2EEB126E" w14:textId="378ECF9A" w:rsidR="002334DD" w:rsidRPr="00BC4111" w:rsidRDefault="002334DD" w:rsidP="002334DD">
      <w:pPr>
        <w:rPr>
          <w:i/>
          <w:iCs/>
        </w:rPr>
      </w:pPr>
      <w:r w:rsidRPr="00BC4111">
        <w:rPr>
          <w:i/>
          <w:iCs/>
        </w:rPr>
        <w:t>Panel A: Univariate comparison of tranche and issuer characteristics for pre- and post-</w:t>
      </w:r>
      <w:r w:rsidR="00F14EF8">
        <w:rPr>
          <w:i/>
          <w:iCs/>
        </w:rPr>
        <w:t>C</w:t>
      </w:r>
      <w:r w:rsidRPr="00BC4111">
        <w:rPr>
          <w:i/>
          <w:iCs/>
        </w:rPr>
        <w:t>ovid</w:t>
      </w:r>
      <w:r w:rsidR="00F14EF8">
        <w:rPr>
          <w:i/>
          <w:iCs/>
        </w:rPr>
        <w:t>-</w:t>
      </w:r>
      <w:r w:rsidRPr="00BC4111">
        <w:rPr>
          <w:i/>
          <w:iCs/>
        </w:rPr>
        <w:t>19 pandemic subsamples</w:t>
      </w:r>
    </w:p>
    <w:p w14:paraId="0B2EC1FB" w14:textId="03B2CE07" w:rsidR="002334DD" w:rsidRPr="00BC4111" w:rsidRDefault="002334DD" w:rsidP="002334DD">
      <w:pPr>
        <w:jc w:val="both"/>
        <w:rPr>
          <w:i/>
          <w:iCs/>
          <w:sz w:val="18"/>
          <w:szCs w:val="18"/>
        </w:rPr>
      </w:pPr>
      <w:r w:rsidRPr="00BC4111">
        <w:rPr>
          <w:sz w:val="18"/>
          <w:szCs w:val="18"/>
        </w:rPr>
        <w:t>The table reports summary statistics for the pre-covid19 pandemic period (January 2019 – January 2020) and post-</w:t>
      </w:r>
      <w:r w:rsidR="00F14EF8">
        <w:rPr>
          <w:sz w:val="18"/>
          <w:szCs w:val="18"/>
        </w:rPr>
        <w:t>C</w:t>
      </w:r>
      <w:r w:rsidRPr="00BC4111">
        <w:rPr>
          <w:sz w:val="18"/>
          <w:szCs w:val="18"/>
        </w:rPr>
        <w:t>ovid</w:t>
      </w:r>
      <w:r w:rsidR="00F14EF8">
        <w:rPr>
          <w:sz w:val="18"/>
          <w:szCs w:val="18"/>
        </w:rPr>
        <w:t>-</w:t>
      </w:r>
      <w:r w:rsidRPr="00BC4111">
        <w:rPr>
          <w:sz w:val="18"/>
          <w:szCs w:val="18"/>
        </w:rPr>
        <w:t xml:space="preserve">19 pandemic period (February 2020 – December 2020) subsamples for 582 euro-denominated public bond issues made by Western European firms. Mean differences are also reported. </w:t>
      </w:r>
      <w:r w:rsidRPr="00BC4111">
        <w:rPr>
          <w:color w:val="000000"/>
          <w:sz w:val="18"/>
          <w:szCs w:val="18"/>
          <w:lang w:eastAsia="en-GB"/>
        </w:rPr>
        <w:t>***</w:t>
      </w:r>
      <w:r w:rsidRPr="00BC4111">
        <w:rPr>
          <w:color w:val="000000"/>
          <w:sz w:val="18"/>
          <w:szCs w:val="18"/>
        </w:rPr>
        <w:t>, **, and * denote significance of the mean difference at the 1%, 5%, and 10% levels respectively.</w:t>
      </w:r>
    </w:p>
    <w:tbl>
      <w:tblPr>
        <w:tblW w:w="5000" w:type="pct"/>
        <w:tblLook w:val="0000" w:firstRow="0" w:lastRow="0" w:firstColumn="0" w:lastColumn="0" w:noHBand="0" w:noVBand="0"/>
      </w:tblPr>
      <w:tblGrid>
        <w:gridCol w:w="3913"/>
        <w:gridCol w:w="682"/>
        <w:gridCol w:w="1002"/>
        <w:gridCol w:w="257"/>
        <w:gridCol w:w="682"/>
        <w:gridCol w:w="1002"/>
        <w:gridCol w:w="1824"/>
      </w:tblGrid>
      <w:tr w:rsidR="002334DD" w:rsidRPr="00BC4111" w14:paraId="443238D0" w14:textId="77777777" w:rsidTr="003355E1">
        <w:tc>
          <w:tcPr>
            <w:tcW w:w="2090" w:type="pct"/>
            <w:tcBorders>
              <w:top w:val="single" w:sz="4" w:space="0" w:color="auto"/>
              <w:left w:val="nil"/>
              <w:bottom w:val="nil"/>
              <w:right w:val="nil"/>
            </w:tcBorders>
          </w:tcPr>
          <w:p w14:paraId="1BD4809E" w14:textId="77777777" w:rsidR="002334DD" w:rsidRPr="00BC4111" w:rsidRDefault="002334DD" w:rsidP="003355E1">
            <w:pPr>
              <w:widowControl w:val="0"/>
              <w:autoSpaceDE w:val="0"/>
              <w:autoSpaceDN w:val="0"/>
              <w:adjustRightInd w:val="0"/>
            </w:pPr>
          </w:p>
        </w:tc>
        <w:tc>
          <w:tcPr>
            <w:tcW w:w="899" w:type="pct"/>
            <w:gridSpan w:val="2"/>
            <w:tcBorders>
              <w:top w:val="single" w:sz="4" w:space="0" w:color="auto"/>
              <w:left w:val="nil"/>
              <w:bottom w:val="single" w:sz="4" w:space="0" w:color="auto"/>
              <w:right w:val="nil"/>
            </w:tcBorders>
            <w:vAlign w:val="center"/>
          </w:tcPr>
          <w:p w14:paraId="4256FD59" w14:textId="3A90DA8A" w:rsidR="002334DD" w:rsidRPr="00BC4111" w:rsidRDefault="002334DD" w:rsidP="003355E1">
            <w:pPr>
              <w:widowControl w:val="0"/>
              <w:autoSpaceDE w:val="0"/>
              <w:autoSpaceDN w:val="0"/>
              <w:adjustRightInd w:val="0"/>
              <w:jc w:val="center"/>
            </w:pPr>
            <w:r w:rsidRPr="00BC4111">
              <w:t>Pre-</w:t>
            </w:r>
            <w:r w:rsidR="00F14EF8">
              <w:t>C</w:t>
            </w:r>
            <w:r w:rsidRPr="00BC4111">
              <w:t>ovid</w:t>
            </w:r>
            <w:r w:rsidR="00F14EF8">
              <w:t>-</w:t>
            </w:r>
            <w:r w:rsidRPr="00BC4111">
              <w:t>19</w:t>
            </w:r>
          </w:p>
          <w:p w14:paraId="1E4211E8" w14:textId="77777777" w:rsidR="002334DD" w:rsidRPr="00BC4111" w:rsidRDefault="002334DD" w:rsidP="003355E1">
            <w:pPr>
              <w:widowControl w:val="0"/>
              <w:autoSpaceDE w:val="0"/>
              <w:autoSpaceDN w:val="0"/>
              <w:adjustRightInd w:val="0"/>
              <w:jc w:val="center"/>
            </w:pPr>
            <w:r w:rsidRPr="00BC4111">
              <w:t>(1)</w:t>
            </w:r>
          </w:p>
        </w:tc>
        <w:tc>
          <w:tcPr>
            <w:tcW w:w="137" w:type="pct"/>
            <w:tcBorders>
              <w:top w:val="single" w:sz="4" w:space="0" w:color="auto"/>
              <w:left w:val="nil"/>
              <w:bottom w:val="nil"/>
              <w:right w:val="nil"/>
            </w:tcBorders>
            <w:vAlign w:val="center"/>
          </w:tcPr>
          <w:p w14:paraId="67B5AB33" w14:textId="77777777" w:rsidR="002334DD" w:rsidRPr="00BC4111" w:rsidRDefault="002334DD" w:rsidP="003355E1">
            <w:pPr>
              <w:widowControl w:val="0"/>
              <w:autoSpaceDE w:val="0"/>
              <w:autoSpaceDN w:val="0"/>
              <w:adjustRightInd w:val="0"/>
              <w:jc w:val="center"/>
            </w:pPr>
          </w:p>
        </w:tc>
        <w:tc>
          <w:tcPr>
            <w:tcW w:w="899" w:type="pct"/>
            <w:gridSpan w:val="2"/>
            <w:tcBorders>
              <w:top w:val="single" w:sz="4" w:space="0" w:color="auto"/>
              <w:left w:val="nil"/>
              <w:bottom w:val="single" w:sz="4" w:space="0" w:color="auto"/>
              <w:right w:val="nil"/>
            </w:tcBorders>
            <w:vAlign w:val="center"/>
          </w:tcPr>
          <w:p w14:paraId="3F75AD07" w14:textId="04236E86" w:rsidR="002334DD" w:rsidRPr="00BC4111" w:rsidRDefault="002334DD" w:rsidP="003355E1">
            <w:pPr>
              <w:widowControl w:val="0"/>
              <w:autoSpaceDE w:val="0"/>
              <w:autoSpaceDN w:val="0"/>
              <w:adjustRightInd w:val="0"/>
              <w:jc w:val="center"/>
            </w:pPr>
            <w:r w:rsidRPr="00BC4111">
              <w:t>Post-</w:t>
            </w:r>
            <w:r w:rsidR="00F14EF8">
              <w:t>C</w:t>
            </w:r>
            <w:r w:rsidRPr="00BC4111">
              <w:t>ovid</w:t>
            </w:r>
            <w:r w:rsidR="00F14EF8">
              <w:t>-</w:t>
            </w:r>
            <w:r w:rsidRPr="00BC4111">
              <w:t>19</w:t>
            </w:r>
          </w:p>
          <w:p w14:paraId="207BB5CB" w14:textId="77777777" w:rsidR="002334DD" w:rsidRPr="00BC4111" w:rsidRDefault="002334DD" w:rsidP="003355E1">
            <w:pPr>
              <w:widowControl w:val="0"/>
              <w:autoSpaceDE w:val="0"/>
              <w:autoSpaceDN w:val="0"/>
              <w:adjustRightInd w:val="0"/>
              <w:jc w:val="center"/>
            </w:pPr>
            <w:r w:rsidRPr="00BC4111">
              <w:t>(2)</w:t>
            </w:r>
          </w:p>
        </w:tc>
        <w:tc>
          <w:tcPr>
            <w:tcW w:w="974" w:type="pct"/>
            <w:tcBorders>
              <w:top w:val="single" w:sz="4" w:space="0" w:color="auto"/>
              <w:left w:val="nil"/>
              <w:bottom w:val="single" w:sz="4" w:space="0" w:color="auto"/>
              <w:right w:val="nil"/>
            </w:tcBorders>
          </w:tcPr>
          <w:p w14:paraId="44F9F4D4" w14:textId="77777777" w:rsidR="002334DD" w:rsidRPr="00BC4111" w:rsidRDefault="002334DD" w:rsidP="003355E1">
            <w:pPr>
              <w:widowControl w:val="0"/>
              <w:autoSpaceDE w:val="0"/>
              <w:autoSpaceDN w:val="0"/>
              <w:adjustRightInd w:val="0"/>
              <w:jc w:val="center"/>
            </w:pPr>
            <w:r w:rsidRPr="00BC4111">
              <w:t>Mean Difference</w:t>
            </w:r>
          </w:p>
        </w:tc>
      </w:tr>
      <w:tr w:rsidR="002334DD" w:rsidRPr="00BC4111" w14:paraId="49D3FDFC" w14:textId="77777777" w:rsidTr="003355E1">
        <w:tc>
          <w:tcPr>
            <w:tcW w:w="2090" w:type="pct"/>
            <w:tcBorders>
              <w:top w:val="nil"/>
              <w:left w:val="nil"/>
              <w:bottom w:val="nil"/>
              <w:right w:val="nil"/>
            </w:tcBorders>
          </w:tcPr>
          <w:p w14:paraId="55BA6E8F" w14:textId="77777777" w:rsidR="002334DD" w:rsidRPr="00BC4111" w:rsidRDefault="002334DD" w:rsidP="003355E1">
            <w:pPr>
              <w:widowControl w:val="0"/>
              <w:autoSpaceDE w:val="0"/>
              <w:autoSpaceDN w:val="0"/>
              <w:adjustRightInd w:val="0"/>
            </w:pPr>
          </w:p>
        </w:tc>
        <w:tc>
          <w:tcPr>
            <w:tcW w:w="364" w:type="pct"/>
            <w:tcBorders>
              <w:top w:val="single" w:sz="4" w:space="0" w:color="auto"/>
              <w:left w:val="nil"/>
              <w:bottom w:val="single" w:sz="4" w:space="0" w:color="auto"/>
              <w:right w:val="nil"/>
            </w:tcBorders>
            <w:vAlign w:val="center"/>
          </w:tcPr>
          <w:p w14:paraId="6C304C79" w14:textId="77777777" w:rsidR="002334DD" w:rsidRPr="00BC4111" w:rsidRDefault="002334DD" w:rsidP="003355E1">
            <w:pPr>
              <w:widowControl w:val="0"/>
              <w:autoSpaceDE w:val="0"/>
              <w:autoSpaceDN w:val="0"/>
              <w:adjustRightInd w:val="0"/>
            </w:pPr>
            <w:r w:rsidRPr="00BC4111">
              <w:t>Obs.</w:t>
            </w:r>
          </w:p>
        </w:tc>
        <w:tc>
          <w:tcPr>
            <w:tcW w:w="535" w:type="pct"/>
            <w:tcBorders>
              <w:top w:val="single" w:sz="4" w:space="0" w:color="auto"/>
              <w:left w:val="nil"/>
              <w:bottom w:val="single" w:sz="4" w:space="0" w:color="auto"/>
              <w:right w:val="nil"/>
            </w:tcBorders>
            <w:vAlign w:val="center"/>
          </w:tcPr>
          <w:p w14:paraId="13F2A6B6" w14:textId="77777777" w:rsidR="002334DD" w:rsidRPr="00BC4111" w:rsidRDefault="002334DD" w:rsidP="003355E1">
            <w:pPr>
              <w:widowControl w:val="0"/>
              <w:autoSpaceDE w:val="0"/>
              <w:autoSpaceDN w:val="0"/>
              <w:adjustRightInd w:val="0"/>
            </w:pPr>
            <w:r w:rsidRPr="00BC4111">
              <w:t>Mean</w:t>
            </w:r>
          </w:p>
        </w:tc>
        <w:tc>
          <w:tcPr>
            <w:tcW w:w="137" w:type="pct"/>
            <w:tcBorders>
              <w:top w:val="nil"/>
              <w:left w:val="nil"/>
              <w:right w:val="nil"/>
            </w:tcBorders>
          </w:tcPr>
          <w:p w14:paraId="5EF24532" w14:textId="77777777" w:rsidR="002334DD" w:rsidRPr="00BC4111" w:rsidRDefault="002334DD" w:rsidP="003355E1">
            <w:pPr>
              <w:widowControl w:val="0"/>
              <w:autoSpaceDE w:val="0"/>
              <w:autoSpaceDN w:val="0"/>
              <w:adjustRightInd w:val="0"/>
            </w:pPr>
          </w:p>
        </w:tc>
        <w:tc>
          <w:tcPr>
            <w:tcW w:w="364" w:type="pct"/>
            <w:tcBorders>
              <w:top w:val="single" w:sz="4" w:space="0" w:color="auto"/>
              <w:left w:val="nil"/>
              <w:bottom w:val="single" w:sz="4" w:space="0" w:color="auto"/>
              <w:right w:val="nil"/>
            </w:tcBorders>
            <w:vAlign w:val="center"/>
          </w:tcPr>
          <w:p w14:paraId="0F556808" w14:textId="77777777" w:rsidR="002334DD" w:rsidRPr="00BC4111" w:rsidRDefault="002334DD" w:rsidP="003355E1">
            <w:pPr>
              <w:widowControl w:val="0"/>
              <w:autoSpaceDE w:val="0"/>
              <w:autoSpaceDN w:val="0"/>
              <w:adjustRightInd w:val="0"/>
            </w:pPr>
            <w:r w:rsidRPr="00BC4111">
              <w:t>Obs.</w:t>
            </w:r>
          </w:p>
        </w:tc>
        <w:tc>
          <w:tcPr>
            <w:tcW w:w="535" w:type="pct"/>
            <w:tcBorders>
              <w:top w:val="single" w:sz="4" w:space="0" w:color="auto"/>
              <w:left w:val="nil"/>
              <w:bottom w:val="single" w:sz="4" w:space="0" w:color="auto"/>
              <w:right w:val="nil"/>
            </w:tcBorders>
            <w:vAlign w:val="center"/>
          </w:tcPr>
          <w:p w14:paraId="5A84BEB7" w14:textId="77777777" w:rsidR="002334DD" w:rsidRPr="00BC4111" w:rsidRDefault="002334DD" w:rsidP="003355E1">
            <w:pPr>
              <w:widowControl w:val="0"/>
              <w:autoSpaceDE w:val="0"/>
              <w:autoSpaceDN w:val="0"/>
              <w:adjustRightInd w:val="0"/>
            </w:pPr>
            <w:r w:rsidRPr="00BC4111">
              <w:t>Mean</w:t>
            </w:r>
          </w:p>
        </w:tc>
        <w:tc>
          <w:tcPr>
            <w:tcW w:w="974" w:type="pct"/>
            <w:tcBorders>
              <w:top w:val="single" w:sz="4" w:space="0" w:color="auto"/>
              <w:left w:val="nil"/>
              <w:bottom w:val="single" w:sz="4" w:space="0" w:color="auto"/>
              <w:right w:val="nil"/>
            </w:tcBorders>
          </w:tcPr>
          <w:p w14:paraId="31955B15" w14:textId="77777777" w:rsidR="002334DD" w:rsidRPr="00BC4111" w:rsidRDefault="002334DD" w:rsidP="003355E1">
            <w:pPr>
              <w:widowControl w:val="0"/>
              <w:autoSpaceDE w:val="0"/>
              <w:autoSpaceDN w:val="0"/>
              <w:adjustRightInd w:val="0"/>
              <w:jc w:val="center"/>
            </w:pPr>
            <w:r w:rsidRPr="00BC4111">
              <w:t>(2)-(1)</w:t>
            </w:r>
          </w:p>
        </w:tc>
      </w:tr>
      <w:tr w:rsidR="002334DD" w:rsidRPr="00BC4111" w14:paraId="687FA25E" w14:textId="77777777" w:rsidTr="003355E1">
        <w:tc>
          <w:tcPr>
            <w:tcW w:w="2090" w:type="pct"/>
            <w:tcBorders>
              <w:top w:val="single" w:sz="4" w:space="0" w:color="auto"/>
              <w:left w:val="nil"/>
              <w:bottom w:val="nil"/>
              <w:right w:val="nil"/>
            </w:tcBorders>
          </w:tcPr>
          <w:p w14:paraId="64C37FB7" w14:textId="77777777" w:rsidR="002334DD" w:rsidRPr="00BC4111" w:rsidRDefault="002334DD" w:rsidP="003355E1">
            <w:pPr>
              <w:widowControl w:val="0"/>
              <w:autoSpaceDE w:val="0"/>
              <w:autoSpaceDN w:val="0"/>
              <w:adjustRightInd w:val="0"/>
            </w:pPr>
            <w:r w:rsidRPr="00BC4111">
              <w:t>Credit Spread</w:t>
            </w:r>
          </w:p>
        </w:tc>
        <w:tc>
          <w:tcPr>
            <w:tcW w:w="364" w:type="pct"/>
            <w:tcBorders>
              <w:top w:val="single" w:sz="4" w:space="0" w:color="auto"/>
              <w:left w:val="nil"/>
              <w:bottom w:val="nil"/>
              <w:right w:val="nil"/>
            </w:tcBorders>
          </w:tcPr>
          <w:p w14:paraId="3B078126" w14:textId="77777777" w:rsidR="002334DD" w:rsidRPr="00BC4111" w:rsidRDefault="002334DD" w:rsidP="003355E1">
            <w:pPr>
              <w:widowControl w:val="0"/>
              <w:autoSpaceDE w:val="0"/>
              <w:autoSpaceDN w:val="0"/>
              <w:adjustRightInd w:val="0"/>
            </w:pPr>
            <w:r w:rsidRPr="00BC4111">
              <w:t>254</w:t>
            </w:r>
          </w:p>
        </w:tc>
        <w:tc>
          <w:tcPr>
            <w:tcW w:w="535" w:type="pct"/>
            <w:tcBorders>
              <w:top w:val="single" w:sz="4" w:space="0" w:color="auto"/>
              <w:left w:val="nil"/>
              <w:bottom w:val="nil"/>
              <w:right w:val="nil"/>
            </w:tcBorders>
          </w:tcPr>
          <w:p w14:paraId="29F25756" w14:textId="77777777" w:rsidR="002334DD" w:rsidRPr="00BC4111" w:rsidRDefault="002334DD" w:rsidP="003355E1">
            <w:pPr>
              <w:widowControl w:val="0"/>
              <w:autoSpaceDE w:val="0"/>
              <w:autoSpaceDN w:val="0"/>
              <w:adjustRightInd w:val="0"/>
            </w:pPr>
            <w:r w:rsidRPr="00BC4111">
              <w:t>1.024</w:t>
            </w:r>
          </w:p>
        </w:tc>
        <w:tc>
          <w:tcPr>
            <w:tcW w:w="137" w:type="pct"/>
            <w:tcBorders>
              <w:top w:val="single" w:sz="4" w:space="0" w:color="auto"/>
              <w:left w:val="nil"/>
              <w:bottom w:val="nil"/>
              <w:right w:val="nil"/>
            </w:tcBorders>
          </w:tcPr>
          <w:p w14:paraId="510D517D" w14:textId="77777777" w:rsidR="002334DD" w:rsidRPr="00BC4111" w:rsidRDefault="002334DD" w:rsidP="003355E1">
            <w:pPr>
              <w:widowControl w:val="0"/>
              <w:autoSpaceDE w:val="0"/>
              <w:autoSpaceDN w:val="0"/>
              <w:adjustRightInd w:val="0"/>
            </w:pPr>
          </w:p>
        </w:tc>
        <w:tc>
          <w:tcPr>
            <w:tcW w:w="364" w:type="pct"/>
            <w:tcBorders>
              <w:top w:val="single" w:sz="4" w:space="0" w:color="auto"/>
              <w:left w:val="nil"/>
              <w:bottom w:val="nil"/>
              <w:right w:val="nil"/>
            </w:tcBorders>
          </w:tcPr>
          <w:p w14:paraId="06FBFAAF" w14:textId="77777777" w:rsidR="002334DD" w:rsidRPr="00BC4111" w:rsidRDefault="002334DD" w:rsidP="003355E1">
            <w:pPr>
              <w:widowControl w:val="0"/>
              <w:autoSpaceDE w:val="0"/>
              <w:autoSpaceDN w:val="0"/>
              <w:adjustRightInd w:val="0"/>
            </w:pPr>
            <w:r w:rsidRPr="00BC4111">
              <w:t>328</w:t>
            </w:r>
          </w:p>
        </w:tc>
        <w:tc>
          <w:tcPr>
            <w:tcW w:w="535" w:type="pct"/>
            <w:tcBorders>
              <w:top w:val="single" w:sz="4" w:space="0" w:color="auto"/>
              <w:left w:val="nil"/>
              <w:bottom w:val="nil"/>
              <w:right w:val="nil"/>
            </w:tcBorders>
          </w:tcPr>
          <w:p w14:paraId="0BCCCFFD" w14:textId="77777777" w:rsidR="002334DD" w:rsidRPr="00BC4111" w:rsidRDefault="002334DD" w:rsidP="003355E1">
            <w:pPr>
              <w:widowControl w:val="0"/>
              <w:autoSpaceDE w:val="0"/>
              <w:autoSpaceDN w:val="0"/>
              <w:adjustRightInd w:val="0"/>
            </w:pPr>
            <w:r w:rsidRPr="00BC4111">
              <w:t>1.415</w:t>
            </w:r>
          </w:p>
        </w:tc>
        <w:tc>
          <w:tcPr>
            <w:tcW w:w="974" w:type="pct"/>
            <w:tcBorders>
              <w:top w:val="single" w:sz="4" w:space="0" w:color="auto"/>
              <w:left w:val="nil"/>
              <w:bottom w:val="nil"/>
              <w:right w:val="nil"/>
            </w:tcBorders>
          </w:tcPr>
          <w:p w14:paraId="4B53CA2B" w14:textId="77777777" w:rsidR="002334DD" w:rsidRPr="00BC4111" w:rsidRDefault="002334DD" w:rsidP="003355E1">
            <w:pPr>
              <w:widowControl w:val="0"/>
              <w:autoSpaceDE w:val="0"/>
              <w:autoSpaceDN w:val="0"/>
              <w:adjustRightInd w:val="0"/>
              <w:jc w:val="center"/>
            </w:pPr>
            <w:r w:rsidRPr="00BC4111">
              <w:t>0.391***</w:t>
            </w:r>
          </w:p>
        </w:tc>
      </w:tr>
      <w:tr w:rsidR="002334DD" w:rsidRPr="00BC4111" w14:paraId="3F906557" w14:textId="77777777" w:rsidTr="003355E1">
        <w:tc>
          <w:tcPr>
            <w:tcW w:w="2090" w:type="pct"/>
            <w:tcBorders>
              <w:top w:val="nil"/>
              <w:left w:val="nil"/>
              <w:bottom w:val="nil"/>
              <w:right w:val="nil"/>
            </w:tcBorders>
          </w:tcPr>
          <w:p w14:paraId="0384ECAF" w14:textId="77777777" w:rsidR="002334DD" w:rsidRPr="00BC4111" w:rsidRDefault="002334DD" w:rsidP="003355E1">
            <w:pPr>
              <w:widowControl w:val="0"/>
              <w:autoSpaceDE w:val="0"/>
              <w:autoSpaceDN w:val="0"/>
              <w:adjustRightInd w:val="0"/>
            </w:pPr>
            <w:r w:rsidRPr="00BC4111">
              <w:t>Number of BRs</w:t>
            </w:r>
          </w:p>
        </w:tc>
        <w:tc>
          <w:tcPr>
            <w:tcW w:w="364" w:type="pct"/>
            <w:tcBorders>
              <w:top w:val="nil"/>
              <w:left w:val="nil"/>
              <w:bottom w:val="nil"/>
              <w:right w:val="nil"/>
            </w:tcBorders>
          </w:tcPr>
          <w:p w14:paraId="1D78A4B5"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385370E5" w14:textId="77777777" w:rsidR="002334DD" w:rsidRPr="00BC4111" w:rsidRDefault="002334DD" w:rsidP="003355E1">
            <w:pPr>
              <w:widowControl w:val="0"/>
              <w:autoSpaceDE w:val="0"/>
              <w:autoSpaceDN w:val="0"/>
              <w:adjustRightInd w:val="0"/>
            </w:pPr>
            <w:r w:rsidRPr="00BC4111">
              <w:t>7.299</w:t>
            </w:r>
          </w:p>
        </w:tc>
        <w:tc>
          <w:tcPr>
            <w:tcW w:w="137" w:type="pct"/>
            <w:tcBorders>
              <w:top w:val="nil"/>
              <w:left w:val="nil"/>
              <w:bottom w:val="nil"/>
              <w:right w:val="nil"/>
            </w:tcBorders>
          </w:tcPr>
          <w:p w14:paraId="741EE36B"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60078518"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1B89C210" w14:textId="77777777" w:rsidR="002334DD" w:rsidRPr="00BC4111" w:rsidRDefault="002334DD" w:rsidP="003355E1">
            <w:pPr>
              <w:widowControl w:val="0"/>
              <w:autoSpaceDE w:val="0"/>
              <w:autoSpaceDN w:val="0"/>
              <w:adjustRightInd w:val="0"/>
            </w:pPr>
            <w:r w:rsidRPr="00BC4111">
              <w:t>7.208</w:t>
            </w:r>
          </w:p>
        </w:tc>
        <w:tc>
          <w:tcPr>
            <w:tcW w:w="974" w:type="pct"/>
            <w:tcBorders>
              <w:top w:val="nil"/>
              <w:left w:val="nil"/>
              <w:bottom w:val="nil"/>
              <w:right w:val="nil"/>
            </w:tcBorders>
          </w:tcPr>
          <w:p w14:paraId="0EE69936" w14:textId="77777777" w:rsidR="002334DD" w:rsidRPr="00BC4111" w:rsidRDefault="002334DD" w:rsidP="003355E1">
            <w:pPr>
              <w:widowControl w:val="0"/>
              <w:autoSpaceDE w:val="0"/>
              <w:autoSpaceDN w:val="0"/>
              <w:adjustRightInd w:val="0"/>
              <w:jc w:val="center"/>
            </w:pPr>
            <w:r w:rsidRPr="00BC4111">
              <w:t>-0.091</w:t>
            </w:r>
          </w:p>
        </w:tc>
      </w:tr>
      <w:tr w:rsidR="002334DD" w:rsidRPr="00BC4111" w14:paraId="32AD293D" w14:textId="77777777" w:rsidTr="003355E1">
        <w:tc>
          <w:tcPr>
            <w:tcW w:w="2090" w:type="pct"/>
            <w:tcBorders>
              <w:top w:val="nil"/>
              <w:left w:val="nil"/>
              <w:bottom w:val="nil"/>
              <w:right w:val="nil"/>
            </w:tcBorders>
          </w:tcPr>
          <w:p w14:paraId="218C8157" w14:textId="77777777" w:rsidR="002334DD" w:rsidRPr="00BC4111" w:rsidRDefault="002334DD" w:rsidP="003355E1">
            <w:pPr>
              <w:widowControl w:val="0"/>
              <w:autoSpaceDE w:val="0"/>
              <w:autoSpaceDN w:val="0"/>
              <w:adjustRightInd w:val="0"/>
            </w:pPr>
            <w:r w:rsidRPr="00BC4111">
              <w:t>% of Non-Domestic BRs</w:t>
            </w:r>
          </w:p>
        </w:tc>
        <w:tc>
          <w:tcPr>
            <w:tcW w:w="364" w:type="pct"/>
            <w:tcBorders>
              <w:top w:val="nil"/>
              <w:left w:val="nil"/>
              <w:bottom w:val="nil"/>
              <w:right w:val="nil"/>
            </w:tcBorders>
          </w:tcPr>
          <w:p w14:paraId="264AAC11"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19B7CA44" w14:textId="77777777" w:rsidR="002334DD" w:rsidRPr="00BC4111" w:rsidRDefault="002334DD" w:rsidP="003355E1">
            <w:pPr>
              <w:widowControl w:val="0"/>
              <w:autoSpaceDE w:val="0"/>
              <w:autoSpaceDN w:val="0"/>
              <w:adjustRightInd w:val="0"/>
            </w:pPr>
            <w:r w:rsidRPr="00BC4111">
              <w:t>0.746</w:t>
            </w:r>
          </w:p>
        </w:tc>
        <w:tc>
          <w:tcPr>
            <w:tcW w:w="137" w:type="pct"/>
            <w:tcBorders>
              <w:top w:val="nil"/>
              <w:left w:val="nil"/>
              <w:bottom w:val="nil"/>
              <w:right w:val="nil"/>
            </w:tcBorders>
          </w:tcPr>
          <w:p w14:paraId="3AD74E1F"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70DCD6AC"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63247566" w14:textId="77777777" w:rsidR="002334DD" w:rsidRPr="00BC4111" w:rsidRDefault="002334DD" w:rsidP="003355E1">
            <w:pPr>
              <w:widowControl w:val="0"/>
              <w:autoSpaceDE w:val="0"/>
              <w:autoSpaceDN w:val="0"/>
              <w:adjustRightInd w:val="0"/>
            </w:pPr>
            <w:r w:rsidRPr="00BC4111">
              <w:t>0.716</w:t>
            </w:r>
          </w:p>
        </w:tc>
        <w:tc>
          <w:tcPr>
            <w:tcW w:w="974" w:type="pct"/>
            <w:tcBorders>
              <w:top w:val="nil"/>
              <w:left w:val="nil"/>
              <w:bottom w:val="nil"/>
              <w:right w:val="nil"/>
            </w:tcBorders>
          </w:tcPr>
          <w:p w14:paraId="08B8C012" w14:textId="77777777" w:rsidR="002334DD" w:rsidRPr="00BC4111" w:rsidRDefault="002334DD" w:rsidP="003355E1">
            <w:pPr>
              <w:widowControl w:val="0"/>
              <w:autoSpaceDE w:val="0"/>
              <w:autoSpaceDN w:val="0"/>
              <w:adjustRightInd w:val="0"/>
              <w:jc w:val="center"/>
            </w:pPr>
            <w:r w:rsidRPr="00BC4111">
              <w:t>-0.030*</w:t>
            </w:r>
          </w:p>
        </w:tc>
      </w:tr>
      <w:tr w:rsidR="002334DD" w:rsidRPr="00BC4111" w14:paraId="36A55D7D" w14:textId="77777777" w:rsidTr="003355E1">
        <w:tc>
          <w:tcPr>
            <w:tcW w:w="2090" w:type="pct"/>
            <w:tcBorders>
              <w:top w:val="nil"/>
              <w:left w:val="nil"/>
              <w:bottom w:val="nil"/>
              <w:right w:val="nil"/>
            </w:tcBorders>
          </w:tcPr>
          <w:p w14:paraId="3813D391" w14:textId="77777777" w:rsidR="002334DD" w:rsidRPr="00BC4111" w:rsidRDefault="002334DD" w:rsidP="003355E1">
            <w:pPr>
              <w:widowControl w:val="0"/>
              <w:autoSpaceDE w:val="0"/>
              <w:autoSpaceDN w:val="0"/>
              <w:adjustRightInd w:val="0"/>
            </w:pPr>
            <w:r w:rsidRPr="00BC4111">
              <w:t>% of Non-domestic Active BRs</w:t>
            </w:r>
          </w:p>
        </w:tc>
        <w:tc>
          <w:tcPr>
            <w:tcW w:w="364" w:type="pct"/>
            <w:tcBorders>
              <w:top w:val="nil"/>
              <w:left w:val="nil"/>
              <w:bottom w:val="nil"/>
              <w:right w:val="nil"/>
            </w:tcBorders>
          </w:tcPr>
          <w:p w14:paraId="6BA82350"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2C5F9266" w14:textId="77777777" w:rsidR="002334DD" w:rsidRPr="00BC4111" w:rsidRDefault="002334DD" w:rsidP="003355E1">
            <w:pPr>
              <w:widowControl w:val="0"/>
              <w:autoSpaceDE w:val="0"/>
              <w:autoSpaceDN w:val="0"/>
              <w:adjustRightInd w:val="0"/>
            </w:pPr>
            <w:r w:rsidRPr="00BC4111">
              <w:t>0.753</w:t>
            </w:r>
          </w:p>
        </w:tc>
        <w:tc>
          <w:tcPr>
            <w:tcW w:w="137" w:type="pct"/>
            <w:tcBorders>
              <w:top w:val="nil"/>
              <w:left w:val="nil"/>
              <w:bottom w:val="nil"/>
              <w:right w:val="nil"/>
            </w:tcBorders>
          </w:tcPr>
          <w:p w14:paraId="698020E7"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737B338D"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5875AF2B" w14:textId="77777777" w:rsidR="002334DD" w:rsidRPr="00BC4111" w:rsidRDefault="002334DD" w:rsidP="003355E1">
            <w:pPr>
              <w:widowControl w:val="0"/>
              <w:autoSpaceDE w:val="0"/>
              <w:autoSpaceDN w:val="0"/>
              <w:adjustRightInd w:val="0"/>
            </w:pPr>
            <w:r w:rsidRPr="00BC4111">
              <w:t>0.715</w:t>
            </w:r>
          </w:p>
        </w:tc>
        <w:tc>
          <w:tcPr>
            <w:tcW w:w="974" w:type="pct"/>
            <w:tcBorders>
              <w:top w:val="nil"/>
              <w:left w:val="nil"/>
              <w:bottom w:val="nil"/>
              <w:right w:val="nil"/>
            </w:tcBorders>
          </w:tcPr>
          <w:p w14:paraId="35CDE3B5" w14:textId="77777777" w:rsidR="002334DD" w:rsidRPr="00BC4111" w:rsidRDefault="002334DD" w:rsidP="003355E1">
            <w:pPr>
              <w:widowControl w:val="0"/>
              <w:autoSpaceDE w:val="0"/>
              <w:autoSpaceDN w:val="0"/>
              <w:adjustRightInd w:val="0"/>
              <w:jc w:val="center"/>
            </w:pPr>
            <w:r w:rsidRPr="00BC4111">
              <w:t>-0.038**</w:t>
            </w:r>
          </w:p>
        </w:tc>
      </w:tr>
      <w:tr w:rsidR="002334DD" w:rsidRPr="00BC4111" w14:paraId="71FBEA6F" w14:textId="77777777" w:rsidTr="003355E1">
        <w:tc>
          <w:tcPr>
            <w:tcW w:w="2090" w:type="pct"/>
            <w:tcBorders>
              <w:top w:val="nil"/>
              <w:left w:val="nil"/>
              <w:bottom w:val="nil"/>
              <w:right w:val="nil"/>
            </w:tcBorders>
          </w:tcPr>
          <w:p w14:paraId="010049DF" w14:textId="77777777" w:rsidR="002334DD" w:rsidRPr="00BC4111" w:rsidRDefault="002334DD" w:rsidP="003355E1">
            <w:pPr>
              <w:widowControl w:val="0"/>
              <w:autoSpaceDE w:val="0"/>
              <w:autoSpaceDN w:val="0"/>
              <w:adjustRightInd w:val="0"/>
            </w:pPr>
            <w:r w:rsidRPr="00BC4111">
              <w:t>% of Non-domestic Active Top 10 BRs</w:t>
            </w:r>
          </w:p>
        </w:tc>
        <w:tc>
          <w:tcPr>
            <w:tcW w:w="364" w:type="pct"/>
            <w:tcBorders>
              <w:top w:val="nil"/>
              <w:left w:val="nil"/>
              <w:bottom w:val="nil"/>
              <w:right w:val="nil"/>
            </w:tcBorders>
          </w:tcPr>
          <w:p w14:paraId="031EB21A"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4BA34ADD" w14:textId="77777777" w:rsidR="002334DD" w:rsidRPr="00BC4111" w:rsidRDefault="002334DD" w:rsidP="003355E1">
            <w:pPr>
              <w:widowControl w:val="0"/>
              <w:autoSpaceDE w:val="0"/>
              <w:autoSpaceDN w:val="0"/>
              <w:adjustRightInd w:val="0"/>
            </w:pPr>
            <w:r w:rsidRPr="00BC4111">
              <w:t>0.328</w:t>
            </w:r>
          </w:p>
        </w:tc>
        <w:tc>
          <w:tcPr>
            <w:tcW w:w="137" w:type="pct"/>
            <w:tcBorders>
              <w:top w:val="nil"/>
              <w:left w:val="nil"/>
              <w:bottom w:val="nil"/>
              <w:right w:val="nil"/>
            </w:tcBorders>
          </w:tcPr>
          <w:p w14:paraId="527BE732"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766151C3"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0E8A9590" w14:textId="77777777" w:rsidR="002334DD" w:rsidRPr="00BC4111" w:rsidRDefault="002334DD" w:rsidP="003355E1">
            <w:pPr>
              <w:widowControl w:val="0"/>
              <w:autoSpaceDE w:val="0"/>
              <w:autoSpaceDN w:val="0"/>
              <w:adjustRightInd w:val="0"/>
            </w:pPr>
            <w:r w:rsidRPr="00BC4111">
              <w:t>0.338</w:t>
            </w:r>
          </w:p>
        </w:tc>
        <w:tc>
          <w:tcPr>
            <w:tcW w:w="974" w:type="pct"/>
            <w:tcBorders>
              <w:top w:val="nil"/>
              <w:left w:val="nil"/>
              <w:bottom w:val="nil"/>
              <w:right w:val="nil"/>
            </w:tcBorders>
          </w:tcPr>
          <w:p w14:paraId="75986231" w14:textId="77777777" w:rsidR="002334DD" w:rsidRPr="00BC4111" w:rsidRDefault="002334DD" w:rsidP="003355E1">
            <w:pPr>
              <w:widowControl w:val="0"/>
              <w:autoSpaceDE w:val="0"/>
              <w:autoSpaceDN w:val="0"/>
              <w:adjustRightInd w:val="0"/>
              <w:jc w:val="center"/>
            </w:pPr>
            <w:r w:rsidRPr="00BC4111">
              <w:t>0.009</w:t>
            </w:r>
          </w:p>
        </w:tc>
      </w:tr>
      <w:tr w:rsidR="002334DD" w:rsidRPr="00BC4111" w14:paraId="6AE18FAC" w14:textId="77777777" w:rsidTr="003355E1">
        <w:tc>
          <w:tcPr>
            <w:tcW w:w="2090" w:type="pct"/>
            <w:tcBorders>
              <w:top w:val="nil"/>
              <w:left w:val="nil"/>
              <w:bottom w:val="nil"/>
              <w:right w:val="nil"/>
            </w:tcBorders>
          </w:tcPr>
          <w:p w14:paraId="685D8F3F" w14:textId="77777777" w:rsidR="002334DD" w:rsidRPr="00BC4111" w:rsidRDefault="002334DD" w:rsidP="003355E1">
            <w:pPr>
              <w:widowControl w:val="0"/>
              <w:autoSpaceDE w:val="0"/>
              <w:autoSpaceDN w:val="0"/>
              <w:adjustRightInd w:val="0"/>
            </w:pPr>
            <w:r w:rsidRPr="00BC4111">
              <w:t>Majority Non-Domestic BRs</w:t>
            </w:r>
          </w:p>
        </w:tc>
        <w:tc>
          <w:tcPr>
            <w:tcW w:w="364" w:type="pct"/>
            <w:tcBorders>
              <w:top w:val="nil"/>
              <w:left w:val="nil"/>
              <w:bottom w:val="nil"/>
              <w:right w:val="nil"/>
            </w:tcBorders>
          </w:tcPr>
          <w:p w14:paraId="684D4584"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7770CCCA" w14:textId="77777777" w:rsidR="002334DD" w:rsidRPr="00BC4111" w:rsidRDefault="002334DD" w:rsidP="003355E1">
            <w:pPr>
              <w:widowControl w:val="0"/>
              <w:autoSpaceDE w:val="0"/>
              <w:autoSpaceDN w:val="0"/>
              <w:adjustRightInd w:val="0"/>
            </w:pPr>
            <w:r w:rsidRPr="00BC4111">
              <w:t>0.845</w:t>
            </w:r>
          </w:p>
        </w:tc>
        <w:tc>
          <w:tcPr>
            <w:tcW w:w="137" w:type="pct"/>
            <w:tcBorders>
              <w:top w:val="nil"/>
              <w:left w:val="nil"/>
              <w:bottom w:val="nil"/>
              <w:right w:val="nil"/>
            </w:tcBorders>
          </w:tcPr>
          <w:p w14:paraId="3D6D5A8B"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27375566"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10D3E7CC" w14:textId="77777777" w:rsidR="002334DD" w:rsidRPr="00BC4111" w:rsidRDefault="002334DD" w:rsidP="003355E1">
            <w:pPr>
              <w:widowControl w:val="0"/>
              <w:autoSpaceDE w:val="0"/>
              <w:autoSpaceDN w:val="0"/>
              <w:adjustRightInd w:val="0"/>
            </w:pPr>
            <w:r w:rsidRPr="00BC4111">
              <w:t>0.778</w:t>
            </w:r>
          </w:p>
        </w:tc>
        <w:tc>
          <w:tcPr>
            <w:tcW w:w="974" w:type="pct"/>
            <w:tcBorders>
              <w:top w:val="nil"/>
              <w:left w:val="nil"/>
              <w:bottom w:val="nil"/>
              <w:right w:val="nil"/>
            </w:tcBorders>
          </w:tcPr>
          <w:p w14:paraId="2C704A5D" w14:textId="77777777" w:rsidR="002334DD" w:rsidRPr="00BC4111" w:rsidRDefault="002334DD" w:rsidP="003355E1">
            <w:pPr>
              <w:widowControl w:val="0"/>
              <w:autoSpaceDE w:val="0"/>
              <w:autoSpaceDN w:val="0"/>
              <w:adjustRightInd w:val="0"/>
              <w:jc w:val="center"/>
            </w:pPr>
            <w:r w:rsidRPr="00BC4111">
              <w:t>-0.067**</w:t>
            </w:r>
          </w:p>
        </w:tc>
      </w:tr>
      <w:tr w:rsidR="002334DD" w:rsidRPr="00BC4111" w14:paraId="1520A19E" w14:textId="77777777" w:rsidTr="003355E1">
        <w:tc>
          <w:tcPr>
            <w:tcW w:w="2090" w:type="pct"/>
            <w:tcBorders>
              <w:top w:val="nil"/>
              <w:left w:val="nil"/>
              <w:bottom w:val="nil"/>
              <w:right w:val="nil"/>
            </w:tcBorders>
          </w:tcPr>
          <w:p w14:paraId="6A51BB08" w14:textId="77777777" w:rsidR="002334DD" w:rsidRPr="00BC4111" w:rsidRDefault="002334DD" w:rsidP="003355E1">
            <w:pPr>
              <w:widowControl w:val="0"/>
              <w:autoSpaceDE w:val="0"/>
              <w:autoSpaceDN w:val="0"/>
              <w:adjustRightInd w:val="0"/>
            </w:pPr>
            <w:r w:rsidRPr="00BC4111">
              <w:t>% of BRs prior lender</w:t>
            </w:r>
          </w:p>
        </w:tc>
        <w:tc>
          <w:tcPr>
            <w:tcW w:w="364" w:type="pct"/>
            <w:tcBorders>
              <w:top w:val="nil"/>
              <w:left w:val="nil"/>
              <w:bottom w:val="nil"/>
              <w:right w:val="nil"/>
            </w:tcBorders>
          </w:tcPr>
          <w:p w14:paraId="5C81245B"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615C99F6" w14:textId="77777777" w:rsidR="002334DD" w:rsidRPr="00BC4111" w:rsidRDefault="002334DD" w:rsidP="003355E1">
            <w:pPr>
              <w:widowControl w:val="0"/>
              <w:autoSpaceDE w:val="0"/>
              <w:autoSpaceDN w:val="0"/>
              <w:adjustRightInd w:val="0"/>
            </w:pPr>
            <w:r w:rsidRPr="00BC4111">
              <w:t>0.623</w:t>
            </w:r>
          </w:p>
        </w:tc>
        <w:tc>
          <w:tcPr>
            <w:tcW w:w="137" w:type="pct"/>
            <w:tcBorders>
              <w:top w:val="nil"/>
              <w:left w:val="nil"/>
              <w:bottom w:val="nil"/>
              <w:right w:val="nil"/>
            </w:tcBorders>
          </w:tcPr>
          <w:p w14:paraId="388B6994"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575E2C3B"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52D3A8A0" w14:textId="77777777" w:rsidR="002334DD" w:rsidRPr="00BC4111" w:rsidRDefault="002334DD" w:rsidP="003355E1">
            <w:pPr>
              <w:widowControl w:val="0"/>
              <w:autoSpaceDE w:val="0"/>
              <w:autoSpaceDN w:val="0"/>
              <w:adjustRightInd w:val="0"/>
            </w:pPr>
            <w:r w:rsidRPr="00BC4111">
              <w:t>0.641</w:t>
            </w:r>
          </w:p>
        </w:tc>
        <w:tc>
          <w:tcPr>
            <w:tcW w:w="974" w:type="pct"/>
            <w:tcBorders>
              <w:top w:val="nil"/>
              <w:left w:val="nil"/>
              <w:bottom w:val="nil"/>
              <w:right w:val="nil"/>
            </w:tcBorders>
          </w:tcPr>
          <w:p w14:paraId="1CF8F01F" w14:textId="77777777" w:rsidR="002334DD" w:rsidRPr="00BC4111" w:rsidRDefault="002334DD" w:rsidP="003355E1">
            <w:pPr>
              <w:widowControl w:val="0"/>
              <w:autoSpaceDE w:val="0"/>
              <w:autoSpaceDN w:val="0"/>
              <w:adjustRightInd w:val="0"/>
              <w:jc w:val="center"/>
            </w:pPr>
            <w:r w:rsidRPr="00BC4111">
              <w:t>0.017</w:t>
            </w:r>
          </w:p>
        </w:tc>
      </w:tr>
      <w:tr w:rsidR="002334DD" w:rsidRPr="00BC4111" w14:paraId="18248984" w14:textId="77777777" w:rsidTr="003355E1">
        <w:tc>
          <w:tcPr>
            <w:tcW w:w="2090" w:type="pct"/>
            <w:tcBorders>
              <w:top w:val="nil"/>
              <w:left w:val="nil"/>
              <w:bottom w:val="nil"/>
              <w:right w:val="nil"/>
            </w:tcBorders>
          </w:tcPr>
          <w:p w14:paraId="1FE4E166" w14:textId="77777777" w:rsidR="002334DD" w:rsidRPr="00BC4111" w:rsidRDefault="002334DD" w:rsidP="003355E1">
            <w:pPr>
              <w:widowControl w:val="0"/>
              <w:autoSpaceDE w:val="0"/>
              <w:autoSpaceDN w:val="0"/>
              <w:adjustRightInd w:val="0"/>
            </w:pPr>
            <w:r w:rsidRPr="00BC4111">
              <w:t>No. of Bonds</w:t>
            </w:r>
          </w:p>
        </w:tc>
        <w:tc>
          <w:tcPr>
            <w:tcW w:w="364" w:type="pct"/>
            <w:tcBorders>
              <w:top w:val="nil"/>
              <w:left w:val="nil"/>
              <w:bottom w:val="nil"/>
              <w:right w:val="nil"/>
            </w:tcBorders>
          </w:tcPr>
          <w:p w14:paraId="2AA7C5F8"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0162929D" w14:textId="77777777" w:rsidR="002334DD" w:rsidRPr="00BC4111" w:rsidRDefault="002334DD" w:rsidP="003355E1">
            <w:pPr>
              <w:widowControl w:val="0"/>
              <w:autoSpaceDE w:val="0"/>
              <w:autoSpaceDN w:val="0"/>
              <w:adjustRightInd w:val="0"/>
            </w:pPr>
            <w:r w:rsidRPr="00BC4111">
              <w:t>15.412</w:t>
            </w:r>
          </w:p>
        </w:tc>
        <w:tc>
          <w:tcPr>
            <w:tcW w:w="137" w:type="pct"/>
            <w:tcBorders>
              <w:top w:val="nil"/>
              <w:left w:val="nil"/>
              <w:bottom w:val="nil"/>
              <w:right w:val="nil"/>
            </w:tcBorders>
          </w:tcPr>
          <w:p w14:paraId="3D9F4A81"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22FA1CEB"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70343172" w14:textId="77777777" w:rsidR="002334DD" w:rsidRPr="00BC4111" w:rsidRDefault="002334DD" w:rsidP="003355E1">
            <w:pPr>
              <w:widowControl w:val="0"/>
              <w:autoSpaceDE w:val="0"/>
              <w:autoSpaceDN w:val="0"/>
              <w:adjustRightInd w:val="0"/>
            </w:pPr>
            <w:r w:rsidRPr="00BC4111">
              <w:t>15.977</w:t>
            </w:r>
          </w:p>
        </w:tc>
        <w:tc>
          <w:tcPr>
            <w:tcW w:w="974" w:type="pct"/>
            <w:tcBorders>
              <w:top w:val="nil"/>
              <w:left w:val="nil"/>
              <w:bottom w:val="nil"/>
              <w:right w:val="nil"/>
            </w:tcBorders>
          </w:tcPr>
          <w:p w14:paraId="1D59C698" w14:textId="77777777" w:rsidR="002334DD" w:rsidRPr="00BC4111" w:rsidRDefault="002334DD" w:rsidP="003355E1">
            <w:pPr>
              <w:widowControl w:val="0"/>
              <w:autoSpaceDE w:val="0"/>
              <w:autoSpaceDN w:val="0"/>
              <w:adjustRightInd w:val="0"/>
              <w:jc w:val="center"/>
            </w:pPr>
            <w:r w:rsidRPr="00BC4111">
              <w:t>0.565</w:t>
            </w:r>
          </w:p>
        </w:tc>
      </w:tr>
      <w:tr w:rsidR="002334DD" w:rsidRPr="00BC4111" w14:paraId="61E87A56" w14:textId="77777777" w:rsidTr="003355E1">
        <w:tc>
          <w:tcPr>
            <w:tcW w:w="2090" w:type="pct"/>
            <w:tcBorders>
              <w:top w:val="nil"/>
              <w:left w:val="nil"/>
              <w:bottom w:val="nil"/>
              <w:right w:val="nil"/>
            </w:tcBorders>
          </w:tcPr>
          <w:p w14:paraId="4CBC4DB1" w14:textId="77777777" w:rsidR="002334DD" w:rsidRPr="00BC4111" w:rsidRDefault="002334DD" w:rsidP="003355E1">
            <w:pPr>
              <w:widowControl w:val="0"/>
              <w:autoSpaceDE w:val="0"/>
              <w:autoSpaceDN w:val="0"/>
              <w:adjustRightInd w:val="0"/>
            </w:pPr>
            <w:r w:rsidRPr="00BC4111">
              <w:t>Credit Rating</w:t>
            </w:r>
          </w:p>
        </w:tc>
        <w:tc>
          <w:tcPr>
            <w:tcW w:w="364" w:type="pct"/>
            <w:tcBorders>
              <w:top w:val="nil"/>
              <w:left w:val="nil"/>
              <w:bottom w:val="nil"/>
              <w:right w:val="nil"/>
            </w:tcBorders>
          </w:tcPr>
          <w:p w14:paraId="6EFD56BD"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07F58FE4" w14:textId="77777777" w:rsidR="002334DD" w:rsidRPr="00BC4111" w:rsidRDefault="002334DD" w:rsidP="003355E1">
            <w:pPr>
              <w:widowControl w:val="0"/>
              <w:autoSpaceDE w:val="0"/>
              <w:autoSpaceDN w:val="0"/>
              <w:adjustRightInd w:val="0"/>
            </w:pPr>
            <w:r w:rsidRPr="00BC4111">
              <w:t>8.271</w:t>
            </w:r>
          </w:p>
        </w:tc>
        <w:tc>
          <w:tcPr>
            <w:tcW w:w="137" w:type="pct"/>
            <w:tcBorders>
              <w:top w:val="nil"/>
              <w:left w:val="nil"/>
              <w:bottom w:val="nil"/>
              <w:right w:val="nil"/>
            </w:tcBorders>
          </w:tcPr>
          <w:p w14:paraId="729DE1C9"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2DEBD28F"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4AF97936" w14:textId="77777777" w:rsidR="002334DD" w:rsidRPr="00BC4111" w:rsidRDefault="002334DD" w:rsidP="003355E1">
            <w:pPr>
              <w:widowControl w:val="0"/>
              <w:autoSpaceDE w:val="0"/>
              <w:autoSpaceDN w:val="0"/>
              <w:adjustRightInd w:val="0"/>
            </w:pPr>
            <w:r w:rsidRPr="00BC4111">
              <w:t>8.063</w:t>
            </w:r>
          </w:p>
        </w:tc>
        <w:tc>
          <w:tcPr>
            <w:tcW w:w="974" w:type="pct"/>
            <w:tcBorders>
              <w:top w:val="nil"/>
              <w:left w:val="nil"/>
              <w:bottom w:val="nil"/>
              <w:right w:val="nil"/>
            </w:tcBorders>
          </w:tcPr>
          <w:p w14:paraId="5FABEE79" w14:textId="77777777" w:rsidR="002334DD" w:rsidRPr="00BC4111" w:rsidRDefault="002334DD" w:rsidP="003355E1">
            <w:pPr>
              <w:widowControl w:val="0"/>
              <w:autoSpaceDE w:val="0"/>
              <w:autoSpaceDN w:val="0"/>
              <w:adjustRightInd w:val="0"/>
              <w:jc w:val="center"/>
            </w:pPr>
            <w:r w:rsidRPr="00BC4111">
              <w:t>-0.208</w:t>
            </w:r>
          </w:p>
        </w:tc>
      </w:tr>
      <w:tr w:rsidR="002334DD" w:rsidRPr="00BC4111" w14:paraId="3E88CAAD" w14:textId="77777777" w:rsidTr="003355E1">
        <w:tc>
          <w:tcPr>
            <w:tcW w:w="2090" w:type="pct"/>
            <w:tcBorders>
              <w:top w:val="nil"/>
              <w:left w:val="nil"/>
              <w:bottom w:val="nil"/>
              <w:right w:val="nil"/>
            </w:tcBorders>
          </w:tcPr>
          <w:p w14:paraId="2EAA220A" w14:textId="77777777" w:rsidR="002334DD" w:rsidRPr="00BC4111" w:rsidRDefault="002334DD" w:rsidP="003355E1">
            <w:pPr>
              <w:widowControl w:val="0"/>
              <w:autoSpaceDE w:val="0"/>
              <w:autoSpaceDN w:val="0"/>
              <w:adjustRightInd w:val="0"/>
            </w:pPr>
            <w:r w:rsidRPr="00BC4111">
              <w:t>Maturity</w:t>
            </w:r>
          </w:p>
        </w:tc>
        <w:tc>
          <w:tcPr>
            <w:tcW w:w="364" w:type="pct"/>
            <w:tcBorders>
              <w:top w:val="nil"/>
              <w:left w:val="nil"/>
              <w:bottom w:val="nil"/>
              <w:right w:val="nil"/>
            </w:tcBorders>
          </w:tcPr>
          <w:p w14:paraId="4FE8A995"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2BBE8BB4" w14:textId="77777777" w:rsidR="002334DD" w:rsidRPr="00BC4111" w:rsidRDefault="002334DD" w:rsidP="003355E1">
            <w:pPr>
              <w:widowControl w:val="0"/>
              <w:autoSpaceDE w:val="0"/>
              <w:autoSpaceDN w:val="0"/>
              <w:adjustRightInd w:val="0"/>
            </w:pPr>
            <w:r w:rsidRPr="00BC4111">
              <w:t>9.326</w:t>
            </w:r>
          </w:p>
        </w:tc>
        <w:tc>
          <w:tcPr>
            <w:tcW w:w="137" w:type="pct"/>
            <w:tcBorders>
              <w:top w:val="nil"/>
              <w:left w:val="nil"/>
              <w:bottom w:val="nil"/>
              <w:right w:val="nil"/>
            </w:tcBorders>
          </w:tcPr>
          <w:p w14:paraId="4802324F"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1750EA33"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163576C7" w14:textId="77777777" w:rsidR="002334DD" w:rsidRPr="00BC4111" w:rsidRDefault="002334DD" w:rsidP="003355E1">
            <w:pPr>
              <w:widowControl w:val="0"/>
              <w:autoSpaceDE w:val="0"/>
              <w:autoSpaceDN w:val="0"/>
              <w:adjustRightInd w:val="0"/>
            </w:pPr>
            <w:r w:rsidRPr="00BC4111">
              <w:t>8.237</w:t>
            </w:r>
          </w:p>
        </w:tc>
        <w:tc>
          <w:tcPr>
            <w:tcW w:w="974" w:type="pct"/>
            <w:tcBorders>
              <w:top w:val="nil"/>
              <w:left w:val="nil"/>
              <w:bottom w:val="nil"/>
              <w:right w:val="nil"/>
            </w:tcBorders>
          </w:tcPr>
          <w:p w14:paraId="1C1A7860" w14:textId="77777777" w:rsidR="002334DD" w:rsidRPr="00BC4111" w:rsidRDefault="002334DD" w:rsidP="003355E1">
            <w:pPr>
              <w:widowControl w:val="0"/>
              <w:autoSpaceDE w:val="0"/>
              <w:autoSpaceDN w:val="0"/>
              <w:adjustRightInd w:val="0"/>
              <w:jc w:val="center"/>
            </w:pPr>
            <w:r w:rsidRPr="00BC4111">
              <w:t>-1.089**</w:t>
            </w:r>
          </w:p>
        </w:tc>
      </w:tr>
      <w:tr w:rsidR="002334DD" w:rsidRPr="00BC4111" w14:paraId="0615D8DC" w14:textId="77777777" w:rsidTr="003355E1">
        <w:tc>
          <w:tcPr>
            <w:tcW w:w="2090" w:type="pct"/>
            <w:tcBorders>
              <w:top w:val="nil"/>
              <w:left w:val="nil"/>
              <w:bottom w:val="nil"/>
              <w:right w:val="nil"/>
            </w:tcBorders>
          </w:tcPr>
          <w:p w14:paraId="20D4137C" w14:textId="77777777" w:rsidR="002334DD" w:rsidRPr="00BC4111" w:rsidRDefault="002334DD" w:rsidP="003355E1">
            <w:pPr>
              <w:widowControl w:val="0"/>
              <w:autoSpaceDE w:val="0"/>
              <w:autoSpaceDN w:val="0"/>
              <w:adjustRightInd w:val="0"/>
            </w:pPr>
            <w:r w:rsidRPr="00BC4111">
              <w:t>Tranche size (</w:t>
            </w:r>
            <w:r>
              <w:t>€</w:t>
            </w:r>
            <w:r w:rsidRPr="00BC4111">
              <w:t>m)</w:t>
            </w:r>
          </w:p>
        </w:tc>
        <w:tc>
          <w:tcPr>
            <w:tcW w:w="364" w:type="pct"/>
            <w:tcBorders>
              <w:top w:val="nil"/>
              <w:left w:val="nil"/>
              <w:bottom w:val="nil"/>
              <w:right w:val="nil"/>
            </w:tcBorders>
          </w:tcPr>
          <w:p w14:paraId="02FC3E36"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nil"/>
              <w:right w:val="nil"/>
            </w:tcBorders>
          </w:tcPr>
          <w:p w14:paraId="21EB6001" w14:textId="77777777" w:rsidR="002334DD" w:rsidRPr="00BC4111" w:rsidRDefault="002334DD" w:rsidP="003355E1">
            <w:pPr>
              <w:widowControl w:val="0"/>
              <w:autoSpaceDE w:val="0"/>
              <w:autoSpaceDN w:val="0"/>
              <w:adjustRightInd w:val="0"/>
            </w:pPr>
            <w:r w:rsidRPr="00BC4111">
              <w:t>676.948</w:t>
            </w:r>
          </w:p>
        </w:tc>
        <w:tc>
          <w:tcPr>
            <w:tcW w:w="137" w:type="pct"/>
            <w:tcBorders>
              <w:top w:val="nil"/>
              <w:left w:val="nil"/>
              <w:bottom w:val="nil"/>
              <w:right w:val="nil"/>
            </w:tcBorders>
          </w:tcPr>
          <w:p w14:paraId="5DCEDDA8" w14:textId="77777777" w:rsidR="002334DD" w:rsidRPr="00BC4111" w:rsidRDefault="002334DD" w:rsidP="003355E1">
            <w:pPr>
              <w:widowControl w:val="0"/>
              <w:autoSpaceDE w:val="0"/>
              <w:autoSpaceDN w:val="0"/>
              <w:adjustRightInd w:val="0"/>
            </w:pPr>
          </w:p>
        </w:tc>
        <w:tc>
          <w:tcPr>
            <w:tcW w:w="364" w:type="pct"/>
            <w:tcBorders>
              <w:top w:val="nil"/>
              <w:left w:val="nil"/>
              <w:bottom w:val="nil"/>
              <w:right w:val="nil"/>
            </w:tcBorders>
          </w:tcPr>
          <w:p w14:paraId="641A57F6"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nil"/>
              <w:right w:val="nil"/>
            </w:tcBorders>
          </w:tcPr>
          <w:p w14:paraId="61AD61B7" w14:textId="77777777" w:rsidR="002334DD" w:rsidRPr="00BC4111" w:rsidRDefault="002334DD" w:rsidP="003355E1">
            <w:pPr>
              <w:widowControl w:val="0"/>
              <w:autoSpaceDE w:val="0"/>
              <w:autoSpaceDN w:val="0"/>
              <w:adjustRightInd w:val="0"/>
            </w:pPr>
            <w:r w:rsidRPr="00BC4111">
              <w:t>817.407</w:t>
            </w:r>
          </w:p>
        </w:tc>
        <w:tc>
          <w:tcPr>
            <w:tcW w:w="974" w:type="pct"/>
            <w:tcBorders>
              <w:top w:val="nil"/>
              <w:left w:val="nil"/>
              <w:bottom w:val="nil"/>
              <w:right w:val="nil"/>
            </w:tcBorders>
          </w:tcPr>
          <w:p w14:paraId="538A9228" w14:textId="77777777" w:rsidR="002334DD" w:rsidRPr="00BC4111" w:rsidRDefault="002334DD" w:rsidP="003355E1">
            <w:pPr>
              <w:widowControl w:val="0"/>
              <w:autoSpaceDE w:val="0"/>
              <w:autoSpaceDN w:val="0"/>
              <w:adjustRightInd w:val="0"/>
              <w:jc w:val="center"/>
            </w:pPr>
            <w:r w:rsidRPr="00BC4111">
              <w:t>140.459*</w:t>
            </w:r>
          </w:p>
        </w:tc>
      </w:tr>
      <w:tr w:rsidR="002334DD" w:rsidRPr="00BC4111" w14:paraId="4505B3BD" w14:textId="77777777" w:rsidTr="003355E1">
        <w:tc>
          <w:tcPr>
            <w:tcW w:w="2090" w:type="pct"/>
            <w:tcBorders>
              <w:top w:val="nil"/>
              <w:left w:val="nil"/>
              <w:bottom w:val="single" w:sz="4" w:space="0" w:color="auto"/>
              <w:right w:val="nil"/>
            </w:tcBorders>
          </w:tcPr>
          <w:p w14:paraId="0F2D189C" w14:textId="77777777" w:rsidR="002334DD" w:rsidRPr="00BC4111" w:rsidRDefault="002334DD" w:rsidP="003355E1">
            <w:pPr>
              <w:widowControl w:val="0"/>
              <w:autoSpaceDE w:val="0"/>
              <w:autoSpaceDN w:val="0"/>
              <w:adjustRightInd w:val="0"/>
            </w:pPr>
            <w:r w:rsidRPr="00BC4111">
              <w:t>Multi-tranche</w:t>
            </w:r>
          </w:p>
        </w:tc>
        <w:tc>
          <w:tcPr>
            <w:tcW w:w="364" w:type="pct"/>
            <w:tcBorders>
              <w:top w:val="nil"/>
              <w:left w:val="nil"/>
              <w:bottom w:val="single" w:sz="4" w:space="0" w:color="auto"/>
              <w:right w:val="nil"/>
            </w:tcBorders>
          </w:tcPr>
          <w:p w14:paraId="5015E459" w14:textId="77777777" w:rsidR="002334DD" w:rsidRPr="00BC4111" w:rsidRDefault="002334DD" w:rsidP="003355E1">
            <w:pPr>
              <w:widowControl w:val="0"/>
              <w:autoSpaceDE w:val="0"/>
              <w:autoSpaceDN w:val="0"/>
              <w:adjustRightInd w:val="0"/>
            </w:pPr>
            <w:r w:rsidRPr="00BC4111">
              <w:t>254</w:t>
            </w:r>
          </w:p>
        </w:tc>
        <w:tc>
          <w:tcPr>
            <w:tcW w:w="535" w:type="pct"/>
            <w:tcBorders>
              <w:top w:val="nil"/>
              <w:left w:val="nil"/>
              <w:bottom w:val="single" w:sz="4" w:space="0" w:color="auto"/>
              <w:right w:val="nil"/>
            </w:tcBorders>
          </w:tcPr>
          <w:p w14:paraId="72E615B4" w14:textId="77777777" w:rsidR="002334DD" w:rsidRPr="00BC4111" w:rsidRDefault="002334DD" w:rsidP="003355E1">
            <w:pPr>
              <w:widowControl w:val="0"/>
              <w:autoSpaceDE w:val="0"/>
              <w:autoSpaceDN w:val="0"/>
              <w:adjustRightInd w:val="0"/>
            </w:pPr>
            <w:r w:rsidRPr="00BC4111">
              <w:t>0.637</w:t>
            </w:r>
          </w:p>
        </w:tc>
        <w:tc>
          <w:tcPr>
            <w:tcW w:w="137" w:type="pct"/>
            <w:tcBorders>
              <w:top w:val="nil"/>
              <w:left w:val="nil"/>
              <w:bottom w:val="single" w:sz="4" w:space="0" w:color="auto"/>
              <w:right w:val="nil"/>
            </w:tcBorders>
          </w:tcPr>
          <w:p w14:paraId="7FDB7F64" w14:textId="77777777" w:rsidR="002334DD" w:rsidRPr="00BC4111" w:rsidRDefault="002334DD" w:rsidP="003355E1">
            <w:pPr>
              <w:widowControl w:val="0"/>
              <w:autoSpaceDE w:val="0"/>
              <w:autoSpaceDN w:val="0"/>
              <w:adjustRightInd w:val="0"/>
            </w:pPr>
          </w:p>
        </w:tc>
        <w:tc>
          <w:tcPr>
            <w:tcW w:w="364" w:type="pct"/>
            <w:tcBorders>
              <w:top w:val="nil"/>
              <w:left w:val="nil"/>
              <w:bottom w:val="single" w:sz="4" w:space="0" w:color="auto"/>
              <w:right w:val="nil"/>
            </w:tcBorders>
          </w:tcPr>
          <w:p w14:paraId="22B319D7" w14:textId="77777777" w:rsidR="002334DD" w:rsidRPr="00BC4111" w:rsidRDefault="002334DD" w:rsidP="003355E1">
            <w:pPr>
              <w:widowControl w:val="0"/>
              <w:autoSpaceDE w:val="0"/>
              <w:autoSpaceDN w:val="0"/>
              <w:adjustRightInd w:val="0"/>
            </w:pPr>
            <w:r w:rsidRPr="00BC4111">
              <w:t>328</w:t>
            </w:r>
          </w:p>
        </w:tc>
        <w:tc>
          <w:tcPr>
            <w:tcW w:w="535" w:type="pct"/>
            <w:tcBorders>
              <w:top w:val="nil"/>
              <w:left w:val="nil"/>
              <w:bottom w:val="single" w:sz="4" w:space="0" w:color="auto"/>
              <w:right w:val="nil"/>
            </w:tcBorders>
          </w:tcPr>
          <w:p w14:paraId="4BF2FFFB" w14:textId="77777777" w:rsidR="002334DD" w:rsidRPr="00BC4111" w:rsidRDefault="002334DD" w:rsidP="003355E1">
            <w:pPr>
              <w:widowControl w:val="0"/>
              <w:autoSpaceDE w:val="0"/>
              <w:autoSpaceDN w:val="0"/>
              <w:adjustRightInd w:val="0"/>
            </w:pPr>
            <w:r w:rsidRPr="00BC4111">
              <w:t>0.587</w:t>
            </w:r>
          </w:p>
        </w:tc>
        <w:tc>
          <w:tcPr>
            <w:tcW w:w="974" w:type="pct"/>
            <w:tcBorders>
              <w:top w:val="nil"/>
              <w:left w:val="nil"/>
              <w:bottom w:val="single" w:sz="4" w:space="0" w:color="auto"/>
              <w:right w:val="nil"/>
            </w:tcBorders>
          </w:tcPr>
          <w:p w14:paraId="445326D6" w14:textId="77777777" w:rsidR="002334DD" w:rsidRPr="00BC4111" w:rsidRDefault="002334DD" w:rsidP="003355E1">
            <w:pPr>
              <w:widowControl w:val="0"/>
              <w:autoSpaceDE w:val="0"/>
              <w:autoSpaceDN w:val="0"/>
              <w:adjustRightInd w:val="0"/>
              <w:jc w:val="center"/>
            </w:pPr>
            <w:r w:rsidRPr="00BC4111">
              <w:t>-0.050</w:t>
            </w:r>
          </w:p>
        </w:tc>
      </w:tr>
    </w:tbl>
    <w:p w14:paraId="06CD24E4" w14:textId="77777777" w:rsidR="002334DD" w:rsidRPr="00BC4111" w:rsidRDefault="002334DD" w:rsidP="002334DD">
      <w:pPr>
        <w:rPr>
          <w:b/>
          <w:bCs/>
          <w:i/>
          <w:iCs/>
        </w:rPr>
      </w:pPr>
    </w:p>
    <w:p w14:paraId="070D0065" w14:textId="77777777" w:rsidR="002334DD" w:rsidRDefault="002334DD" w:rsidP="002334DD">
      <w:pPr>
        <w:rPr>
          <w:b/>
          <w:bCs/>
          <w:i/>
          <w:iCs/>
        </w:rPr>
      </w:pPr>
    </w:p>
    <w:p w14:paraId="4EC4FBD1" w14:textId="77777777" w:rsidR="00DE4E71" w:rsidRDefault="00DE4E71">
      <w:pPr>
        <w:rPr>
          <w:b/>
          <w:bCs/>
          <w:i/>
          <w:iCs/>
        </w:rPr>
      </w:pPr>
      <w:r>
        <w:rPr>
          <w:b/>
          <w:bCs/>
          <w:i/>
          <w:iCs/>
        </w:rPr>
        <w:br w:type="page"/>
      </w:r>
    </w:p>
    <w:p w14:paraId="0FD2A9BD" w14:textId="41884FC4" w:rsidR="00F14EF8" w:rsidRDefault="00F14EF8" w:rsidP="002334DD">
      <w:pPr>
        <w:rPr>
          <w:b/>
          <w:bCs/>
          <w:i/>
          <w:iCs/>
        </w:rPr>
      </w:pPr>
      <w:r w:rsidRPr="00BC4111">
        <w:rPr>
          <w:b/>
          <w:bCs/>
          <w:i/>
          <w:iCs/>
        </w:rPr>
        <w:lastRenderedPageBreak/>
        <w:t xml:space="preserve">Appendix B </w:t>
      </w:r>
      <w:r>
        <w:rPr>
          <w:b/>
          <w:bCs/>
          <w:i/>
          <w:iCs/>
        </w:rPr>
        <w:t>(cont’d)</w:t>
      </w:r>
    </w:p>
    <w:p w14:paraId="18D4D3B2" w14:textId="59716614" w:rsidR="002334DD" w:rsidRPr="00BC4111" w:rsidRDefault="002334DD" w:rsidP="002334DD">
      <w:pPr>
        <w:rPr>
          <w:i/>
          <w:iCs/>
        </w:rPr>
      </w:pPr>
      <w:r w:rsidRPr="00BC4111">
        <w:rPr>
          <w:b/>
          <w:bCs/>
          <w:i/>
          <w:iCs/>
        </w:rPr>
        <w:t xml:space="preserve">Panel B: </w:t>
      </w:r>
      <w:r w:rsidRPr="00BC4111">
        <w:rPr>
          <w:i/>
          <w:iCs/>
        </w:rPr>
        <w:t xml:space="preserve">Impact of bookrunner geography on at-issue credit spread surrounding </w:t>
      </w:r>
      <w:r w:rsidR="00F14EF8">
        <w:rPr>
          <w:i/>
          <w:iCs/>
        </w:rPr>
        <w:t>Covid-19 pandemic</w:t>
      </w:r>
    </w:p>
    <w:p w14:paraId="37CA2590" w14:textId="77777777" w:rsidR="002334DD" w:rsidRPr="00BC4111" w:rsidRDefault="002334DD" w:rsidP="002334DD">
      <w:pPr>
        <w:rPr>
          <w:i/>
          <w:iCs/>
        </w:rPr>
      </w:pPr>
    </w:p>
    <w:p w14:paraId="610FCD3E" w14:textId="6CA948C7" w:rsidR="002334DD" w:rsidRPr="00BC4111" w:rsidRDefault="002334DD" w:rsidP="002334DD">
      <w:pPr>
        <w:jc w:val="both"/>
        <w:rPr>
          <w:sz w:val="18"/>
          <w:szCs w:val="18"/>
        </w:rPr>
      </w:pPr>
      <w:r w:rsidRPr="00BC4111">
        <w:rPr>
          <w:sz w:val="18"/>
          <w:szCs w:val="18"/>
        </w:rPr>
        <w:t>The table reports second stage regression for instrumental variable two-stage least squares (IV-2SLS) regressions</w:t>
      </w:r>
      <w:r w:rsidRPr="00BC4111" w:rsidDel="00125C74">
        <w:rPr>
          <w:sz w:val="18"/>
          <w:szCs w:val="18"/>
        </w:rPr>
        <w:t xml:space="preserve"> </w:t>
      </w:r>
      <w:r w:rsidRPr="00BC4111">
        <w:rPr>
          <w:sz w:val="18"/>
          <w:szCs w:val="18"/>
        </w:rPr>
        <w:t xml:space="preserve">predicting the at-issue credit spread of </w:t>
      </w:r>
      <w:r>
        <w:rPr>
          <w:sz w:val="18"/>
          <w:szCs w:val="18"/>
        </w:rPr>
        <w:t>582</w:t>
      </w:r>
      <w:r w:rsidRPr="00BC4111">
        <w:rPr>
          <w:sz w:val="18"/>
          <w:szCs w:val="18"/>
        </w:rPr>
        <w:t xml:space="preserve"> euro-denominated public bond tranches issued by Western European firms during </w:t>
      </w:r>
      <w:r w:rsidR="00F14EF8">
        <w:rPr>
          <w:sz w:val="18"/>
          <w:szCs w:val="18"/>
        </w:rPr>
        <w:t>C</w:t>
      </w:r>
      <w:r>
        <w:rPr>
          <w:sz w:val="18"/>
          <w:szCs w:val="18"/>
        </w:rPr>
        <w:t>ovid</w:t>
      </w:r>
      <w:r w:rsidR="00F14EF8">
        <w:rPr>
          <w:sz w:val="18"/>
          <w:szCs w:val="18"/>
        </w:rPr>
        <w:t>-</w:t>
      </w:r>
      <w:r>
        <w:rPr>
          <w:sz w:val="18"/>
          <w:szCs w:val="18"/>
        </w:rPr>
        <w:t>19 pandemic</w:t>
      </w:r>
      <w:r w:rsidRPr="00BC4111">
        <w:rPr>
          <w:sz w:val="18"/>
          <w:szCs w:val="18"/>
        </w:rPr>
        <w:t xml:space="preserve">. Unreported first stage selection models examine the determinants of bookrunner syndicate structure. Second stage outcome regressions examine the determinants of at-issue credit spreads against predicted bookrunner characteristics from the first stage selection model. </w:t>
      </w:r>
      <w:r>
        <w:rPr>
          <w:sz w:val="18"/>
          <w:szCs w:val="18"/>
        </w:rPr>
        <w:t>Covid19</w:t>
      </w:r>
      <w:r w:rsidRPr="00BC4111">
        <w:rPr>
          <w:sz w:val="18"/>
          <w:szCs w:val="18"/>
        </w:rPr>
        <w:t xml:space="preserve"> is a dummy variable that takes value of 1 for </w:t>
      </w:r>
      <w:r>
        <w:rPr>
          <w:sz w:val="18"/>
          <w:szCs w:val="18"/>
        </w:rPr>
        <w:t>pre-</w:t>
      </w:r>
      <w:r w:rsidR="00F14EF8">
        <w:rPr>
          <w:sz w:val="18"/>
          <w:szCs w:val="18"/>
        </w:rPr>
        <w:t>C</w:t>
      </w:r>
      <w:r>
        <w:rPr>
          <w:sz w:val="18"/>
          <w:szCs w:val="18"/>
        </w:rPr>
        <w:t>ovid</w:t>
      </w:r>
      <w:r w:rsidR="00F14EF8">
        <w:rPr>
          <w:sz w:val="18"/>
          <w:szCs w:val="18"/>
        </w:rPr>
        <w:t>-</w:t>
      </w:r>
      <w:r>
        <w:rPr>
          <w:sz w:val="18"/>
          <w:szCs w:val="18"/>
        </w:rPr>
        <w:t xml:space="preserve">19 </w:t>
      </w:r>
      <w:r w:rsidRPr="00BC4111">
        <w:rPr>
          <w:sz w:val="18"/>
          <w:szCs w:val="18"/>
        </w:rPr>
        <w:t xml:space="preserve">periods between January 2019 – January 2020 and 0 </w:t>
      </w:r>
      <w:r>
        <w:rPr>
          <w:sz w:val="18"/>
          <w:szCs w:val="18"/>
        </w:rPr>
        <w:t>for post-</w:t>
      </w:r>
      <w:r w:rsidR="00F14EF8">
        <w:rPr>
          <w:sz w:val="18"/>
          <w:szCs w:val="18"/>
        </w:rPr>
        <w:t>C</w:t>
      </w:r>
      <w:r>
        <w:rPr>
          <w:sz w:val="18"/>
          <w:szCs w:val="18"/>
        </w:rPr>
        <w:t>ovid</w:t>
      </w:r>
      <w:r w:rsidR="00F14EF8">
        <w:rPr>
          <w:sz w:val="18"/>
          <w:szCs w:val="18"/>
        </w:rPr>
        <w:t>-</w:t>
      </w:r>
      <w:r>
        <w:rPr>
          <w:sz w:val="18"/>
          <w:szCs w:val="18"/>
        </w:rPr>
        <w:t xml:space="preserve">19 periods between February 2020 – December 2020. </w:t>
      </w:r>
      <w:r w:rsidRPr="00BC4111">
        <w:rPr>
          <w:sz w:val="18"/>
          <w:szCs w:val="18"/>
        </w:rPr>
        <w:t>All variables are defined in Table 1. Standard errors clustered at the firm level are reported in parenthesis. ***, **, and * denote significance at the 1%, 5%, and 10% levels respectively.</w:t>
      </w:r>
    </w:p>
    <w:p w14:paraId="3641ABC0" w14:textId="77777777" w:rsidR="002334DD" w:rsidRPr="00BC4111" w:rsidRDefault="002334DD" w:rsidP="002334DD">
      <w:pPr>
        <w:widowControl w:val="0"/>
        <w:autoSpaceDE w:val="0"/>
        <w:autoSpaceDN w:val="0"/>
        <w:adjustRightInd w:val="0"/>
        <w:jc w:val="center"/>
      </w:pPr>
    </w:p>
    <w:tbl>
      <w:tblPr>
        <w:tblW w:w="5000" w:type="pct"/>
        <w:jc w:val="center"/>
        <w:tblCellMar>
          <w:left w:w="75" w:type="dxa"/>
          <w:right w:w="75" w:type="dxa"/>
        </w:tblCellMar>
        <w:tblLook w:val="0000" w:firstRow="0" w:lastRow="0" w:firstColumn="0" w:lastColumn="0" w:noHBand="0" w:noVBand="0"/>
      </w:tblPr>
      <w:tblGrid>
        <w:gridCol w:w="4979"/>
        <w:gridCol w:w="1550"/>
        <w:gridCol w:w="1382"/>
        <w:gridCol w:w="1451"/>
      </w:tblGrid>
      <w:tr w:rsidR="002334DD" w:rsidRPr="00BC4111" w14:paraId="26931E24" w14:textId="77777777" w:rsidTr="003355E1">
        <w:trPr>
          <w:jc w:val="center"/>
        </w:trPr>
        <w:tc>
          <w:tcPr>
            <w:tcW w:w="2659" w:type="pct"/>
            <w:tcBorders>
              <w:top w:val="single" w:sz="6" w:space="0" w:color="auto"/>
              <w:left w:val="nil"/>
              <w:bottom w:val="nil"/>
              <w:right w:val="nil"/>
            </w:tcBorders>
          </w:tcPr>
          <w:p w14:paraId="1066B1A1" w14:textId="77777777" w:rsidR="002334DD" w:rsidRPr="00BC4111" w:rsidRDefault="002334DD" w:rsidP="003355E1">
            <w:pPr>
              <w:widowControl w:val="0"/>
              <w:autoSpaceDE w:val="0"/>
              <w:autoSpaceDN w:val="0"/>
              <w:adjustRightInd w:val="0"/>
              <w:rPr>
                <w:sz w:val="20"/>
                <w:szCs w:val="20"/>
              </w:rPr>
            </w:pPr>
          </w:p>
        </w:tc>
        <w:tc>
          <w:tcPr>
            <w:tcW w:w="828" w:type="pct"/>
            <w:tcBorders>
              <w:top w:val="single" w:sz="6" w:space="0" w:color="auto"/>
              <w:left w:val="nil"/>
              <w:bottom w:val="nil"/>
              <w:right w:val="nil"/>
            </w:tcBorders>
          </w:tcPr>
          <w:p w14:paraId="4EB92EE6" w14:textId="77777777" w:rsidR="002334DD" w:rsidRPr="00BC4111" w:rsidRDefault="002334DD" w:rsidP="003355E1">
            <w:pPr>
              <w:widowControl w:val="0"/>
              <w:autoSpaceDE w:val="0"/>
              <w:autoSpaceDN w:val="0"/>
              <w:adjustRightInd w:val="0"/>
              <w:jc w:val="center"/>
              <w:rPr>
                <w:sz w:val="20"/>
                <w:szCs w:val="20"/>
              </w:rPr>
            </w:pPr>
            <w:r>
              <w:rPr>
                <w:sz w:val="20"/>
                <w:szCs w:val="20"/>
              </w:rPr>
              <w:t>Model 1</w:t>
            </w:r>
          </w:p>
        </w:tc>
        <w:tc>
          <w:tcPr>
            <w:tcW w:w="738" w:type="pct"/>
            <w:tcBorders>
              <w:top w:val="single" w:sz="6" w:space="0" w:color="auto"/>
              <w:left w:val="nil"/>
              <w:bottom w:val="nil"/>
              <w:right w:val="nil"/>
            </w:tcBorders>
          </w:tcPr>
          <w:p w14:paraId="31491D59" w14:textId="77777777" w:rsidR="002334DD" w:rsidRPr="00BC4111" w:rsidRDefault="002334DD" w:rsidP="003355E1">
            <w:pPr>
              <w:widowControl w:val="0"/>
              <w:autoSpaceDE w:val="0"/>
              <w:autoSpaceDN w:val="0"/>
              <w:adjustRightInd w:val="0"/>
              <w:jc w:val="center"/>
              <w:rPr>
                <w:sz w:val="20"/>
                <w:szCs w:val="20"/>
              </w:rPr>
            </w:pPr>
            <w:r>
              <w:rPr>
                <w:sz w:val="20"/>
                <w:szCs w:val="20"/>
              </w:rPr>
              <w:t>Model 2</w:t>
            </w:r>
          </w:p>
        </w:tc>
        <w:tc>
          <w:tcPr>
            <w:tcW w:w="775" w:type="pct"/>
            <w:tcBorders>
              <w:top w:val="single" w:sz="6" w:space="0" w:color="auto"/>
              <w:left w:val="nil"/>
              <w:bottom w:val="nil"/>
              <w:right w:val="nil"/>
            </w:tcBorders>
          </w:tcPr>
          <w:p w14:paraId="5CF7B978" w14:textId="77777777" w:rsidR="002334DD" w:rsidRPr="00BC4111" w:rsidRDefault="002334DD" w:rsidP="003355E1">
            <w:pPr>
              <w:widowControl w:val="0"/>
              <w:autoSpaceDE w:val="0"/>
              <w:autoSpaceDN w:val="0"/>
              <w:adjustRightInd w:val="0"/>
              <w:jc w:val="center"/>
              <w:rPr>
                <w:sz w:val="20"/>
                <w:szCs w:val="20"/>
              </w:rPr>
            </w:pPr>
            <w:r>
              <w:rPr>
                <w:sz w:val="20"/>
                <w:szCs w:val="20"/>
              </w:rPr>
              <w:t>Model 3</w:t>
            </w:r>
          </w:p>
        </w:tc>
      </w:tr>
      <w:tr w:rsidR="002334DD" w:rsidRPr="00BC4111" w14:paraId="28EC0F9A" w14:textId="77777777" w:rsidTr="003355E1">
        <w:trPr>
          <w:jc w:val="center"/>
        </w:trPr>
        <w:tc>
          <w:tcPr>
            <w:tcW w:w="2659" w:type="pct"/>
            <w:tcBorders>
              <w:top w:val="nil"/>
              <w:left w:val="nil"/>
              <w:bottom w:val="single" w:sz="6" w:space="0" w:color="auto"/>
              <w:right w:val="nil"/>
            </w:tcBorders>
          </w:tcPr>
          <w:p w14:paraId="74F813FB"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single" w:sz="6" w:space="0" w:color="auto"/>
              <w:right w:val="nil"/>
            </w:tcBorders>
          </w:tcPr>
          <w:p w14:paraId="6C237A45" w14:textId="77777777" w:rsidR="002334DD" w:rsidRDefault="002334DD" w:rsidP="003355E1">
            <w:pPr>
              <w:widowControl w:val="0"/>
              <w:autoSpaceDE w:val="0"/>
              <w:autoSpaceDN w:val="0"/>
              <w:adjustRightInd w:val="0"/>
              <w:jc w:val="center"/>
              <w:rPr>
                <w:sz w:val="20"/>
                <w:szCs w:val="20"/>
              </w:rPr>
            </w:pPr>
            <w:r>
              <w:rPr>
                <w:sz w:val="20"/>
                <w:szCs w:val="20"/>
              </w:rPr>
              <w:t xml:space="preserve">Covid19 </w:t>
            </w:r>
          </w:p>
          <w:p w14:paraId="28168D19" w14:textId="77777777" w:rsidR="002334DD" w:rsidRPr="00BC4111" w:rsidRDefault="002334DD" w:rsidP="003355E1">
            <w:pPr>
              <w:widowControl w:val="0"/>
              <w:autoSpaceDE w:val="0"/>
              <w:autoSpaceDN w:val="0"/>
              <w:adjustRightInd w:val="0"/>
              <w:jc w:val="center"/>
              <w:rPr>
                <w:sz w:val="20"/>
                <w:szCs w:val="20"/>
              </w:rPr>
            </w:pPr>
            <w:r>
              <w:rPr>
                <w:sz w:val="20"/>
                <w:szCs w:val="20"/>
              </w:rPr>
              <w:t>pandemic period</w:t>
            </w:r>
          </w:p>
        </w:tc>
        <w:tc>
          <w:tcPr>
            <w:tcW w:w="738" w:type="pct"/>
            <w:tcBorders>
              <w:top w:val="nil"/>
              <w:left w:val="nil"/>
              <w:bottom w:val="single" w:sz="6" w:space="0" w:color="auto"/>
              <w:right w:val="nil"/>
            </w:tcBorders>
          </w:tcPr>
          <w:p w14:paraId="042FBE72"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Pre-</w:t>
            </w:r>
            <w:r>
              <w:rPr>
                <w:sz w:val="20"/>
                <w:szCs w:val="20"/>
              </w:rPr>
              <w:t>c</w:t>
            </w:r>
            <w:r w:rsidRPr="00BC4111">
              <w:rPr>
                <w:sz w:val="20"/>
                <w:szCs w:val="20"/>
              </w:rPr>
              <w:t>ovid</w:t>
            </w:r>
            <w:r>
              <w:rPr>
                <w:sz w:val="20"/>
                <w:szCs w:val="20"/>
              </w:rPr>
              <w:t>19</w:t>
            </w:r>
          </w:p>
        </w:tc>
        <w:tc>
          <w:tcPr>
            <w:tcW w:w="775" w:type="pct"/>
            <w:tcBorders>
              <w:top w:val="nil"/>
              <w:left w:val="nil"/>
              <w:bottom w:val="single" w:sz="6" w:space="0" w:color="auto"/>
              <w:right w:val="nil"/>
            </w:tcBorders>
          </w:tcPr>
          <w:p w14:paraId="36A9BE0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Post-</w:t>
            </w:r>
            <w:r>
              <w:rPr>
                <w:sz w:val="20"/>
                <w:szCs w:val="20"/>
              </w:rPr>
              <w:t>c</w:t>
            </w:r>
            <w:r w:rsidRPr="00BC4111">
              <w:rPr>
                <w:sz w:val="20"/>
                <w:szCs w:val="20"/>
              </w:rPr>
              <w:t>ovid</w:t>
            </w:r>
            <w:r>
              <w:rPr>
                <w:sz w:val="20"/>
                <w:szCs w:val="20"/>
              </w:rPr>
              <w:t>19</w:t>
            </w:r>
          </w:p>
        </w:tc>
      </w:tr>
      <w:tr w:rsidR="002334DD" w:rsidRPr="00BC4111" w14:paraId="7D2B120D" w14:textId="77777777" w:rsidTr="003355E1">
        <w:trPr>
          <w:jc w:val="center"/>
        </w:trPr>
        <w:tc>
          <w:tcPr>
            <w:tcW w:w="2659" w:type="pct"/>
            <w:tcBorders>
              <w:top w:val="nil"/>
              <w:left w:val="nil"/>
              <w:bottom w:val="nil"/>
              <w:right w:val="nil"/>
            </w:tcBorders>
          </w:tcPr>
          <w:p w14:paraId="031F407F" w14:textId="77777777" w:rsidR="002334DD" w:rsidRPr="00BC4111" w:rsidRDefault="002334DD" w:rsidP="003355E1">
            <w:pPr>
              <w:widowControl w:val="0"/>
              <w:autoSpaceDE w:val="0"/>
              <w:autoSpaceDN w:val="0"/>
              <w:adjustRightInd w:val="0"/>
              <w:rPr>
                <w:sz w:val="20"/>
                <w:szCs w:val="20"/>
              </w:rPr>
            </w:pPr>
            <w:r w:rsidRPr="00BC4111">
              <w:rPr>
                <w:sz w:val="20"/>
                <w:szCs w:val="20"/>
              </w:rPr>
              <w:t>% of Non-Domestic BRs</w:t>
            </w:r>
          </w:p>
        </w:tc>
        <w:tc>
          <w:tcPr>
            <w:tcW w:w="828" w:type="pct"/>
            <w:tcBorders>
              <w:top w:val="nil"/>
              <w:left w:val="nil"/>
              <w:bottom w:val="nil"/>
              <w:right w:val="nil"/>
            </w:tcBorders>
          </w:tcPr>
          <w:p w14:paraId="60F9E86E"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-32.546</w:t>
            </w:r>
          </w:p>
        </w:tc>
        <w:tc>
          <w:tcPr>
            <w:tcW w:w="738" w:type="pct"/>
            <w:tcBorders>
              <w:top w:val="nil"/>
              <w:left w:val="nil"/>
              <w:bottom w:val="nil"/>
              <w:right w:val="nil"/>
            </w:tcBorders>
          </w:tcPr>
          <w:p w14:paraId="6E56A8D0"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8.971</w:t>
            </w:r>
          </w:p>
        </w:tc>
        <w:tc>
          <w:tcPr>
            <w:tcW w:w="775" w:type="pct"/>
            <w:tcBorders>
              <w:top w:val="nil"/>
              <w:left w:val="nil"/>
              <w:bottom w:val="nil"/>
              <w:right w:val="nil"/>
            </w:tcBorders>
          </w:tcPr>
          <w:p w14:paraId="0D97372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-34.223</w:t>
            </w:r>
          </w:p>
        </w:tc>
      </w:tr>
      <w:tr w:rsidR="002334DD" w:rsidRPr="00BC4111" w14:paraId="05FF27C9" w14:textId="77777777" w:rsidTr="003355E1">
        <w:trPr>
          <w:jc w:val="center"/>
        </w:trPr>
        <w:tc>
          <w:tcPr>
            <w:tcW w:w="2659" w:type="pct"/>
            <w:tcBorders>
              <w:top w:val="nil"/>
              <w:left w:val="nil"/>
              <w:bottom w:val="nil"/>
              <w:right w:val="nil"/>
            </w:tcBorders>
          </w:tcPr>
          <w:p w14:paraId="786082D7"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298877B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(155.507)</w:t>
            </w:r>
          </w:p>
        </w:tc>
        <w:tc>
          <w:tcPr>
            <w:tcW w:w="738" w:type="pct"/>
            <w:tcBorders>
              <w:top w:val="nil"/>
              <w:left w:val="nil"/>
              <w:bottom w:val="nil"/>
              <w:right w:val="nil"/>
            </w:tcBorders>
          </w:tcPr>
          <w:p w14:paraId="73650922"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(15.760)</w:t>
            </w:r>
          </w:p>
        </w:tc>
        <w:tc>
          <w:tcPr>
            <w:tcW w:w="775" w:type="pct"/>
            <w:tcBorders>
              <w:top w:val="nil"/>
              <w:left w:val="nil"/>
              <w:bottom w:val="nil"/>
              <w:right w:val="nil"/>
            </w:tcBorders>
          </w:tcPr>
          <w:p w14:paraId="061C47E7"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(288.989)</w:t>
            </w:r>
          </w:p>
        </w:tc>
      </w:tr>
      <w:tr w:rsidR="002334DD" w:rsidRPr="00BC4111" w14:paraId="31C1244A" w14:textId="77777777" w:rsidTr="003355E1">
        <w:trPr>
          <w:jc w:val="center"/>
        </w:trPr>
        <w:tc>
          <w:tcPr>
            <w:tcW w:w="2659" w:type="pct"/>
            <w:tcBorders>
              <w:top w:val="nil"/>
              <w:left w:val="nil"/>
              <w:bottom w:val="nil"/>
              <w:right w:val="nil"/>
            </w:tcBorders>
          </w:tcPr>
          <w:p w14:paraId="28A60CB5" w14:textId="77777777" w:rsidR="002334DD" w:rsidRPr="00BC4111" w:rsidRDefault="002334DD" w:rsidP="003355E1">
            <w:pPr>
              <w:widowControl w:val="0"/>
              <w:autoSpaceDE w:val="0"/>
              <w:autoSpaceDN w:val="0"/>
              <w:adjustRightInd w:val="0"/>
              <w:rPr>
                <w:sz w:val="20"/>
                <w:szCs w:val="20"/>
              </w:rPr>
            </w:pPr>
            <w:r w:rsidRPr="00BC4111">
              <w:rPr>
                <w:sz w:val="20"/>
                <w:szCs w:val="20"/>
              </w:rPr>
              <w:t>Covid19</w:t>
            </w:r>
          </w:p>
        </w:tc>
        <w:tc>
          <w:tcPr>
            <w:tcW w:w="828" w:type="pct"/>
            <w:tcBorders>
              <w:top w:val="nil"/>
              <w:left w:val="nil"/>
              <w:bottom w:val="nil"/>
              <w:right w:val="nil"/>
            </w:tcBorders>
          </w:tcPr>
          <w:p w14:paraId="0542488F"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0.522</w:t>
            </w:r>
          </w:p>
        </w:tc>
        <w:tc>
          <w:tcPr>
            <w:tcW w:w="738" w:type="pct"/>
            <w:tcBorders>
              <w:top w:val="nil"/>
              <w:left w:val="nil"/>
              <w:bottom w:val="nil"/>
              <w:right w:val="nil"/>
            </w:tcBorders>
          </w:tcPr>
          <w:p w14:paraId="5AE65064" w14:textId="77777777" w:rsidR="002334DD" w:rsidRPr="00BC4111" w:rsidRDefault="002334DD" w:rsidP="003355E1">
            <w:pPr>
              <w:widowControl w:val="0"/>
              <w:autoSpaceDE w:val="0"/>
              <w:autoSpaceDN w:val="0"/>
              <w:adjustRightInd w:val="0"/>
              <w:jc w:val="center"/>
              <w:rPr>
                <w:sz w:val="20"/>
                <w:szCs w:val="20"/>
              </w:rPr>
            </w:pPr>
          </w:p>
        </w:tc>
        <w:tc>
          <w:tcPr>
            <w:tcW w:w="775" w:type="pct"/>
            <w:tcBorders>
              <w:top w:val="nil"/>
              <w:left w:val="nil"/>
              <w:bottom w:val="nil"/>
              <w:right w:val="nil"/>
            </w:tcBorders>
          </w:tcPr>
          <w:p w14:paraId="50A7003E" w14:textId="77777777" w:rsidR="002334DD" w:rsidRPr="00BC4111" w:rsidRDefault="002334DD" w:rsidP="003355E1">
            <w:pPr>
              <w:widowControl w:val="0"/>
              <w:autoSpaceDE w:val="0"/>
              <w:autoSpaceDN w:val="0"/>
              <w:adjustRightInd w:val="0"/>
              <w:jc w:val="center"/>
              <w:rPr>
                <w:sz w:val="20"/>
                <w:szCs w:val="20"/>
              </w:rPr>
            </w:pPr>
          </w:p>
        </w:tc>
      </w:tr>
      <w:tr w:rsidR="002334DD" w:rsidRPr="00BC4111" w14:paraId="4FAEBF30" w14:textId="77777777" w:rsidTr="003355E1">
        <w:trPr>
          <w:jc w:val="center"/>
        </w:trPr>
        <w:tc>
          <w:tcPr>
            <w:tcW w:w="2659" w:type="pct"/>
            <w:tcBorders>
              <w:top w:val="nil"/>
              <w:left w:val="nil"/>
              <w:bottom w:val="nil"/>
              <w:right w:val="nil"/>
            </w:tcBorders>
          </w:tcPr>
          <w:p w14:paraId="5999F596"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026F5902"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(0.714)</w:t>
            </w:r>
          </w:p>
        </w:tc>
        <w:tc>
          <w:tcPr>
            <w:tcW w:w="738" w:type="pct"/>
            <w:tcBorders>
              <w:top w:val="nil"/>
              <w:left w:val="nil"/>
              <w:bottom w:val="nil"/>
              <w:right w:val="nil"/>
            </w:tcBorders>
          </w:tcPr>
          <w:p w14:paraId="04B64938" w14:textId="77777777" w:rsidR="002334DD" w:rsidRPr="00BC4111" w:rsidRDefault="002334DD" w:rsidP="003355E1">
            <w:pPr>
              <w:widowControl w:val="0"/>
              <w:autoSpaceDE w:val="0"/>
              <w:autoSpaceDN w:val="0"/>
              <w:adjustRightInd w:val="0"/>
              <w:jc w:val="center"/>
              <w:rPr>
                <w:sz w:val="20"/>
                <w:szCs w:val="20"/>
              </w:rPr>
            </w:pPr>
          </w:p>
        </w:tc>
        <w:tc>
          <w:tcPr>
            <w:tcW w:w="775" w:type="pct"/>
            <w:tcBorders>
              <w:top w:val="nil"/>
              <w:left w:val="nil"/>
              <w:bottom w:val="nil"/>
              <w:right w:val="nil"/>
            </w:tcBorders>
          </w:tcPr>
          <w:p w14:paraId="60239241" w14:textId="77777777" w:rsidR="002334DD" w:rsidRPr="00BC4111" w:rsidRDefault="002334DD" w:rsidP="003355E1">
            <w:pPr>
              <w:widowControl w:val="0"/>
              <w:autoSpaceDE w:val="0"/>
              <w:autoSpaceDN w:val="0"/>
              <w:adjustRightInd w:val="0"/>
              <w:jc w:val="center"/>
              <w:rPr>
                <w:sz w:val="20"/>
                <w:szCs w:val="20"/>
              </w:rPr>
            </w:pPr>
          </w:p>
        </w:tc>
      </w:tr>
      <w:tr w:rsidR="002334DD" w:rsidRPr="00BC4111" w14:paraId="690A30FC" w14:textId="77777777" w:rsidTr="003355E1">
        <w:trPr>
          <w:jc w:val="center"/>
        </w:trPr>
        <w:tc>
          <w:tcPr>
            <w:tcW w:w="2659" w:type="pct"/>
            <w:tcBorders>
              <w:top w:val="nil"/>
              <w:left w:val="nil"/>
              <w:bottom w:val="nil"/>
              <w:right w:val="nil"/>
            </w:tcBorders>
          </w:tcPr>
          <w:p w14:paraId="7DE98174" w14:textId="77777777" w:rsidR="002334DD" w:rsidRPr="00BC4111" w:rsidRDefault="002334DD" w:rsidP="003355E1">
            <w:pPr>
              <w:widowControl w:val="0"/>
              <w:autoSpaceDE w:val="0"/>
              <w:autoSpaceDN w:val="0"/>
              <w:adjustRightInd w:val="0"/>
              <w:rPr>
                <w:sz w:val="20"/>
                <w:szCs w:val="20"/>
              </w:rPr>
            </w:pPr>
            <w:r w:rsidRPr="00BC4111">
              <w:rPr>
                <w:sz w:val="20"/>
                <w:szCs w:val="20"/>
              </w:rPr>
              <w:t>% of BRs prior lender</w:t>
            </w:r>
          </w:p>
        </w:tc>
        <w:tc>
          <w:tcPr>
            <w:tcW w:w="828" w:type="pct"/>
            <w:tcBorders>
              <w:top w:val="nil"/>
              <w:left w:val="nil"/>
              <w:bottom w:val="nil"/>
              <w:right w:val="nil"/>
            </w:tcBorders>
          </w:tcPr>
          <w:p w14:paraId="02184A5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-0.293</w:t>
            </w:r>
          </w:p>
        </w:tc>
        <w:tc>
          <w:tcPr>
            <w:tcW w:w="738" w:type="pct"/>
            <w:tcBorders>
              <w:top w:val="nil"/>
              <w:left w:val="nil"/>
              <w:bottom w:val="nil"/>
              <w:right w:val="nil"/>
            </w:tcBorders>
          </w:tcPr>
          <w:p w14:paraId="78E971C7"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0.191</w:t>
            </w:r>
          </w:p>
        </w:tc>
        <w:tc>
          <w:tcPr>
            <w:tcW w:w="775" w:type="pct"/>
            <w:tcBorders>
              <w:top w:val="nil"/>
              <w:left w:val="nil"/>
              <w:bottom w:val="nil"/>
              <w:right w:val="nil"/>
            </w:tcBorders>
          </w:tcPr>
          <w:p w14:paraId="2EBECEA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-0.950</w:t>
            </w:r>
          </w:p>
        </w:tc>
      </w:tr>
      <w:tr w:rsidR="002334DD" w:rsidRPr="00BC4111" w14:paraId="10D4A815" w14:textId="77777777" w:rsidTr="003355E1">
        <w:trPr>
          <w:jc w:val="center"/>
        </w:trPr>
        <w:tc>
          <w:tcPr>
            <w:tcW w:w="2659" w:type="pct"/>
            <w:tcBorders>
              <w:top w:val="nil"/>
              <w:left w:val="nil"/>
              <w:bottom w:val="nil"/>
              <w:right w:val="nil"/>
            </w:tcBorders>
          </w:tcPr>
          <w:p w14:paraId="4706115B"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4ED4B9C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(1.831)</w:t>
            </w:r>
          </w:p>
        </w:tc>
        <w:tc>
          <w:tcPr>
            <w:tcW w:w="738" w:type="pct"/>
            <w:tcBorders>
              <w:top w:val="nil"/>
              <w:left w:val="nil"/>
              <w:bottom w:val="nil"/>
              <w:right w:val="nil"/>
            </w:tcBorders>
          </w:tcPr>
          <w:p w14:paraId="51E812CF"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(0.487)</w:t>
            </w:r>
          </w:p>
        </w:tc>
        <w:tc>
          <w:tcPr>
            <w:tcW w:w="775" w:type="pct"/>
            <w:tcBorders>
              <w:top w:val="nil"/>
              <w:left w:val="nil"/>
              <w:bottom w:val="nil"/>
              <w:right w:val="nil"/>
            </w:tcBorders>
          </w:tcPr>
          <w:p w14:paraId="4F26714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(7.649)</w:t>
            </w:r>
          </w:p>
        </w:tc>
      </w:tr>
      <w:tr w:rsidR="002334DD" w:rsidRPr="00BC4111" w14:paraId="0907FB37" w14:textId="77777777" w:rsidTr="003355E1">
        <w:trPr>
          <w:jc w:val="center"/>
        </w:trPr>
        <w:tc>
          <w:tcPr>
            <w:tcW w:w="2659" w:type="pct"/>
            <w:tcBorders>
              <w:top w:val="nil"/>
              <w:left w:val="nil"/>
              <w:bottom w:val="nil"/>
              <w:right w:val="nil"/>
            </w:tcBorders>
          </w:tcPr>
          <w:p w14:paraId="4940E7B3" w14:textId="77777777" w:rsidR="002334DD" w:rsidRPr="00BC4111" w:rsidRDefault="002334DD" w:rsidP="003355E1">
            <w:pPr>
              <w:widowControl w:val="0"/>
              <w:autoSpaceDE w:val="0"/>
              <w:autoSpaceDN w:val="0"/>
              <w:adjustRightInd w:val="0"/>
              <w:rPr>
                <w:sz w:val="20"/>
                <w:szCs w:val="20"/>
              </w:rPr>
            </w:pPr>
            <w:r w:rsidRPr="00BC4111">
              <w:rPr>
                <w:sz w:val="20"/>
                <w:szCs w:val="20"/>
              </w:rPr>
              <w:t>Firm Size</w:t>
            </w:r>
          </w:p>
        </w:tc>
        <w:tc>
          <w:tcPr>
            <w:tcW w:w="828" w:type="pct"/>
            <w:tcBorders>
              <w:top w:val="nil"/>
              <w:left w:val="nil"/>
              <w:bottom w:val="nil"/>
              <w:right w:val="nil"/>
            </w:tcBorders>
          </w:tcPr>
          <w:p w14:paraId="5A058F19"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0.817</w:t>
            </w:r>
          </w:p>
        </w:tc>
        <w:tc>
          <w:tcPr>
            <w:tcW w:w="738" w:type="pct"/>
            <w:tcBorders>
              <w:top w:val="nil"/>
              <w:left w:val="nil"/>
              <w:bottom w:val="nil"/>
              <w:right w:val="nil"/>
            </w:tcBorders>
          </w:tcPr>
          <w:p w14:paraId="224FA07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-0.626</w:t>
            </w:r>
          </w:p>
        </w:tc>
        <w:tc>
          <w:tcPr>
            <w:tcW w:w="775" w:type="pct"/>
            <w:tcBorders>
              <w:top w:val="nil"/>
              <w:left w:val="nil"/>
              <w:bottom w:val="nil"/>
              <w:right w:val="nil"/>
            </w:tcBorders>
          </w:tcPr>
          <w:p w14:paraId="63CB4AF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1.112</w:t>
            </w:r>
          </w:p>
        </w:tc>
      </w:tr>
      <w:tr w:rsidR="002334DD" w:rsidRPr="00BC4111" w14:paraId="4F6B90B2" w14:textId="77777777" w:rsidTr="003355E1">
        <w:trPr>
          <w:jc w:val="center"/>
        </w:trPr>
        <w:tc>
          <w:tcPr>
            <w:tcW w:w="2659" w:type="pct"/>
            <w:tcBorders>
              <w:top w:val="nil"/>
              <w:left w:val="nil"/>
              <w:bottom w:val="nil"/>
              <w:right w:val="nil"/>
            </w:tcBorders>
          </w:tcPr>
          <w:p w14:paraId="123D2EC5"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50380179"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(4.111)</w:t>
            </w:r>
          </w:p>
        </w:tc>
        <w:tc>
          <w:tcPr>
            <w:tcW w:w="738" w:type="pct"/>
            <w:tcBorders>
              <w:top w:val="nil"/>
              <w:left w:val="nil"/>
              <w:bottom w:val="nil"/>
              <w:right w:val="nil"/>
            </w:tcBorders>
          </w:tcPr>
          <w:p w14:paraId="0F9D6ADB"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(0.843)</w:t>
            </w:r>
          </w:p>
        </w:tc>
        <w:tc>
          <w:tcPr>
            <w:tcW w:w="775" w:type="pct"/>
            <w:tcBorders>
              <w:top w:val="nil"/>
              <w:left w:val="nil"/>
              <w:bottom w:val="nil"/>
              <w:right w:val="nil"/>
            </w:tcBorders>
          </w:tcPr>
          <w:p w14:paraId="25191C9E"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(9.088)</w:t>
            </w:r>
          </w:p>
        </w:tc>
      </w:tr>
      <w:tr w:rsidR="002334DD" w:rsidRPr="00BC4111" w14:paraId="6C01349B" w14:textId="77777777" w:rsidTr="003355E1">
        <w:trPr>
          <w:jc w:val="center"/>
        </w:trPr>
        <w:tc>
          <w:tcPr>
            <w:tcW w:w="2659" w:type="pct"/>
            <w:tcBorders>
              <w:top w:val="nil"/>
              <w:left w:val="nil"/>
              <w:bottom w:val="nil"/>
              <w:right w:val="nil"/>
            </w:tcBorders>
          </w:tcPr>
          <w:p w14:paraId="6C9AD873" w14:textId="77777777" w:rsidR="002334DD" w:rsidRPr="00BC4111" w:rsidRDefault="002334DD" w:rsidP="003355E1">
            <w:pPr>
              <w:widowControl w:val="0"/>
              <w:autoSpaceDE w:val="0"/>
              <w:autoSpaceDN w:val="0"/>
              <w:adjustRightInd w:val="0"/>
              <w:rPr>
                <w:sz w:val="20"/>
                <w:szCs w:val="20"/>
              </w:rPr>
            </w:pPr>
            <w:r w:rsidRPr="00BC4111">
              <w:rPr>
                <w:sz w:val="20"/>
                <w:szCs w:val="20"/>
              </w:rPr>
              <w:t>Profitability</w:t>
            </w:r>
          </w:p>
        </w:tc>
        <w:tc>
          <w:tcPr>
            <w:tcW w:w="828" w:type="pct"/>
            <w:tcBorders>
              <w:top w:val="nil"/>
              <w:left w:val="nil"/>
              <w:bottom w:val="nil"/>
              <w:right w:val="nil"/>
            </w:tcBorders>
          </w:tcPr>
          <w:p w14:paraId="0B6EA12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7.799</w:t>
            </w:r>
          </w:p>
        </w:tc>
        <w:tc>
          <w:tcPr>
            <w:tcW w:w="738" w:type="pct"/>
            <w:tcBorders>
              <w:top w:val="nil"/>
              <w:left w:val="nil"/>
              <w:bottom w:val="nil"/>
              <w:right w:val="nil"/>
            </w:tcBorders>
          </w:tcPr>
          <w:p w14:paraId="2E29F651"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0.160</w:t>
            </w:r>
          </w:p>
        </w:tc>
        <w:tc>
          <w:tcPr>
            <w:tcW w:w="775" w:type="pct"/>
            <w:tcBorders>
              <w:top w:val="nil"/>
              <w:left w:val="nil"/>
              <w:bottom w:val="nil"/>
              <w:right w:val="nil"/>
            </w:tcBorders>
          </w:tcPr>
          <w:p w14:paraId="1ADB5965"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18.521</w:t>
            </w:r>
          </w:p>
        </w:tc>
      </w:tr>
      <w:tr w:rsidR="002334DD" w:rsidRPr="00BC4111" w14:paraId="1AB36E07" w14:textId="77777777" w:rsidTr="003355E1">
        <w:trPr>
          <w:jc w:val="center"/>
        </w:trPr>
        <w:tc>
          <w:tcPr>
            <w:tcW w:w="2659" w:type="pct"/>
            <w:tcBorders>
              <w:top w:val="nil"/>
              <w:left w:val="nil"/>
              <w:bottom w:val="nil"/>
              <w:right w:val="nil"/>
            </w:tcBorders>
          </w:tcPr>
          <w:p w14:paraId="054C1200"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525B4EDC"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(37.928)</w:t>
            </w:r>
          </w:p>
        </w:tc>
        <w:tc>
          <w:tcPr>
            <w:tcW w:w="738" w:type="pct"/>
            <w:tcBorders>
              <w:top w:val="nil"/>
              <w:left w:val="nil"/>
              <w:bottom w:val="nil"/>
              <w:right w:val="nil"/>
            </w:tcBorders>
          </w:tcPr>
          <w:p w14:paraId="13ED24FE"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(5.983)</w:t>
            </w:r>
          </w:p>
        </w:tc>
        <w:tc>
          <w:tcPr>
            <w:tcW w:w="775" w:type="pct"/>
            <w:tcBorders>
              <w:top w:val="nil"/>
              <w:left w:val="nil"/>
              <w:bottom w:val="nil"/>
              <w:right w:val="nil"/>
            </w:tcBorders>
          </w:tcPr>
          <w:p w14:paraId="0BB0DA4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(151.874)</w:t>
            </w:r>
          </w:p>
        </w:tc>
      </w:tr>
      <w:tr w:rsidR="002334DD" w:rsidRPr="00BC4111" w14:paraId="4B7552E6" w14:textId="77777777" w:rsidTr="003355E1">
        <w:trPr>
          <w:jc w:val="center"/>
        </w:trPr>
        <w:tc>
          <w:tcPr>
            <w:tcW w:w="2659" w:type="pct"/>
            <w:tcBorders>
              <w:top w:val="nil"/>
              <w:left w:val="nil"/>
              <w:bottom w:val="nil"/>
              <w:right w:val="nil"/>
            </w:tcBorders>
          </w:tcPr>
          <w:p w14:paraId="7090C2E7" w14:textId="77777777" w:rsidR="002334DD" w:rsidRPr="00BC4111" w:rsidRDefault="002334DD" w:rsidP="003355E1">
            <w:pPr>
              <w:widowControl w:val="0"/>
              <w:autoSpaceDE w:val="0"/>
              <w:autoSpaceDN w:val="0"/>
              <w:adjustRightInd w:val="0"/>
              <w:rPr>
                <w:sz w:val="20"/>
                <w:szCs w:val="20"/>
              </w:rPr>
            </w:pPr>
            <w:r w:rsidRPr="00BC4111">
              <w:rPr>
                <w:sz w:val="20"/>
                <w:szCs w:val="20"/>
              </w:rPr>
              <w:t>Intangible Assets</w:t>
            </w:r>
          </w:p>
        </w:tc>
        <w:tc>
          <w:tcPr>
            <w:tcW w:w="828" w:type="pct"/>
            <w:tcBorders>
              <w:top w:val="nil"/>
              <w:left w:val="nil"/>
              <w:bottom w:val="nil"/>
              <w:right w:val="nil"/>
            </w:tcBorders>
          </w:tcPr>
          <w:p w14:paraId="7C92193E"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1.675</w:t>
            </w:r>
          </w:p>
        </w:tc>
        <w:tc>
          <w:tcPr>
            <w:tcW w:w="738" w:type="pct"/>
            <w:tcBorders>
              <w:top w:val="nil"/>
              <w:left w:val="nil"/>
              <w:bottom w:val="nil"/>
              <w:right w:val="nil"/>
            </w:tcBorders>
          </w:tcPr>
          <w:p w14:paraId="0BDF4D26"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-0.608</w:t>
            </w:r>
          </w:p>
        </w:tc>
        <w:tc>
          <w:tcPr>
            <w:tcW w:w="775" w:type="pct"/>
            <w:tcBorders>
              <w:top w:val="nil"/>
              <w:left w:val="nil"/>
              <w:bottom w:val="nil"/>
              <w:right w:val="nil"/>
            </w:tcBorders>
          </w:tcPr>
          <w:p w14:paraId="109F5465"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1.789</w:t>
            </w:r>
          </w:p>
        </w:tc>
      </w:tr>
      <w:tr w:rsidR="002334DD" w:rsidRPr="00BC4111" w14:paraId="2CB2A8E4" w14:textId="77777777" w:rsidTr="003355E1">
        <w:trPr>
          <w:jc w:val="center"/>
        </w:trPr>
        <w:tc>
          <w:tcPr>
            <w:tcW w:w="2659" w:type="pct"/>
            <w:tcBorders>
              <w:top w:val="nil"/>
              <w:left w:val="nil"/>
              <w:bottom w:val="nil"/>
              <w:right w:val="nil"/>
            </w:tcBorders>
          </w:tcPr>
          <w:p w14:paraId="6EFA21D6"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0CF0F83F"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(8.554)</w:t>
            </w:r>
          </w:p>
        </w:tc>
        <w:tc>
          <w:tcPr>
            <w:tcW w:w="738" w:type="pct"/>
            <w:tcBorders>
              <w:top w:val="nil"/>
              <w:left w:val="nil"/>
              <w:bottom w:val="nil"/>
              <w:right w:val="nil"/>
            </w:tcBorders>
          </w:tcPr>
          <w:p w14:paraId="137032C6"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(1.896)</w:t>
            </w:r>
          </w:p>
        </w:tc>
        <w:tc>
          <w:tcPr>
            <w:tcW w:w="775" w:type="pct"/>
            <w:tcBorders>
              <w:top w:val="nil"/>
              <w:left w:val="nil"/>
              <w:bottom w:val="nil"/>
              <w:right w:val="nil"/>
            </w:tcBorders>
          </w:tcPr>
          <w:p w14:paraId="52589E03"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(17.433)</w:t>
            </w:r>
          </w:p>
        </w:tc>
      </w:tr>
      <w:tr w:rsidR="002334DD" w:rsidRPr="00BC4111" w14:paraId="206F5DE1" w14:textId="77777777" w:rsidTr="003355E1">
        <w:trPr>
          <w:jc w:val="center"/>
        </w:trPr>
        <w:tc>
          <w:tcPr>
            <w:tcW w:w="2659" w:type="pct"/>
            <w:tcBorders>
              <w:top w:val="nil"/>
              <w:left w:val="nil"/>
              <w:bottom w:val="nil"/>
              <w:right w:val="nil"/>
            </w:tcBorders>
          </w:tcPr>
          <w:p w14:paraId="5D05F776" w14:textId="77777777" w:rsidR="002334DD" w:rsidRPr="00BC4111" w:rsidRDefault="002334DD" w:rsidP="003355E1">
            <w:pPr>
              <w:widowControl w:val="0"/>
              <w:autoSpaceDE w:val="0"/>
              <w:autoSpaceDN w:val="0"/>
              <w:adjustRightInd w:val="0"/>
              <w:rPr>
                <w:sz w:val="20"/>
                <w:szCs w:val="20"/>
              </w:rPr>
            </w:pPr>
            <w:r w:rsidRPr="00BC4111">
              <w:rPr>
                <w:sz w:val="20"/>
                <w:szCs w:val="20"/>
              </w:rPr>
              <w:t>Leverage</w:t>
            </w:r>
          </w:p>
        </w:tc>
        <w:tc>
          <w:tcPr>
            <w:tcW w:w="828" w:type="pct"/>
            <w:tcBorders>
              <w:top w:val="nil"/>
              <w:left w:val="nil"/>
              <w:bottom w:val="nil"/>
              <w:right w:val="nil"/>
            </w:tcBorders>
          </w:tcPr>
          <w:p w14:paraId="48F3526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-3.307</w:t>
            </w:r>
          </w:p>
        </w:tc>
        <w:tc>
          <w:tcPr>
            <w:tcW w:w="738" w:type="pct"/>
            <w:tcBorders>
              <w:top w:val="nil"/>
              <w:left w:val="nil"/>
              <w:bottom w:val="nil"/>
              <w:right w:val="nil"/>
            </w:tcBorders>
          </w:tcPr>
          <w:p w14:paraId="39ACAF1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-1.265</w:t>
            </w:r>
          </w:p>
        </w:tc>
        <w:tc>
          <w:tcPr>
            <w:tcW w:w="775" w:type="pct"/>
            <w:tcBorders>
              <w:top w:val="nil"/>
              <w:left w:val="nil"/>
              <w:bottom w:val="nil"/>
              <w:right w:val="nil"/>
            </w:tcBorders>
          </w:tcPr>
          <w:p w14:paraId="30C5698F"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-6.406</w:t>
            </w:r>
          </w:p>
        </w:tc>
      </w:tr>
      <w:tr w:rsidR="002334DD" w:rsidRPr="00BC4111" w14:paraId="08C5B549" w14:textId="77777777" w:rsidTr="003355E1">
        <w:trPr>
          <w:jc w:val="center"/>
        </w:trPr>
        <w:tc>
          <w:tcPr>
            <w:tcW w:w="2659" w:type="pct"/>
            <w:tcBorders>
              <w:top w:val="nil"/>
              <w:left w:val="nil"/>
              <w:bottom w:val="nil"/>
              <w:right w:val="nil"/>
            </w:tcBorders>
          </w:tcPr>
          <w:p w14:paraId="6B714CCA"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749BC93B"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(13.349)</w:t>
            </w:r>
          </w:p>
        </w:tc>
        <w:tc>
          <w:tcPr>
            <w:tcW w:w="738" w:type="pct"/>
            <w:tcBorders>
              <w:top w:val="nil"/>
              <w:left w:val="nil"/>
              <w:bottom w:val="nil"/>
              <w:right w:val="nil"/>
            </w:tcBorders>
          </w:tcPr>
          <w:p w14:paraId="1783D359"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(2.883)</w:t>
            </w:r>
          </w:p>
        </w:tc>
        <w:tc>
          <w:tcPr>
            <w:tcW w:w="775" w:type="pct"/>
            <w:tcBorders>
              <w:top w:val="nil"/>
              <w:left w:val="nil"/>
              <w:bottom w:val="nil"/>
              <w:right w:val="nil"/>
            </w:tcBorders>
          </w:tcPr>
          <w:p w14:paraId="374FBB00"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(43.728)</w:t>
            </w:r>
          </w:p>
        </w:tc>
      </w:tr>
      <w:tr w:rsidR="002334DD" w:rsidRPr="00BC4111" w14:paraId="04D49178" w14:textId="77777777" w:rsidTr="003355E1">
        <w:trPr>
          <w:jc w:val="center"/>
        </w:trPr>
        <w:tc>
          <w:tcPr>
            <w:tcW w:w="2659" w:type="pct"/>
            <w:tcBorders>
              <w:top w:val="nil"/>
              <w:left w:val="nil"/>
              <w:bottom w:val="nil"/>
              <w:right w:val="nil"/>
            </w:tcBorders>
          </w:tcPr>
          <w:p w14:paraId="23C87389" w14:textId="77777777" w:rsidR="002334DD" w:rsidRPr="00BC4111" w:rsidRDefault="002334DD" w:rsidP="003355E1">
            <w:pPr>
              <w:widowControl w:val="0"/>
              <w:autoSpaceDE w:val="0"/>
              <w:autoSpaceDN w:val="0"/>
              <w:adjustRightInd w:val="0"/>
              <w:rPr>
                <w:sz w:val="20"/>
                <w:szCs w:val="20"/>
              </w:rPr>
            </w:pPr>
            <w:r w:rsidRPr="00BC4111">
              <w:rPr>
                <w:sz w:val="20"/>
                <w:szCs w:val="20"/>
              </w:rPr>
              <w:t>Growth Opportunities</w:t>
            </w:r>
          </w:p>
        </w:tc>
        <w:tc>
          <w:tcPr>
            <w:tcW w:w="828" w:type="pct"/>
            <w:tcBorders>
              <w:top w:val="nil"/>
              <w:left w:val="nil"/>
              <w:bottom w:val="nil"/>
              <w:right w:val="nil"/>
            </w:tcBorders>
          </w:tcPr>
          <w:p w14:paraId="5C05033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-0.804</w:t>
            </w:r>
          </w:p>
        </w:tc>
        <w:tc>
          <w:tcPr>
            <w:tcW w:w="738" w:type="pct"/>
            <w:tcBorders>
              <w:top w:val="nil"/>
              <w:left w:val="nil"/>
              <w:bottom w:val="nil"/>
              <w:right w:val="nil"/>
            </w:tcBorders>
          </w:tcPr>
          <w:p w14:paraId="47595AE1"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-0.443</w:t>
            </w:r>
          </w:p>
        </w:tc>
        <w:tc>
          <w:tcPr>
            <w:tcW w:w="775" w:type="pct"/>
            <w:tcBorders>
              <w:top w:val="nil"/>
              <w:left w:val="nil"/>
              <w:bottom w:val="nil"/>
              <w:right w:val="nil"/>
            </w:tcBorders>
          </w:tcPr>
          <w:p w14:paraId="4A0033EB"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-1.315</w:t>
            </w:r>
          </w:p>
        </w:tc>
      </w:tr>
      <w:tr w:rsidR="002334DD" w:rsidRPr="00BC4111" w14:paraId="2CBAC129" w14:textId="77777777" w:rsidTr="003355E1">
        <w:trPr>
          <w:jc w:val="center"/>
        </w:trPr>
        <w:tc>
          <w:tcPr>
            <w:tcW w:w="2659" w:type="pct"/>
            <w:tcBorders>
              <w:top w:val="nil"/>
              <w:left w:val="nil"/>
              <w:bottom w:val="nil"/>
              <w:right w:val="nil"/>
            </w:tcBorders>
          </w:tcPr>
          <w:p w14:paraId="69DD6CED"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6EA8B31C"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(2.869)</w:t>
            </w:r>
          </w:p>
        </w:tc>
        <w:tc>
          <w:tcPr>
            <w:tcW w:w="738" w:type="pct"/>
            <w:tcBorders>
              <w:top w:val="nil"/>
              <w:left w:val="nil"/>
              <w:bottom w:val="nil"/>
              <w:right w:val="nil"/>
            </w:tcBorders>
          </w:tcPr>
          <w:p w14:paraId="58EC326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(0.507)</w:t>
            </w:r>
          </w:p>
        </w:tc>
        <w:tc>
          <w:tcPr>
            <w:tcW w:w="775" w:type="pct"/>
            <w:tcBorders>
              <w:top w:val="nil"/>
              <w:left w:val="nil"/>
              <w:bottom w:val="nil"/>
              <w:right w:val="nil"/>
            </w:tcBorders>
          </w:tcPr>
          <w:p w14:paraId="785695B9"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(9.348)</w:t>
            </w:r>
          </w:p>
        </w:tc>
      </w:tr>
      <w:tr w:rsidR="002334DD" w:rsidRPr="00BC4111" w14:paraId="59BEDF7A" w14:textId="77777777" w:rsidTr="003355E1">
        <w:trPr>
          <w:jc w:val="center"/>
        </w:trPr>
        <w:tc>
          <w:tcPr>
            <w:tcW w:w="2659" w:type="pct"/>
            <w:tcBorders>
              <w:top w:val="nil"/>
              <w:left w:val="nil"/>
              <w:bottom w:val="nil"/>
              <w:right w:val="nil"/>
            </w:tcBorders>
          </w:tcPr>
          <w:p w14:paraId="13910B8D" w14:textId="77777777" w:rsidR="002334DD" w:rsidRPr="00BC4111" w:rsidRDefault="002334DD" w:rsidP="003355E1">
            <w:pPr>
              <w:widowControl w:val="0"/>
              <w:autoSpaceDE w:val="0"/>
              <w:autoSpaceDN w:val="0"/>
              <w:adjustRightInd w:val="0"/>
              <w:rPr>
                <w:sz w:val="20"/>
                <w:szCs w:val="20"/>
              </w:rPr>
            </w:pPr>
            <w:r w:rsidRPr="00BC4111">
              <w:rPr>
                <w:sz w:val="20"/>
                <w:szCs w:val="20"/>
              </w:rPr>
              <w:t>Government Owned</w:t>
            </w:r>
          </w:p>
        </w:tc>
        <w:tc>
          <w:tcPr>
            <w:tcW w:w="828" w:type="pct"/>
            <w:tcBorders>
              <w:top w:val="nil"/>
              <w:left w:val="nil"/>
              <w:bottom w:val="nil"/>
              <w:right w:val="nil"/>
            </w:tcBorders>
          </w:tcPr>
          <w:p w14:paraId="3E74E8E7"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-3.261</w:t>
            </w:r>
          </w:p>
        </w:tc>
        <w:tc>
          <w:tcPr>
            <w:tcW w:w="738" w:type="pct"/>
            <w:tcBorders>
              <w:top w:val="nil"/>
              <w:left w:val="nil"/>
              <w:bottom w:val="nil"/>
              <w:right w:val="nil"/>
            </w:tcBorders>
          </w:tcPr>
          <w:p w14:paraId="2617C71A"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0.823</w:t>
            </w:r>
          </w:p>
        </w:tc>
        <w:tc>
          <w:tcPr>
            <w:tcW w:w="775" w:type="pct"/>
            <w:tcBorders>
              <w:top w:val="nil"/>
              <w:left w:val="nil"/>
              <w:bottom w:val="nil"/>
              <w:right w:val="nil"/>
            </w:tcBorders>
          </w:tcPr>
          <w:p w14:paraId="793DFA79"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-4.565</w:t>
            </w:r>
          </w:p>
        </w:tc>
      </w:tr>
      <w:tr w:rsidR="002334DD" w:rsidRPr="00BC4111" w14:paraId="03B0D028" w14:textId="77777777" w:rsidTr="003355E1">
        <w:trPr>
          <w:jc w:val="center"/>
        </w:trPr>
        <w:tc>
          <w:tcPr>
            <w:tcW w:w="2659" w:type="pct"/>
            <w:tcBorders>
              <w:top w:val="nil"/>
              <w:left w:val="nil"/>
              <w:bottom w:val="nil"/>
              <w:right w:val="nil"/>
            </w:tcBorders>
          </w:tcPr>
          <w:p w14:paraId="0A903E57"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5AB43C1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(18.166)</w:t>
            </w:r>
          </w:p>
        </w:tc>
        <w:tc>
          <w:tcPr>
            <w:tcW w:w="738" w:type="pct"/>
            <w:tcBorders>
              <w:top w:val="nil"/>
              <w:left w:val="nil"/>
              <w:bottom w:val="nil"/>
              <w:right w:val="nil"/>
            </w:tcBorders>
          </w:tcPr>
          <w:p w14:paraId="4F72FA5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(0.818)</w:t>
            </w:r>
          </w:p>
        </w:tc>
        <w:tc>
          <w:tcPr>
            <w:tcW w:w="775" w:type="pct"/>
            <w:tcBorders>
              <w:top w:val="nil"/>
              <w:left w:val="nil"/>
              <w:bottom w:val="nil"/>
              <w:right w:val="nil"/>
            </w:tcBorders>
          </w:tcPr>
          <w:p w14:paraId="08FA4189"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(44.405)</w:t>
            </w:r>
          </w:p>
        </w:tc>
      </w:tr>
      <w:tr w:rsidR="002334DD" w:rsidRPr="00BC4111" w14:paraId="15903170" w14:textId="77777777" w:rsidTr="003355E1">
        <w:trPr>
          <w:jc w:val="center"/>
        </w:trPr>
        <w:tc>
          <w:tcPr>
            <w:tcW w:w="2659" w:type="pct"/>
            <w:tcBorders>
              <w:top w:val="nil"/>
              <w:left w:val="nil"/>
              <w:bottom w:val="nil"/>
              <w:right w:val="nil"/>
            </w:tcBorders>
          </w:tcPr>
          <w:p w14:paraId="312E4887" w14:textId="77777777" w:rsidR="002334DD" w:rsidRPr="00BC4111" w:rsidRDefault="002334DD" w:rsidP="003355E1">
            <w:pPr>
              <w:widowControl w:val="0"/>
              <w:autoSpaceDE w:val="0"/>
              <w:autoSpaceDN w:val="0"/>
              <w:adjustRightInd w:val="0"/>
              <w:rPr>
                <w:sz w:val="20"/>
                <w:szCs w:val="20"/>
              </w:rPr>
            </w:pPr>
            <w:r w:rsidRPr="00BC4111">
              <w:rPr>
                <w:sz w:val="20"/>
                <w:szCs w:val="20"/>
              </w:rPr>
              <w:t>Maturity</w:t>
            </w:r>
          </w:p>
        </w:tc>
        <w:tc>
          <w:tcPr>
            <w:tcW w:w="828" w:type="pct"/>
            <w:tcBorders>
              <w:top w:val="nil"/>
              <w:left w:val="nil"/>
              <w:bottom w:val="nil"/>
              <w:right w:val="nil"/>
            </w:tcBorders>
          </w:tcPr>
          <w:p w14:paraId="57A12D25"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0.325</w:t>
            </w:r>
          </w:p>
        </w:tc>
        <w:tc>
          <w:tcPr>
            <w:tcW w:w="738" w:type="pct"/>
            <w:tcBorders>
              <w:top w:val="nil"/>
              <w:left w:val="nil"/>
              <w:bottom w:val="nil"/>
              <w:right w:val="nil"/>
            </w:tcBorders>
          </w:tcPr>
          <w:p w14:paraId="5D4DD6EE"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0.570</w:t>
            </w:r>
          </w:p>
        </w:tc>
        <w:tc>
          <w:tcPr>
            <w:tcW w:w="775" w:type="pct"/>
            <w:tcBorders>
              <w:top w:val="nil"/>
              <w:left w:val="nil"/>
              <w:bottom w:val="nil"/>
              <w:right w:val="nil"/>
            </w:tcBorders>
          </w:tcPr>
          <w:p w14:paraId="0E3B5749"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0.665</w:t>
            </w:r>
          </w:p>
        </w:tc>
      </w:tr>
      <w:tr w:rsidR="002334DD" w:rsidRPr="00BC4111" w14:paraId="222E3D2A" w14:textId="77777777" w:rsidTr="003355E1">
        <w:trPr>
          <w:jc w:val="center"/>
        </w:trPr>
        <w:tc>
          <w:tcPr>
            <w:tcW w:w="2659" w:type="pct"/>
            <w:tcBorders>
              <w:top w:val="nil"/>
              <w:left w:val="nil"/>
              <w:bottom w:val="nil"/>
              <w:right w:val="nil"/>
            </w:tcBorders>
          </w:tcPr>
          <w:p w14:paraId="57C545B7"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461067E1"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(0.982)</w:t>
            </w:r>
          </w:p>
        </w:tc>
        <w:tc>
          <w:tcPr>
            <w:tcW w:w="738" w:type="pct"/>
            <w:tcBorders>
              <w:top w:val="nil"/>
              <w:left w:val="nil"/>
              <w:bottom w:val="nil"/>
              <w:right w:val="nil"/>
            </w:tcBorders>
          </w:tcPr>
          <w:p w14:paraId="7E6DF9E0"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(0.509)</w:t>
            </w:r>
          </w:p>
        </w:tc>
        <w:tc>
          <w:tcPr>
            <w:tcW w:w="775" w:type="pct"/>
            <w:tcBorders>
              <w:top w:val="nil"/>
              <w:left w:val="nil"/>
              <w:bottom w:val="nil"/>
              <w:right w:val="nil"/>
            </w:tcBorders>
          </w:tcPr>
          <w:p w14:paraId="5C18101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(5.372)</w:t>
            </w:r>
          </w:p>
        </w:tc>
      </w:tr>
      <w:tr w:rsidR="002334DD" w:rsidRPr="00BC4111" w14:paraId="2A7FC621" w14:textId="77777777" w:rsidTr="003355E1">
        <w:trPr>
          <w:jc w:val="center"/>
        </w:trPr>
        <w:tc>
          <w:tcPr>
            <w:tcW w:w="2659" w:type="pct"/>
            <w:tcBorders>
              <w:top w:val="nil"/>
              <w:left w:val="nil"/>
              <w:bottom w:val="nil"/>
              <w:right w:val="nil"/>
            </w:tcBorders>
          </w:tcPr>
          <w:p w14:paraId="62ED42EE" w14:textId="77777777" w:rsidR="002334DD" w:rsidRPr="00BC4111" w:rsidRDefault="002334DD" w:rsidP="003355E1">
            <w:pPr>
              <w:widowControl w:val="0"/>
              <w:autoSpaceDE w:val="0"/>
              <w:autoSpaceDN w:val="0"/>
              <w:adjustRightInd w:val="0"/>
              <w:rPr>
                <w:sz w:val="20"/>
                <w:szCs w:val="20"/>
              </w:rPr>
            </w:pPr>
            <w:r w:rsidRPr="00BC4111">
              <w:rPr>
                <w:sz w:val="20"/>
                <w:szCs w:val="20"/>
              </w:rPr>
              <w:t>Tranche Size</w:t>
            </w:r>
          </w:p>
        </w:tc>
        <w:tc>
          <w:tcPr>
            <w:tcW w:w="828" w:type="pct"/>
            <w:tcBorders>
              <w:top w:val="nil"/>
              <w:left w:val="nil"/>
              <w:bottom w:val="nil"/>
              <w:right w:val="nil"/>
            </w:tcBorders>
          </w:tcPr>
          <w:p w14:paraId="432D9A06"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1.458</w:t>
            </w:r>
          </w:p>
        </w:tc>
        <w:tc>
          <w:tcPr>
            <w:tcW w:w="738" w:type="pct"/>
            <w:tcBorders>
              <w:top w:val="nil"/>
              <w:left w:val="nil"/>
              <w:bottom w:val="nil"/>
              <w:right w:val="nil"/>
            </w:tcBorders>
          </w:tcPr>
          <w:p w14:paraId="477AB1CB"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0.133</w:t>
            </w:r>
          </w:p>
        </w:tc>
        <w:tc>
          <w:tcPr>
            <w:tcW w:w="775" w:type="pct"/>
            <w:tcBorders>
              <w:top w:val="nil"/>
              <w:left w:val="nil"/>
              <w:bottom w:val="nil"/>
              <w:right w:val="nil"/>
            </w:tcBorders>
          </w:tcPr>
          <w:p w14:paraId="49039BE0"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1.157</w:t>
            </w:r>
          </w:p>
        </w:tc>
      </w:tr>
      <w:tr w:rsidR="002334DD" w:rsidRPr="00BC4111" w14:paraId="05B38DBA" w14:textId="77777777" w:rsidTr="003355E1">
        <w:trPr>
          <w:jc w:val="center"/>
        </w:trPr>
        <w:tc>
          <w:tcPr>
            <w:tcW w:w="2659" w:type="pct"/>
            <w:tcBorders>
              <w:top w:val="nil"/>
              <w:left w:val="nil"/>
              <w:bottom w:val="nil"/>
              <w:right w:val="nil"/>
            </w:tcBorders>
          </w:tcPr>
          <w:p w14:paraId="02E0AD18"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005D21A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(6.002)</w:t>
            </w:r>
          </w:p>
        </w:tc>
        <w:tc>
          <w:tcPr>
            <w:tcW w:w="738" w:type="pct"/>
            <w:tcBorders>
              <w:top w:val="nil"/>
              <w:left w:val="nil"/>
              <w:bottom w:val="nil"/>
              <w:right w:val="nil"/>
            </w:tcBorders>
          </w:tcPr>
          <w:p w14:paraId="0FE1A6EB"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(0.326)</w:t>
            </w:r>
          </w:p>
        </w:tc>
        <w:tc>
          <w:tcPr>
            <w:tcW w:w="775" w:type="pct"/>
            <w:tcBorders>
              <w:top w:val="nil"/>
              <w:left w:val="nil"/>
              <w:bottom w:val="nil"/>
              <w:right w:val="nil"/>
            </w:tcBorders>
          </w:tcPr>
          <w:p w14:paraId="5ECD514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(8.274)</w:t>
            </w:r>
          </w:p>
        </w:tc>
      </w:tr>
      <w:tr w:rsidR="002334DD" w:rsidRPr="00BC4111" w14:paraId="320310FF" w14:textId="77777777" w:rsidTr="003355E1">
        <w:trPr>
          <w:jc w:val="center"/>
        </w:trPr>
        <w:tc>
          <w:tcPr>
            <w:tcW w:w="2659" w:type="pct"/>
            <w:tcBorders>
              <w:top w:val="nil"/>
              <w:left w:val="nil"/>
              <w:bottom w:val="nil"/>
              <w:right w:val="nil"/>
            </w:tcBorders>
          </w:tcPr>
          <w:p w14:paraId="5450BAE3" w14:textId="77777777" w:rsidR="002334DD" w:rsidRPr="00BC4111" w:rsidRDefault="002334DD" w:rsidP="003355E1">
            <w:pPr>
              <w:widowControl w:val="0"/>
              <w:autoSpaceDE w:val="0"/>
              <w:autoSpaceDN w:val="0"/>
              <w:adjustRightInd w:val="0"/>
              <w:rPr>
                <w:sz w:val="20"/>
                <w:szCs w:val="20"/>
              </w:rPr>
            </w:pPr>
            <w:r w:rsidRPr="00BC4111">
              <w:rPr>
                <w:sz w:val="20"/>
                <w:szCs w:val="20"/>
              </w:rPr>
              <w:t>Multi-tranche</w:t>
            </w:r>
          </w:p>
        </w:tc>
        <w:tc>
          <w:tcPr>
            <w:tcW w:w="828" w:type="pct"/>
            <w:tcBorders>
              <w:top w:val="nil"/>
              <w:left w:val="nil"/>
              <w:bottom w:val="nil"/>
              <w:right w:val="nil"/>
            </w:tcBorders>
          </w:tcPr>
          <w:p w14:paraId="381E77A6"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2.234</w:t>
            </w:r>
          </w:p>
        </w:tc>
        <w:tc>
          <w:tcPr>
            <w:tcW w:w="738" w:type="pct"/>
            <w:tcBorders>
              <w:top w:val="nil"/>
              <w:left w:val="nil"/>
              <w:bottom w:val="nil"/>
              <w:right w:val="nil"/>
            </w:tcBorders>
          </w:tcPr>
          <w:p w14:paraId="03E0E556"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-0.904</w:t>
            </w:r>
          </w:p>
        </w:tc>
        <w:tc>
          <w:tcPr>
            <w:tcW w:w="775" w:type="pct"/>
            <w:tcBorders>
              <w:top w:val="nil"/>
              <w:left w:val="nil"/>
              <w:bottom w:val="nil"/>
              <w:right w:val="nil"/>
            </w:tcBorders>
          </w:tcPr>
          <w:p w14:paraId="65CAD966"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0.914</w:t>
            </w:r>
          </w:p>
        </w:tc>
      </w:tr>
      <w:tr w:rsidR="002334DD" w:rsidRPr="00BC4111" w14:paraId="389F2DAB" w14:textId="77777777" w:rsidTr="003355E1">
        <w:trPr>
          <w:jc w:val="center"/>
        </w:trPr>
        <w:tc>
          <w:tcPr>
            <w:tcW w:w="2659" w:type="pct"/>
            <w:tcBorders>
              <w:top w:val="nil"/>
              <w:left w:val="nil"/>
              <w:bottom w:val="nil"/>
              <w:right w:val="nil"/>
            </w:tcBorders>
          </w:tcPr>
          <w:p w14:paraId="3AAFD28A"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062CD20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(9.662)</w:t>
            </w:r>
          </w:p>
        </w:tc>
        <w:tc>
          <w:tcPr>
            <w:tcW w:w="738" w:type="pct"/>
            <w:tcBorders>
              <w:top w:val="nil"/>
              <w:left w:val="nil"/>
              <w:bottom w:val="nil"/>
              <w:right w:val="nil"/>
            </w:tcBorders>
          </w:tcPr>
          <w:p w14:paraId="0082EF01"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(1.694)</w:t>
            </w:r>
          </w:p>
        </w:tc>
        <w:tc>
          <w:tcPr>
            <w:tcW w:w="775" w:type="pct"/>
            <w:tcBorders>
              <w:top w:val="nil"/>
              <w:left w:val="nil"/>
              <w:bottom w:val="nil"/>
              <w:right w:val="nil"/>
            </w:tcBorders>
          </w:tcPr>
          <w:p w14:paraId="3A17A845"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(5.248)</w:t>
            </w:r>
          </w:p>
        </w:tc>
      </w:tr>
      <w:tr w:rsidR="002334DD" w:rsidRPr="00BC4111" w14:paraId="56738746" w14:textId="77777777" w:rsidTr="003355E1">
        <w:trPr>
          <w:jc w:val="center"/>
        </w:trPr>
        <w:tc>
          <w:tcPr>
            <w:tcW w:w="2659" w:type="pct"/>
            <w:tcBorders>
              <w:top w:val="nil"/>
              <w:left w:val="nil"/>
              <w:bottom w:val="nil"/>
              <w:right w:val="nil"/>
            </w:tcBorders>
          </w:tcPr>
          <w:p w14:paraId="4DA7CCD1" w14:textId="77777777" w:rsidR="002334DD" w:rsidRPr="00BC4111" w:rsidRDefault="002334DD" w:rsidP="003355E1">
            <w:pPr>
              <w:widowControl w:val="0"/>
              <w:autoSpaceDE w:val="0"/>
              <w:autoSpaceDN w:val="0"/>
              <w:adjustRightInd w:val="0"/>
              <w:rPr>
                <w:sz w:val="20"/>
                <w:szCs w:val="20"/>
              </w:rPr>
            </w:pPr>
            <w:r w:rsidRPr="00BC4111">
              <w:rPr>
                <w:sz w:val="20"/>
                <w:szCs w:val="20"/>
              </w:rPr>
              <w:t>AA-BBB Spread</w:t>
            </w:r>
          </w:p>
        </w:tc>
        <w:tc>
          <w:tcPr>
            <w:tcW w:w="828" w:type="pct"/>
            <w:tcBorders>
              <w:top w:val="nil"/>
              <w:left w:val="nil"/>
              <w:bottom w:val="nil"/>
              <w:right w:val="nil"/>
            </w:tcBorders>
          </w:tcPr>
          <w:p w14:paraId="396943A5"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-0.557</w:t>
            </w:r>
          </w:p>
        </w:tc>
        <w:tc>
          <w:tcPr>
            <w:tcW w:w="738" w:type="pct"/>
            <w:tcBorders>
              <w:top w:val="nil"/>
              <w:left w:val="nil"/>
              <w:bottom w:val="nil"/>
              <w:right w:val="nil"/>
            </w:tcBorders>
          </w:tcPr>
          <w:p w14:paraId="1654E2FE"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0.593</w:t>
            </w:r>
          </w:p>
        </w:tc>
        <w:tc>
          <w:tcPr>
            <w:tcW w:w="775" w:type="pct"/>
            <w:tcBorders>
              <w:top w:val="nil"/>
              <w:left w:val="nil"/>
              <w:bottom w:val="nil"/>
              <w:right w:val="nil"/>
            </w:tcBorders>
          </w:tcPr>
          <w:p w14:paraId="5194D9C7"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-0.702</w:t>
            </w:r>
          </w:p>
        </w:tc>
      </w:tr>
      <w:tr w:rsidR="002334DD" w:rsidRPr="00BC4111" w14:paraId="50FCE7CF" w14:textId="77777777" w:rsidTr="003355E1">
        <w:trPr>
          <w:jc w:val="center"/>
        </w:trPr>
        <w:tc>
          <w:tcPr>
            <w:tcW w:w="2659" w:type="pct"/>
            <w:tcBorders>
              <w:top w:val="nil"/>
              <w:left w:val="nil"/>
              <w:bottom w:val="nil"/>
              <w:right w:val="nil"/>
            </w:tcBorders>
          </w:tcPr>
          <w:p w14:paraId="29197C6C"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nil"/>
              <w:right w:val="nil"/>
            </w:tcBorders>
          </w:tcPr>
          <w:p w14:paraId="51C6F59A"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(3.341)</w:t>
            </w:r>
          </w:p>
        </w:tc>
        <w:tc>
          <w:tcPr>
            <w:tcW w:w="738" w:type="pct"/>
            <w:tcBorders>
              <w:top w:val="nil"/>
              <w:left w:val="nil"/>
              <w:bottom w:val="nil"/>
              <w:right w:val="nil"/>
            </w:tcBorders>
          </w:tcPr>
          <w:p w14:paraId="58C901E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(0.740)</w:t>
            </w:r>
          </w:p>
        </w:tc>
        <w:tc>
          <w:tcPr>
            <w:tcW w:w="775" w:type="pct"/>
            <w:tcBorders>
              <w:top w:val="nil"/>
              <w:left w:val="nil"/>
              <w:bottom w:val="nil"/>
              <w:right w:val="nil"/>
            </w:tcBorders>
          </w:tcPr>
          <w:p w14:paraId="325A65B7"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(6.521)</w:t>
            </w:r>
          </w:p>
        </w:tc>
      </w:tr>
      <w:tr w:rsidR="002334DD" w:rsidRPr="00BC4111" w14:paraId="7E390A48" w14:textId="77777777" w:rsidTr="003355E1">
        <w:trPr>
          <w:jc w:val="center"/>
        </w:trPr>
        <w:tc>
          <w:tcPr>
            <w:tcW w:w="2659" w:type="pct"/>
            <w:tcBorders>
              <w:top w:val="nil"/>
              <w:left w:val="nil"/>
              <w:bottom w:val="nil"/>
              <w:right w:val="nil"/>
            </w:tcBorders>
          </w:tcPr>
          <w:p w14:paraId="1155D13C" w14:textId="77777777" w:rsidR="002334DD" w:rsidRPr="00BC4111" w:rsidRDefault="002334DD" w:rsidP="003355E1">
            <w:pPr>
              <w:widowControl w:val="0"/>
              <w:autoSpaceDE w:val="0"/>
              <w:autoSpaceDN w:val="0"/>
              <w:adjustRightInd w:val="0"/>
              <w:rPr>
                <w:sz w:val="20"/>
                <w:szCs w:val="20"/>
              </w:rPr>
            </w:pPr>
            <w:r w:rsidRPr="00BC4111">
              <w:rPr>
                <w:sz w:val="20"/>
                <w:szCs w:val="20"/>
              </w:rPr>
              <w:t>Constant</w:t>
            </w:r>
          </w:p>
        </w:tc>
        <w:tc>
          <w:tcPr>
            <w:tcW w:w="828" w:type="pct"/>
            <w:tcBorders>
              <w:top w:val="nil"/>
              <w:left w:val="nil"/>
              <w:bottom w:val="nil"/>
              <w:right w:val="nil"/>
            </w:tcBorders>
          </w:tcPr>
          <w:p w14:paraId="2448A6E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11.520</w:t>
            </w:r>
          </w:p>
        </w:tc>
        <w:tc>
          <w:tcPr>
            <w:tcW w:w="738" w:type="pct"/>
            <w:tcBorders>
              <w:top w:val="nil"/>
              <w:left w:val="nil"/>
              <w:bottom w:val="nil"/>
              <w:right w:val="nil"/>
            </w:tcBorders>
          </w:tcPr>
          <w:p w14:paraId="1237463B"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-3.084</w:t>
            </w:r>
          </w:p>
        </w:tc>
        <w:tc>
          <w:tcPr>
            <w:tcW w:w="775" w:type="pct"/>
            <w:tcBorders>
              <w:top w:val="nil"/>
              <w:left w:val="nil"/>
              <w:bottom w:val="nil"/>
              <w:right w:val="nil"/>
            </w:tcBorders>
          </w:tcPr>
          <w:p w14:paraId="6D8E1142"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16.536</w:t>
            </w:r>
          </w:p>
        </w:tc>
      </w:tr>
      <w:tr w:rsidR="002334DD" w:rsidRPr="00BC4111" w14:paraId="6F862ACF" w14:textId="77777777" w:rsidTr="003355E1">
        <w:trPr>
          <w:jc w:val="center"/>
        </w:trPr>
        <w:tc>
          <w:tcPr>
            <w:tcW w:w="2659" w:type="pct"/>
            <w:tcBorders>
              <w:top w:val="nil"/>
              <w:left w:val="nil"/>
              <w:bottom w:val="single" w:sz="4" w:space="0" w:color="auto"/>
              <w:right w:val="nil"/>
            </w:tcBorders>
          </w:tcPr>
          <w:p w14:paraId="6D4C6F5A" w14:textId="77777777" w:rsidR="002334DD" w:rsidRPr="00BC4111" w:rsidRDefault="002334DD" w:rsidP="003355E1">
            <w:pPr>
              <w:widowControl w:val="0"/>
              <w:autoSpaceDE w:val="0"/>
              <w:autoSpaceDN w:val="0"/>
              <w:adjustRightInd w:val="0"/>
              <w:rPr>
                <w:sz w:val="20"/>
                <w:szCs w:val="20"/>
              </w:rPr>
            </w:pPr>
          </w:p>
        </w:tc>
        <w:tc>
          <w:tcPr>
            <w:tcW w:w="828" w:type="pct"/>
            <w:tcBorders>
              <w:top w:val="nil"/>
              <w:left w:val="nil"/>
              <w:bottom w:val="single" w:sz="4" w:space="0" w:color="auto"/>
              <w:right w:val="nil"/>
            </w:tcBorders>
          </w:tcPr>
          <w:p w14:paraId="2858D1FF"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(54.182)</w:t>
            </w:r>
          </w:p>
        </w:tc>
        <w:tc>
          <w:tcPr>
            <w:tcW w:w="738" w:type="pct"/>
            <w:tcBorders>
              <w:top w:val="nil"/>
              <w:left w:val="nil"/>
              <w:bottom w:val="single" w:sz="4" w:space="0" w:color="auto"/>
              <w:right w:val="nil"/>
            </w:tcBorders>
          </w:tcPr>
          <w:p w14:paraId="727CF8A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(7.044)</w:t>
            </w:r>
          </w:p>
        </w:tc>
        <w:tc>
          <w:tcPr>
            <w:tcW w:w="775" w:type="pct"/>
            <w:tcBorders>
              <w:top w:val="nil"/>
              <w:left w:val="nil"/>
              <w:bottom w:val="single" w:sz="4" w:space="0" w:color="auto"/>
              <w:right w:val="nil"/>
            </w:tcBorders>
          </w:tcPr>
          <w:p w14:paraId="3F5D0B45"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(129.774)</w:t>
            </w:r>
          </w:p>
        </w:tc>
      </w:tr>
      <w:tr w:rsidR="002334DD" w:rsidRPr="00BC4111" w14:paraId="6AE9494B" w14:textId="77777777" w:rsidTr="003355E1">
        <w:trPr>
          <w:jc w:val="center"/>
        </w:trPr>
        <w:tc>
          <w:tcPr>
            <w:tcW w:w="2659" w:type="pct"/>
            <w:tcBorders>
              <w:top w:val="nil"/>
              <w:left w:val="nil"/>
              <w:bottom w:val="nil"/>
              <w:right w:val="nil"/>
            </w:tcBorders>
          </w:tcPr>
          <w:p w14:paraId="092531C0" w14:textId="77777777" w:rsidR="002334DD" w:rsidRPr="00BC4111" w:rsidRDefault="002334DD" w:rsidP="003355E1">
            <w:pPr>
              <w:widowControl w:val="0"/>
              <w:autoSpaceDE w:val="0"/>
              <w:autoSpaceDN w:val="0"/>
              <w:adjustRightInd w:val="0"/>
              <w:rPr>
                <w:sz w:val="20"/>
                <w:szCs w:val="20"/>
              </w:rPr>
            </w:pPr>
            <w:r w:rsidRPr="00BC4111">
              <w:rPr>
                <w:sz w:val="20"/>
                <w:szCs w:val="20"/>
              </w:rPr>
              <w:t>Credit rating, Sector and Country dummies</w:t>
            </w:r>
          </w:p>
        </w:tc>
        <w:tc>
          <w:tcPr>
            <w:tcW w:w="828" w:type="pct"/>
            <w:tcBorders>
              <w:top w:val="nil"/>
              <w:left w:val="nil"/>
              <w:bottom w:val="nil"/>
              <w:right w:val="nil"/>
            </w:tcBorders>
          </w:tcPr>
          <w:p w14:paraId="72F2519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Yes</w:t>
            </w:r>
          </w:p>
        </w:tc>
        <w:tc>
          <w:tcPr>
            <w:tcW w:w="738" w:type="pct"/>
            <w:tcBorders>
              <w:top w:val="nil"/>
              <w:left w:val="nil"/>
              <w:bottom w:val="nil"/>
              <w:right w:val="nil"/>
            </w:tcBorders>
          </w:tcPr>
          <w:p w14:paraId="5531DD15"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Yes</w:t>
            </w:r>
          </w:p>
        </w:tc>
        <w:tc>
          <w:tcPr>
            <w:tcW w:w="775" w:type="pct"/>
            <w:tcBorders>
              <w:top w:val="nil"/>
              <w:left w:val="nil"/>
              <w:bottom w:val="nil"/>
              <w:right w:val="nil"/>
            </w:tcBorders>
          </w:tcPr>
          <w:p w14:paraId="74FB61F1"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Yes</w:t>
            </w:r>
          </w:p>
        </w:tc>
      </w:tr>
      <w:tr w:rsidR="002334DD" w:rsidRPr="00BC4111" w14:paraId="11B3CF80" w14:textId="77777777" w:rsidTr="003355E1">
        <w:trPr>
          <w:jc w:val="center"/>
        </w:trPr>
        <w:tc>
          <w:tcPr>
            <w:tcW w:w="2659" w:type="pct"/>
            <w:tcBorders>
              <w:top w:val="nil"/>
              <w:left w:val="nil"/>
              <w:bottom w:val="nil"/>
              <w:right w:val="nil"/>
            </w:tcBorders>
            <w:vAlign w:val="center"/>
          </w:tcPr>
          <w:p w14:paraId="12ADAE12" w14:textId="77777777" w:rsidR="002334DD" w:rsidRPr="00BC4111" w:rsidRDefault="002334DD" w:rsidP="003355E1">
            <w:pPr>
              <w:widowControl w:val="0"/>
              <w:autoSpaceDE w:val="0"/>
              <w:autoSpaceDN w:val="0"/>
              <w:adjustRightInd w:val="0"/>
              <w:rPr>
                <w:sz w:val="20"/>
                <w:szCs w:val="20"/>
              </w:rPr>
            </w:pPr>
            <w:r w:rsidRPr="00BC4111">
              <w:rPr>
                <w:color w:val="000000"/>
                <w:sz w:val="20"/>
                <w:szCs w:val="20"/>
                <w:lang w:eastAsia="en-GB"/>
              </w:rPr>
              <w:t>Number of Observations</w:t>
            </w:r>
          </w:p>
        </w:tc>
        <w:tc>
          <w:tcPr>
            <w:tcW w:w="828" w:type="pct"/>
            <w:tcBorders>
              <w:top w:val="nil"/>
              <w:left w:val="nil"/>
              <w:bottom w:val="nil"/>
              <w:right w:val="nil"/>
            </w:tcBorders>
          </w:tcPr>
          <w:p w14:paraId="2BFBAAB4"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491</w:t>
            </w:r>
          </w:p>
        </w:tc>
        <w:tc>
          <w:tcPr>
            <w:tcW w:w="738" w:type="pct"/>
            <w:tcBorders>
              <w:top w:val="nil"/>
              <w:left w:val="nil"/>
              <w:bottom w:val="nil"/>
              <w:right w:val="nil"/>
            </w:tcBorders>
          </w:tcPr>
          <w:p w14:paraId="70D07DC6"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203</w:t>
            </w:r>
          </w:p>
        </w:tc>
        <w:tc>
          <w:tcPr>
            <w:tcW w:w="775" w:type="pct"/>
            <w:tcBorders>
              <w:top w:val="nil"/>
              <w:left w:val="nil"/>
              <w:bottom w:val="nil"/>
              <w:right w:val="nil"/>
            </w:tcBorders>
          </w:tcPr>
          <w:p w14:paraId="09761297"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288</w:t>
            </w:r>
          </w:p>
        </w:tc>
      </w:tr>
      <w:tr w:rsidR="002334DD" w:rsidRPr="00BC4111" w14:paraId="0BD57639" w14:textId="77777777" w:rsidTr="003355E1">
        <w:trPr>
          <w:jc w:val="center"/>
        </w:trPr>
        <w:tc>
          <w:tcPr>
            <w:tcW w:w="2659" w:type="pct"/>
            <w:tcBorders>
              <w:top w:val="nil"/>
              <w:left w:val="nil"/>
              <w:bottom w:val="nil"/>
              <w:right w:val="nil"/>
            </w:tcBorders>
            <w:vAlign w:val="center"/>
          </w:tcPr>
          <w:p w14:paraId="3A2C0E28" w14:textId="77777777" w:rsidR="002334DD" w:rsidRPr="00BC4111" w:rsidRDefault="002334DD" w:rsidP="003355E1">
            <w:pPr>
              <w:widowControl w:val="0"/>
              <w:autoSpaceDE w:val="0"/>
              <w:autoSpaceDN w:val="0"/>
              <w:adjustRightInd w:val="0"/>
              <w:rPr>
                <w:sz w:val="20"/>
                <w:szCs w:val="20"/>
              </w:rPr>
            </w:pPr>
            <w:r w:rsidRPr="00BC4111">
              <w:rPr>
                <w:color w:val="000000"/>
                <w:sz w:val="20"/>
                <w:szCs w:val="20"/>
                <w:lang w:eastAsia="en-GB"/>
              </w:rPr>
              <w:t>R</w:t>
            </w:r>
            <w:r w:rsidRPr="00BC4111">
              <w:rPr>
                <w:color w:val="000000"/>
                <w:sz w:val="20"/>
                <w:szCs w:val="20"/>
                <w:vertAlign w:val="superscript"/>
                <w:lang w:eastAsia="en-GB"/>
              </w:rPr>
              <w:t>2</w:t>
            </w:r>
          </w:p>
        </w:tc>
        <w:tc>
          <w:tcPr>
            <w:tcW w:w="828" w:type="pct"/>
            <w:tcBorders>
              <w:top w:val="nil"/>
              <w:left w:val="nil"/>
              <w:bottom w:val="nil"/>
              <w:right w:val="nil"/>
            </w:tcBorders>
          </w:tcPr>
          <w:p w14:paraId="4727F843"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na</w:t>
            </w:r>
          </w:p>
        </w:tc>
        <w:tc>
          <w:tcPr>
            <w:tcW w:w="738" w:type="pct"/>
            <w:tcBorders>
              <w:top w:val="nil"/>
              <w:left w:val="nil"/>
              <w:bottom w:val="nil"/>
              <w:right w:val="nil"/>
            </w:tcBorders>
          </w:tcPr>
          <w:p w14:paraId="636BF31C"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na</w:t>
            </w:r>
          </w:p>
        </w:tc>
        <w:tc>
          <w:tcPr>
            <w:tcW w:w="775" w:type="pct"/>
            <w:tcBorders>
              <w:top w:val="nil"/>
              <w:left w:val="nil"/>
              <w:bottom w:val="nil"/>
              <w:right w:val="nil"/>
            </w:tcBorders>
          </w:tcPr>
          <w:p w14:paraId="3F5A7208"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na</w:t>
            </w:r>
          </w:p>
        </w:tc>
      </w:tr>
      <w:tr w:rsidR="002334DD" w:rsidRPr="00BC4111" w14:paraId="4F35537C" w14:textId="77777777" w:rsidTr="003355E1">
        <w:tblPrEx>
          <w:tblBorders>
            <w:bottom w:val="single" w:sz="6" w:space="0" w:color="auto"/>
          </w:tblBorders>
        </w:tblPrEx>
        <w:trPr>
          <w:jc w:val="center"/>
        </w:trPr>
        <w:tc>
          <w:tcPr>
            <w:tcW w:w="2659" w:type="pct"/>
            <w:tcBorders>
              <w:top w:val="nil"/>
              <w:left w:val="nil"/>
              <w:bottom w:val="single" w:sz="6" w:space="0" w:color="auto"/>
              <w:right w:val="nil"/>
            </w:tcBorders>
            <w:vAlign w:val="center"/>
          </w:tcPr>
          <w:p w14:paraId="17252FF7" w14:textId="77777777" w:rsidR="002334DD" w:rsidRPr="00BC4111" w:rsidRDefault="002334DD" w:rsidP="003355E1">
            <w:pPr>
              <w:widowControl w:val="0"/>
              <w:autoSpaceDE w:val="0"/>
              <w:autoSpaceDN w:val="0"/>
              <w:adjustRightInd w:val="0"/>
              <w:rPr>
                <w:sz w:val="20"/>
                <w:szCs w:val="20"/>
              </w:rPr>
            </w:pPr>
            <w:r w:rsidRPr="00BC4111">
              <w:rPr>
                <w:color w:val="000000"/>
                <w:sz w:val="20"/>
                <w:szCs w:val="20"/>
                <w:lang w:eastAsia="en-GB"/>
              </w:rPr>
              <w:t>Wald χ</w:t>
            </w:r>
            <w:r w:rsidRPr="00BC4111">
              <w:rPr>
                <w:color w:val="000000"/>
                <w:sz w:val="20"/>
                <w:szCs w:val="20"/>
                <w:vertAlign w:val="superscript"/>
                <w:lang w:eastAsia="en-GB"/>
              </w:rPr>
              <w:t>2</w:t>
            </w:r>
          </w:p>
        </w:tc>
        <w:tc>
          <w:tcPr>
            <w:tcW w:w="828" w:type="pct"/>
            <w:tcBorders>
              <w:top w:val="nil"/>
              <w:left w:val="nil"/>
              <w:bottom w:val="single" w:sz="6" w:space="0" w:color="auto"/>
              <w:right w:val="nil"/>
            </w:tcBorders>
          </w:tcPr>
          <w:p w14:paraId="08ADE69C"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223.40***</w:t>
            </w:r>
          </w:p>
        </w:tc>
        <w:tc>
          <w:tcPr>
            <w:tcW w:w="738" w:type="pct"/>
            <w:tcBorders>
              <w:top w:val="nil"/>
              <w:left w:val="nil"/>
              <w:bottom w:val="single" w:sz="6" w:space="0" w:color="auto"/>
              <w:right w:val="nil"/>
            </w:tcBorders>
          </w:tcPr>
          <w:p w14:paraId="127493EA"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195.10***</w:t>
            </w:r>
          </w:p>
        </w:tc>
        <w:tc>
          <w:tcPr>
            <w:tcW w:w="775" w:type="pct"/>
            <w:tcBorders>
              <w:top w:val="nil"/>
              <w:left w:val="nil"/>
              <w:bottom w:val="single" w:sz="6" w:space="0" w:color="auto"/>
              <w:right w:val="nil"/>
            </w:tcBorders>
          </w:tcPr>
          <w:p w14:paraId="1D5B360D" w14:textId="77777777" w:rsidR="002334DD" w:rsidRPr="00BC4111" w:rsidRDefault="002334DD" w:rsidP="003355E1">
            <w:pPr>
              <w:widowControl w:val="0"/>
              <w:autoSpaceDE w:val="0"/>
              <w:autoSpaceDN w:val="0"/>
              <w:adjustRightInd w:val="0"/>
              <w:jc w:val="center"/>
              <w:rPr>
                <w:sz w:val="20"/>
                <w:szCs w:val="20"/>
              </w:rPr>
            </w:pPr>
            <w:r w:rsidRPr="00BC4111">
              <w:rPr>
                <w:sz w:val="20"/>
                <w:szCs w:val="20"/>
              </w:rPr>
              <w:t>157.10***</w:t>
            </w:r>
          </w:p>
        </w:tc>
      </w:tr>
    </w:tbl>
    <w:p w14:paraId="4BD08FD1" w14:textId="77777777" w:rsidR="002334DD" w:rsidRPr="00BC4111" w:rsidRDefault="002334DD" w:rsidP="002334DD">
      <w:pPr>
        <w:widowControl w:val="0"/>
        <w:autoSpaceDE w:val="0"/>
        <w:autoSpaceDN w:val="0"/>
        <w:adjustRightInd w:val="0"/>
        <w:jc w:val="center"/>
      </w:pPr>
    </w:p>
    <w:p w14:paraId="1B2A219D" w14:textId="77777777" w:rsidR="002334DD" w:rsidRPr="00BC4111" w:rsidRDefault="002334DD" w:rsidP="002334DD"/>
    <w:p w14:paraId="5C5F700C" w14:textId="77777777" w:rsidR="00AB4B84" w:rsidRPr="00AB4B84" w:rsidRDefault="00AB4B84" w:rsidP="00AB4B84"/>
    <w:sectPr w:rsidR="00AB4B84" w:rsidRPr="00AB4B84" w:rsidSect="00942A6C">
      <w:footerReference w:type="default" r:id="rId18"/>
      <w:pgSz w:w="12242" w:h="15842" w:code="1"/>
      <w:pgMar w:top="1967" w:right="1440" w:bottom="19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1F7D" w14:textId="77777777" w:rsidR="003116BC" w:rsidRDefault="003116BC" w:rsidP="00565A7D">
      <w:r>
        <w:separator/>
      </w:r>
    </w:p>
  </w:endnote>
  <w:endnote w:type="continuationSeparator" w:id="0">
    <w:p w14:paraId="5CE2D35C" w14:textId="77777777" w:rsidR="003116BC" w:rsidRDefault="003116BC" w:rsidP="0056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753631"/>
      <w:docPartObj>
        <w:docPartGallery w:val="Page Numbers (Bottom of Page)"/>
        <w:docPartUnique/>
      </w:docPartObj>
    </w:sdtPr>
    <w:sdtEndPr>
      <w:rPr>
        <w:noProof/>
      </w:rPr>
    </w:sdtEndPr>
    <w:sdtContent>
      <w:p w14:paraId="1D909B2E" w14:textId="77777777" w:rsidR="004A426E" w:rsidRDefault="004A426E">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14:paraId="4F9DFF17" w14:textId="77777777" w:rsidR="004A426E" w:rsidRDefault="004A4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65287"/>
      <w:docPartObj>
        <w:docPartGallery w:val="Page Numbers (Bottom of Page)"/>
        <w:docPartUnique/>
      </w:docPartObj>
    </w:sdtPr>
    <w:sdtEndPr>
      <w:rPr>
        <w:noProof/>
      </w:rPr>
    </w:sdtEndPr>
    <w:sdtContent>
      <w:p w14:paraId="4887451E" w14:textId="6CAC77B1" w:rsidR="004A426E" w:rsidRDefault="004A426E">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14:paraId="08737EB9" w14:textId="77777777" w:rsidR="004A426E" w:rsidRDefault="004A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0CA7" w14:textId="77777777" w:rsidR="003116BC" w:rsidRDefault="003116BC" w:rsidP="00565A7D">
      <w:r>
        <w:separator/>
      </w:r>
    </w:p>
  </w:footnote>
  <w:footnote w:type="continuationSeparator" w:id="0">
    <w:p w14:paraId="60FB2CAB" w14:textId="77777777" w:rsidR="003116BC" w:rsidRDefault="003116BC" w:rsidP="00565A7D">
      <w:r>
        <w:continuationSeparator/>
      </w:r>
    </w:p>
  </w:footnote>
  <w:footnote w:id="1">
    <w:p w14:paraId="5C307143" w14:textId="13DC4166" w:rsidR="004A426E" w:rsidRPr="007824E4" w:rsidRDefault="004A426E" w:rsidP="007824E4">
      <w:pPr>
        <w:jc w:val="both"/>
        <w:rPr>
          <w:sz w:val="20"/>
          <w:szCs w:val="20"/>
          <w:lang w:val="en-US" w:eastAsia="en-GB"/>
        </w:rPr>
      </w:pPr>
      <w:r w:rsidRPr="007824E4">
        <w:rPr>
          <w:rStyle w:val="FootnoteReference"/>
          <w:sz w:val="20"/>
          <w:szCs w:val="20"/>
        </w:rPr>
        <w:footnoteRef/>
      </w:r>
      <w:r w:rsidRPr="007824E4">
        <w:rPr>
          <w:sz w:val="20"/>
          <w:szCs w:val="20"/>
        </w:rPr>
        <w:t xml:space="preserve"> </w:t>
      </w:r>
      <w:r w:rsidRPr="007824E4">
        <w:rPr>
          <w:sz w:val="20"/>
          <w:szCs w:val="20"/>
          <w:lang w:val="en-US"/>
        </w:rPr>
        <w:t xml:space="preserve">The cross-country differences in our sample </w:t>
      </w:r>
      <w:r w:rsidRPr="007824E4">
        <w:rPr>
          <w:sz w:val="20"/>
          <w:szCs w:val="20"/>
          <w:lang w:val="en-US" w:eastAsia="en-GB"/>
        </w:rPr>
        <w:t>allow us to extend the concept of locality examined in Butler (2008) and Arena and Dewally (2012)</w:t>
      </w:r>
      <w:r w:rsidRPr="007824E4">
        <w:rPr>
          <w:sz w:val="20"/>
          <w:szCs w:val="20"/>
          <w:lang w:val="en-US"/>
        </w:rPr>
        <w:t xml:space="preserve"> across national borders where informational, legal, cultural and linguistic barriers could affect the choice between using domestic and non-domestic bookrunners. Moreover, bookrunner syndicates in the euro-denominated market are larger and the choice to use domestic or non-domestic bookrunners is non-binary. We also extend the definition of a domestic bookrunner beyond headquarter location by focusing on the lending commitments of bookrunners in the domestic economy and directly to the issuing firm.</w:t>
      </w:r>
    </w:p>
    <w:p w14:paraId="73F76D8A" w14:textId="02ED144D" w:rsidR="004A426E" w:rsidRPr="007824E4" w:rsidRDefault="004A426E" w:rsidP="007824E4">
      <w:pPr>
        <w:pStyle w:val="FootnoteText"/>
        <w:jc w:val="both"/>
      </w:pPr>
    </w:p>
  </w:footnote>
  <w:footnote w:id="2">
    <w:p w14:paraId="0075709F" w14:textId="77777777" w:rsidR="004A426E" w:rsidRPr="007824E4" w:rsidRDefault="004A426E" w:rsidP="00AD3721">
      <w:pPr>
        <w:pStyle w:val="FootnoteText"/>
        <w:jc w:val="both"/>
      </w:pPr>
      <w:r w:rsidRPr="007824E4">
        <w:rPr>
          <w:rStyle w:val="FootnoteReference"/>
        </w:rPr>
        <w:footnoteRef/>
      </w:r>
      <w:r w:rsidRPr="007824E4">
        <w:t xml:space="preserve"> As we will discuss later in the paper, the only role for passive bookrunners is the certification of the debt issuance.</w:t>
      </w:r>
    </w:p>
  </w:footnote>
  <w:footnote w:id="3">
    <w:p w14:paraId="346E2721" w14:textId="77777777" w:rsidR="004A426E" w:rsidRPr="007824E4" w:rsidRDefault="004A426E" w:rsidP="00AD3721">
      <w:pPr>
        <w:pStyle w:val="FootnoteText"/>
        <w:jc w:val="both"/>
      </w:pPr>
      <w:r w:rsidRPr="007824E4">
        <w:rPr>
          <w:rStyle w:val="FootnoteReference"/>
        </w:rPr>
        <w:footnoteRef/>
      </w:r>
      <w:r w:rsidRPr="007824E4">
        <w:t xml:space="preserve"> Note that, unlike various prior studies focusing on smaller US debt issuance (Butler, 2008), international investor demand is critical for European corporate bond issuance. </w:t>
      </w:r>
    </w:p>
  </w:footnote>
  <w:footnote w:id="4">
    <w:p w14:paraId="21407949" w14:textId="534DC34A" w:rsidR="004A426E" w:rsidRPr="007824E4" w:rsidRDefault="004A426E" w:rsidP="007824E4">
      <w:pPr>
        <w:pStyle w:val="FootnoteText"/>
        <w:jc w:val="both"/>
      </w:pPr>
      <w:r w:rsidRPr="007824E4">
        <w:rPr>
          <w:rStyle w:val="FootnoteReference"/>
        </w:rPr>
        <w:footnoteRef/>
      </w:r>
      <w:r w:rsidRPr="007824E4">
        <w:t xml:space="preserve"> See for instance the article “Banks chase top spot in league” (eFinancial News [Online], 11 May 2009). </w:t>
      </w:r>
    </w:p>
  </w:footnote>
  <w:footnote w:id="5">
    <w:p w14:paraId="60BC910E" w14:textId="7674538D" w:rsidR="004A426E" w:rsidRPr="007824E4" w:rsidRDefault="004A426E" w:rsidP="007824E4">
      <w:pPr>
        <w:pStyle w:val="FootnoteText"/>
        <w:jc w:val="both"/>
      </w:pPr>
      <w:r w:rsidRPr="007824E4">
        <w:rPr>
          <w:rStyle w:val="FootnoteReference"/>
        </w:rPr>
        <w:footnoteRef/>
      </w:r>
      <w:r w:rsidRPr="007824E4">
        <w:t xml:space="preserve"> Dealogic search of European corporate bond tranches with a “global co-ordinator”, being the equivalent term for a “lead underwriter”</w:t>
      </w:r>
      <w:r>
        <w:t>. In our sample, around 4.6% of the tranches have “global co-ordinator”.</w:t>
      </w:r>
    </w:p>
  </w:footnote>
  <w:footnote w:id="6">
    <w:p w14:paraId="1D3312D4" w14:textId="1F7283A5" w:rsidR="004A426E" w:rsidRDefault="004A426E" w:rsidP="0009569C">
      <w:pPr>
        <w:pStyle w:val="FootnoteText"/>
        <w:jc w:val="both"/>
      </w:pPr>
      <w:r>
        <w:rPr>
          <w:rStyle w:val="FootnoteReference"/>
        </w:rPr>
        <w:footnoteRef/>
      </w:r>
      <w:r>
        <w:t xml:space="preserve"> </w:t>
      </w:r>
      <w:r w:rsidRPr="006F5243">
        <w:t>These studies only consider the characteristics of a single bookrunner, reflecting either the nature of the bond market they study (Butler, 2008) or data availability (Lau and Yu, 2010). However, most public bond offerings, are led by a group of bookrunners. In addition, these studies incorporate high yield offerings, which likely accentuate the impact of bookrunner selection.</w:t>
      </w:r>
    </w:p>
  </w:footnote>
  <w:footnote w:id="7">
    <w:p w14:paraId="7D2AD2C7" w14:textId="0995D844" w:rsidR="004A426E" w:rsidRPr="007824E4" w:rsidRDefault="004A426E" w:rsidP="007824E4">
      <w:pPr>
        <w:pStyle w:val="FootnoteText"/>
        <w:jc w:val="both"/>
      </w:pPr>
      <w:r w:rsidRPr="007824E4">
        <w:rPr>
          <w:rStyle w:val="FootnoteReference"/>
        </w:rPr>
        <w:footnoteRef/>
      </w:r>
      <w:r w:rsidRPr="007824E4">
        <w:t xml:space="preserve"> Dealogic defines Western Europe as including Austria, Belgium, France, Germany, Greece, Ireland, Italy, Luxembourg, Netherlands, Portugal, Spain, Switzerland and the UK.</w:t>
      </w:r>
      <w:r>
        <w:t xml:space="preserve"> Several </w:t>
      </w:r>
      <w:r w:rsidR="00F11CBF">
        <w:t xml:space="preserve">recent </w:t>
      </w:r>
      <w:r>
        <w:t xml:space="preserve">studies has used Dealogic </w:t>
      </w:r>
      <w:r>
        <w:rPr>
          <w:lang w:val="en-US"/>
        </w:rPr>
        <w:t>as their primary source of bond market data (Duca et al, 2016, Ayala et al., 2017, Hale et al., 2020).</w:t>
      </w:r>
    </w:p>
  </w:footnote>
  <w:footnote w:id="8">
    <w:p w14:paraId="6EE516F3" w14:textId="77777777" w:rsidR="004A426E" w:rsidRPr="007824E4" w:rsidRDefault="004A426E" w:rsidP="007824E4">
      <w:pPr>
        <w:pStyle w:val="ListParagraph"/>
        <w:ind w:left="0"/>
        <w:contextualSpacing w:val="0"/>
        <w:jc w:val="both"/>
        <w:rPr>
          <w:sz w:val="20"/>
          <w:szCs w:val="20"/>
        </w:rPr>
      </w:pPr>
      <w:r w:rsidRPr="007824E4">
        <w:rPr>
          <w:rStyle w:val="FootnoteReference"/>
          <w:sz w:val="20"/>
          <w:szCs w:val="20"/>
        </w:rPr>
        <w:footnoteRef/>
      </w:r>
      <w:r w:rsidRPr="007824E4">
        <w:rPr>
          <w:sz w:val="20"/>
          <w:szCs w:val="20"/>
        </w:rPr>
        <w:t xml:space="preserve"> Stulz and Johnson (1985) note that the value of secured debt is largely linked to the value of the collateral assigned to the bond as opposed to the overall credit worthiness of the firm. </w:t>
      </w:r>
    </w:p>
  </w:footnote>
  <w:footnote w:id="9">
    <w:p w14:paraId="52F4C890" w14:textId="77777777" w:rsidR="004A426E" w:rsidRPr="007824E4" w:rsidRDefault="004A426E" w:rsidP="007824E4">
      <w:pPr>
        <w:pStyle w:val="FootnoteText"/>
        <w:jc w:val="both"/>
      </w:pPr>
      <w:r w:rsidRPr="007824E4">
        <w:rPr>
          <w:rStyle w:val="FootnoteReference"/>
        </w:rPr>
        <w:footnoteRef/>
      </w:r>
      <w:r w:rsidRPr="007824E4">
        <w:t xml:space="preserve"> A small number of unrated tranches remain in our sample. Dealogic classifies these tranches as investment grade where the issuer and security have investment grade characteristics and the security has no covenants. Removing these tranches from our analysis does not affect our empirical results.</w:t>
      </w:r>
    </w:p>
  </w:footnote>
  <w:footnote w:id="10">
    <w:p w14:paraId="6B2AF39F" w14:textId="416DEC48" w:rsidR="004A426E" w:rsidRPr="007824E4" w:rsidRDefault="004A426E" w:rsidP="007824E4">
      <w:pPr>
        <w:pStyle w:val="FootnoteText"/>
        <w:jc w:val="both"/>
      </w:pPr>
      <w:r w:rsidRPr="007824E4">
        <w:rPr>
          <w:rStyle w:val="FootnoteReference"/>
        </w:rPr>
        <w:footnoteRef/>
      </w:r>
      <w:r w:rsidRPr="007824E4">
        <w:t xml:space="preserve"> These are known as taps. Taps have the same terms and conditions as an existing bond and effectively result in an increase in the outstanding amount of the bond. Taps tend to be sold to a small number of existing holders of the bond.</w:t>
      </w:r>
    </w:p>
  </w:footnote>
  <w:footnote w:id="11">
    <w:p w14:paraId="4A41A7EF" w14:textId="3342D967" w:rsidR="004A426E" w:rsidRPr="007824E4" w:rsidRDefault="004A426E" w:rsidP="007824E4">
      <w:pPr>
        <w:pStyle w:val="FootnoteText"/>
        <w:jc w:val="both"/>
      </w:pPr>
      <w:r w:rsidRPr="007824E4">
        <w:rPr>
          <w:rStyle w:val="FootnoteReference"/>
        </w:rPr>
        <w:footnoteRef/>
      </w:r>
      <w:r w:rsidRPr="007824E4">
        <w:t xml:space="preserve"> </w:t>
      </w:r>
      <w:r w:rsidRPr="007824E4">
        <w:rPr>
          <w:lang w:val="en-US"/>
        </w:rPr>
        <w:t xml:space="preserve">Alternative proxies for bookrunner quality can include fees and tranche characteristics including size and tenor. However, tranche characteristics are difficult to interpret as measures of issue quality without an understanding of issuer’s optimal preferences. </w:t>
      </w:r>
    </w:p>
  </w:footnote>
  <w:footnote w:id="12">
    <w:p w14:paraId="164C242C" w14:textId="67348379" w:rsidR="004A426E" w:rsidRPr="007824E4" w:rsidRDefault="004A426E" w:rsidP="007824E4">
      <w:pPr>
        <w:pStyle w:val="FootnoteText"/>
        <w:jc w:val="both"/>
      </w:pPr>
      <w:r w:rsidRPr="007824E4">
        <w:rPr>
          <w:rStyle w:val="FootnoteReference"/>
        </w:rPr>
        <w:footnoteRef/>
      </w:r>
      <w:r w:rsidRPr="007824E4">
        <w:t xml:space="preserve"> </w:t>
      </w:r>
      <w:r w:rsidRPr="007824E4">
        <w:rPr>
          <w:lang w:val="en-US"/>
        </w:rPr>
        <w:t xml:space="preserve">The at-issue credit spread is quoted in key trade publications including Thomson Reuters’ International Financing Review (IFR) and Euromoney Institutional Investors’ GlobalCapital. </w:t>
      </w:r>
      <w:r w:rsidRPr="007824E4">
        <w:t>For example, in “Blue chips thrive as EDF takes EUR 2bn, Daimler goes to 10 years,” GlobalCapital, September 4, 2012 describes the French utility as having “...sold a EUR 2bn 10 year bond in January [2012] that had a 3.875% coupon and was priced at 168.6bp over mid-swaps.”</w:t>
      </w:r>
    </w:p>
  </w:footnote>
  <w:footnote w:id="13">
    <w:p w14:paraId="02146B14" w14:textId="6C792758" w:rsidR="004A426E" w:rsidRPr="007824E4" w:rsidRDefault="004A426E" w:rsidP="007824E4">
      <w:pPr>
        <w:pStyle w:val="FootnoteText"/>
        <w:jc w:val="both"/>
      </w:pPr>
      <w:r w:rsidRPr="007824E4">
        <w:rPr>
          <w:rStyle w:val="FootnoteReference"/>
        </w:rPr>
        <w:footnoteRef/>
      </w:r>
      <w:r w:rsidRPr="007824E4">
        <w:t xml:space="preserve"> Excluding floating rate tranches does not affect our overall results.</w:t>
      </w:r>
    </w:p>
  </w:footnote>
  <w:footnote w:id="14">
    <w:p w14:paraId="4DF9BB94" w14:textId="3702412D" w:rsidR="004A426E" w:rsidRPr="007824E4" w:rsidRDefault="004A426E" w:rsidP="007824E4">
      <w:pPr>
        <w:pStyle w:val="FootnoteText"/>
        <w:jc w:val="both"/>
        <w:rPr>
          <w:lang w:eastAsia="en-GB"/>
        </w:rPr>
      </w:pPr>
      <w:r w:rsidRPr="007824E4">
        <w:rPr>
          <w:rStyle w:val="FootnoteReference"/>
        </w:rPr>
        <w:footnoteRef/>
      </w:r>
      <w:r w:rsidRPr="007824E4">
        <w:t xml:space="preserve"> </w:t>
      </w:r>
      <w:r w:rsidRPr="007824E4">
        <w:rPr>
          <w:lang w:eastAsia="en-GB"/>
        </w:rPr>
        <w:t>It is important for active bookrunners to make this distinction in financial press coverage of the issue, to avoid investors contacting the wrong bank’s sales force. In addition, it is generally recognised in the market that the active status is considered to be more prestigious than the passive role.</w:t>
      </w:r>
    </w:p>
  </w:footnote>
  <w:footnote w:id="15">
    <w:p w14:paraId="300BD0F7" w14:textId="5AD0BEC2" w:rsidR="004A426E" w:rsidRPr="007824E4" w:rsidRDefault="004A426E" w:rsidP="007824E4">
      <w:pPr>
        <w:pStyle w:val="FootnoteText"/>
        <w:jc w:val="both"/>
      </w:pPr>
      <w:r w:rsidRPr="007824E4">
        <w:rPr>
          <w:rStyle w:val="FootnoteReference"/>
        </w:rPr>
        <w:footnoteRef/>
      </w:r>
      <w:r w:rsidRPr="007824E4">
        <w:t xml:space="preserve"> Our results are unaffected if we define prior lending relationships based on the number of bookrunners acting as mandated lead arranger, the value of loans provided, or the number of loans provided. They are also unaffected if we examine banks identified in Dealogic as lenders rather than specifically focusing on mandated lead arrangers, or if we restrict the definition of a prior lending relationship to a one-year time period prior to the current issue.</w:t>
      </w:r>
    </w:p>
  </w:footnote>
  <w:footnote w:id="16">
    <w:p w14:paraId="036F16B1" w14:textId="73FA5665" w:rsidR="004A426E" w:rsidRPr="007824E4" w:rsidRDefault="004A426E" w:rsidP="007824E4">
      <w:pPr>
        <w:pStyle w:val="FootnoteText"/>
        <w:jc w:val="both"/>
      </w:pPr>
      <w:r w:rsidRPr="007824E4">
        <w:rPr>
          <w:rStyle w:val="FootnoteReference"/>
        </w:rPr>
        <w:footnoteRef/>
      </w:r>
      <w:r w:rsidRPr="007824E4">
        <w:t xml:space="preserve"> Focusing on final order orderbook demand minimizes endogeneity concerns due to revision of the offer terms in response to initial demand in the intraday market. Our data captures the single direction of the relation whereby the final terms drive the reported orderbook size.</w:t>
      </w:r>
    </w:p>
  </w:footnote>
  <w:footnote w:id="17">
    <w:p w14:paraId="53455946" w14:textId="48F2E523" w:rsidR="004A426E" w:rsidRPr="007824E4" w:rsidRDefault="004A426E" w:rsidP="00DA0F74">
      <w:pPr>
        <w:pStyle w:val="FootnoteText"/>
      </w:pPr>
      <w:r w:rsidRPr="007824E4">
        <w:rPr>
          <w:rStyle w:val="FootnoteReference"/>
        </w:rPr>
        <w:footnoteRef/>
      </w:r>
      <w:r w:rsidRPr="007824E4">
        <w:t xml:space="preserve"> We discuss the robustness of our findings to alternative instrumental variables n Section 4.</w:t>
      </w:r>
      <w:r>
        <w:t>5</w:t>
      </w:r>
      <w:r w:rsidRPr="007824E4">
        <w:t>.3 of the paper.</w:t>
      </w:r>
    </w:p>
  </w:footnote>
  <w:footnote w:id="18">
    <w:p w14:paraId="45F39686" w14:textId="37D3CE64" w:rsidR="004A426E" w:rsidRPr="007824E4" w:rsidRDefault="004A426E" w:rsidP="007824E4">
      <w:pPr>
        <w:pStyle w:val="FootnoteText"/>
        <w:jc w:val="both"/>
      </w:pPr>
      <w:r w:rsidRPr="007824E4">
        <w:rPr>
          <w:rStyle w:val="FootnoteReference"/>
        </w:rPr>
        <w:footnoteRef/>
      </w:r>
      <w:r w:rsidRPr="007824E4">
        <w:t xml:space="preserve"> See Asquith et al. (2013), Elton et al. (2001), and Shivdasani and Song (2011) for a summary of these variables.</w:t>
      </w:r>
    </w:p>
  </w:footnote>
  <w:footnote w:id="19">
    <w:p w14:paraId="2CE27C2E" w14:textId="53A1AB0B" w:rsidR="004A426E" w:rsidRPr="007824E4" w:rsidRDefault="004A426E" w:rsidP="007824E4">
      <w:pPr>
        <w:pStyle w:val="FootnoteText"/>
        <w:jc w:val="both"/>
      </w:pPr>
      <w:r w:rsidRPr="007824E4">
        <w:rPr>
          <w:rStyle w:val="FootnoteReference"/>
        </w:rPr>
        <w:footnoteRef/>
      </w:r>
      <w:r w:rsidRPr="007824E4">
        <w:t xml:space="preserve"> All results are unchanged if we use dummy variables on a five-point scale covering AAA, AA, A, BBB, and unrated bonds, or if we include the continuous credit rating score as alternative explanatory variables.</w:t>
      </w:r>
    </w:p>
  </w:footnote>
  <w:footnote w:id="20">
    <w:p w14:paraId="07C2CC6D" w14:textId="2DABE07C" w:rsidR="004A426E" w:rsidRPr="007824E4" w:rsidRDefault="004A426E" w:rsidP="007824E4">
      <w:pPr>
        <w:pStyle w:val="FootnoteText"/>
        <w:jc w:val="both"/>
      </w:pPr>
      <w:r w:rsidRPr="007824E4">
        <w:rPr>
          <w:rStyle w:val="FootnoteReference"/>
        </w:rPr>
        <w:footnoteRef/>
      </w:r>
      <w:r w:rsidRPr="007824E4">
        <w:t xml:space="preserve"> </w:t>
      </w:r>
      <w:r w:rsidRPr="007824E4">
        <w:rPr>
          <w:lang w:val="en-US"/>
        </w:rPr>
        <w:t>iBoxx requires a EUR 0.5bn minimum issue size and includes a 5-7 year and a 7-10 year index.</w:t>
      </w:r>
    </w:p>
  </w:footnote>
  <w:footnote w:id="21">
    <w:p w14:paraId="6DFD99F6" w14:textId="1FB8B819" w:rsidR="004A426E" w:rsidRPr="007824E4" w:rsidRDefault="004A426E" w:rsidP="007824E4">
      <w:pPr>
        <w:pStyle w:val="FootnoteText"/>
        <w:jc w:val="both"/>
      </w:pPr>
      <w:r w:rsidRPr="007824E4">
        <w:rPr>
          <w:rStyle w:val="FootnoteReference"/>
        </w:rPr>
        <w:footnoteRef/>
      </w:r>
      <w:r w:rsidRPr="007824E4">
        <w:t xml:space="preserve"> Ideally, our risk premium measure would be the difference between AAA and BBB rated corporate bonds, but the limited number of AAA rated issues in the European market render this definition of the variable unsuitable in practice.</w:t>
      </w:r>
    </w:p>
  </w:footnote>
  <w:footnote w:id="22">
    <w:p w14:paraId="0037B2C1" w14:textId="6660A694" w:rsidR="004A426E" w:rsidRPr="007824E4" w:rsidRDefault="004A426E" w:rsidP="007824E4">
      <w:pPr>
        <w:pStyle w:val="FootnoteText"/>
        <w:jc w:val="both"/>
      </w:pPr>
      <w:r w:rsidRPr="007824E4">
        <w:rPr>
          <w:rStyle w:val="FootnoteReference"/>
        </w:rPr>
        <w:footnoteRef/>
      </w:r>
      <w:r w:rsidRPr="007824E4">
        <w:t xml:space="preserve"> Our results are robust to using the yield to maturity as the dependent variable in second stage regressions. </w:t>
      </w:r>
    </w:p>
  </w:footnote>
  <w:footnote w:id="23">
    <w:p w14:paraId="36C5B150" w14:textId="5BAE1620" w:rsidR="004A426E" w:rsidRPr="007824E4" w:rsidRDefault="004A426E" w:rsidP="004C334E">
      <w:pPr>
        <w:pStyle w:val="FootnoteText"/>
        <w:jc w:val="both"/>
      </w:pPr>
      <w:r w:rsidRPr="007824E4">
        <w:rPr>
          <w:rStyle w:val="FootnoteReference"/>
        </w:rPr>
        <w:footnoteRef/>
      </w:r>
      <w:r w:rsidRPr="007824E4">
        <w:t xml:space="preserve"> A bond-level analysis would hence be inappropriate as at-issue credit spread is not necessarily a linear function of such variables as tenor and size. Practitioners inform us that at-issue credit spread curve can be exponentially increasing for longer tenors and that investors can demand “price breaks” for deals larger than a certain size.</w:t>
      </w:r>
    </w:p>
  </w:footnote>
  <w:footnote w:id="24">
    <w:p w14:paraId="7D6EDF95" w14:textId="0BD1DE08" w:rsidR="004A426E" w:rsidRDefault="004A426E" w:rsidP="003A2405">
      <w:pPr>
        <w:pStyle w:val="FootnoteText"/>
        <w:jc w:val="both"/>
      </w:pPr>
      <w:r>
        <w:rPr>
          <w:rStyle w:val="FootnoteReference"/>
        </w:rPr>
        <w:footnoteRef/>
      </w:r>
      <w:r>
        <w:t xml:space="preserve"> </w:t>
      </w:r>
      <w:r w:rsidRPr="003A2405">
        <w:t>We also examine the at-issue credit spread for the Covid-19 pandemic period. Similar to other crisis periods, we expect the credit spread to increase significantly and the relation between bookrunner geography and credit spread to be stronger during</w:t>
      </w:r>
      <w:r>
        <w:t xml:space="preserve"> the</w:t>
      </w:r>
      <w:r w:rsidRPr="003A2405">
        <w:t xml:space="preserve"> pandemic. Our preliminary investigation is for euro-denominated public bond issues made between January 2019 - December 2020. We report the results in Appendix B for brevity. Panel A of Appendix B shows that the credit spread has increased significantly in the post-Covid-19 compared to pre-</w:t>
      </w:r>
      <w:r>
        <w:t>C</w:t>
      </w:r>
      <w:r w:rsidRPr="003A2405">
        <w:t xml:space="preserve">ovid19 period. However, the decline is relatively smaller compared to the decline in financial and eurozone crisis. Panel B does not report any significant relation between proportion of non-domestic bookrunners and at-issue credit periods during Covid-19 pandemic. </w:t>
      </w:r>
      <w:r w:rsidR="007F5792">
        <w:t>Clearly this crisis is different from the other crises we examine and t</w:t>
      </w:r>
      <w:r w:rsidRPr="003A2405">
        <w:t xml:space="preserve">his </w:t>
      </w:r>
      <w:r w:rsidR="007F5792">
        <w:t xml:space="preserve">result </w:t>
      </w:r>
      <w:r w:rsidRPr="003A2405">
        <w:t>could potentially highlight the impact of social restrictions and change in workplace environment (work-from-home/work-from-away) during the pandemic. The improvement in technology overtime coupled with such restrictions has resulted in bond issuance process to be conducted virtually, arguably creating a level field for domestic and non-domestic bookrunners.</w:t>
      </w:r>
    </w:p>
  </w:footnote>
  <w:footnote w:id="25">
    <w:p w14:paraId="79E2BAC0" w14:textId="77777777" w:rsidR="004A426E" w:rsidRPr="007824E4" w:rsidRDefault="004A426E" w:rsidP="007824E4">
      <w:pPr>
        <w:tabs>
          <w:tab w:val="left" w:pos="4962"/>
        </w:tabs>
        <w:jc w:val="both"/>
        <w:rPr>
          <w:sz w:val="20"/>
          <w:szCs w:val="20"/>
          <w:lang w:val="en-US"/>
        </w:rPr>
      </w:pPr>
      <w:r w:rsidRPr="007824E4">
        <w:rPr>
          <w:rStyle w:val="FootnoteReference"/>
          <w:sz w:val="20"/>
          <w:szCs w:val="20"/>
        </w:rPr>
        <w:footnoteRef/>
      </w:r>
      <w:r w:rsidRPr="007824E4">
        <w:rPr>
          <w:sz w:val="20"/>
          <w:szCs w:val="20"/>
        </w:rPr>
        <w:t xml:space="preserve"> </w:t>
      </w:r>
      <w:r w:rsidRPr="007824E4">
        <w:rPr>
          <w:sz w:val="20"/>
          <w:szCs w:val="20"/>
          <w:lang w:val="en-US"/>
        </w:rPr>
        <w:t xml:space="preserve">Thus far, we have controlled for additional characteristics of the bookrunner syndicate, including syndicate size, the use of active bookrunners, and bookrunner reputation by modifying our main syndicate geography explanatory variable. We also estimate tests where we add additional controls in our regression models for the total number of bookrunners, number of active bookrunners, the use of passive bookrunners not involved in the placement of tranches, and the league table ranking of syndicate bookrunners as a measure of reputation. Adding these variables to our base regression in Model 1 of Table 4, we find that syndicate size is associated with higher at-issue credit spreads. Controlling for these variables does not affect the positive and significant relation between the proportion of non-domestic bookrunners in the sponsoring syndicate and at-issue credit spreads. </w:t>
      </w:r>
    </w:p>
    <w:p w14:paraId="0A234141" w14:textId="77777777" w:rsidR="004A426E" w:rsidRPr="007824E4" w:rsidRDefault="004A426E" w:rsidP="007824E4">
      <w:pPr>
        <w:pStyle w:val="FootnoteText"/>
        <w:jc w:val="both"/>
      </w:pPr>
    </w:p>
  </w:footnote>
  <w:footnote w:id="26">
    <w:p w14:paraId="5DFA5D06" w14:textId="7685F28A" w:rsidR="004A426E" w:rsidRPr="007824E4" w:rsidRDefault="004A426E" w:rsidP="007824E4">
      <w:pPr>
        <w:pStyle w:val="FootnoteText"/>
        <w:jc w:val="both"/>
      </w:pPr>
      <w:r w:rsidRPr="007824E4">
        <w:rPr>
          <w:rStyle w:val="FootnoteReference"/>
        </w:rPr>
        <w:footnoteRef/>
      </w:r>
      <w:r w:rsidRPr="007824E4">
        <w:t xml:space="preserve"> Larcker and Rusticus (2010) and Lennox et al. (2012) provided a detailed discussion of the assumptions made and problems faced if the instrumental variable does not meet the exclusion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B27"/>
    <w:multiLevelType w:val="hybridMultilevel"/>
    <w:tmpl w:val="2F6EF7BE"/>
    <w:lvl w:ilvl="0" w:tplc="B4A492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80FE2"/>
    <w:multiLevelType w:val="multilevel"/>
    <w:tmpl w:val="1FD0F380"/>
    <w:lvl w:ilvl="0">
      <w:start w:val="1"/>
      <w:numFmt w:val="decimal"/>
      <w:lvlText w:val="%1."/>
      <w:lvlJc w:val="left"/>
      <w:pPr>
        <w:ind w:left="720" w:hanging="360"/>
      </w:pPr>
      <w:rPr>
        <w:rFonts w:hint="default"/>
        <w:color w:val="000000" w:themeColor="text1"/>
        <w:sz w:val="24"/>
        <w:szCs w:val="24"/>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991624"/>
    <w:multiLevelType w:val="hybridMultilevel"/>
    <w:tmpl w:val="FB08F2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B5D6C"/>
    <w:multiLevelType w:val="hybridMultilevel"/>
    <w:tmpl w:val="0FE4E656"/>
    <w:lvl w:ilvl="0" w:tplc="5CE41D3C">
      <w:numFmt w:val="bullet"/>
      <w:lvlText w:val=""/>
      <w:lvlJc w:val="left"/>
      <w:pPr>
        <w:ind w:left="644" w:hanging="360"/>
      </w:pPr>
      <w:rPr>
        <w:rFonts w:ascii="Wingdings" w:eastAsia="Calibri"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AB2546"/>
    <w:multiLevelType w:val="multilevel"/>
    <w:tmpl w:val="F7E4A0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B706A5"/>
    <w:multiLevelType w:val="multilevel"/>
    <w:tmpl w:val="21ECE08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C45F3E"/>
    <w:multiLevelType w:val="hybridMultilevel"/>
    <w:tmpl w:val="1D7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6A24"/>
    <w:multiLevelType w:val="multilevel"/>
    <w:tmpl w:val="E21C0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EF0427"/>
    <w:multiLevelType w:val="multilevel"/>
    <w:tmpl w:val="E21C0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8D25BB"/>
    <w:multiLevelType w:val="multilevel"/>
    <w:tmpl w:val="5D0AA7F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BF027C"/>
    <w:multiLevelType w:val="multilevel"/>
    <w:tmpl w:val="E21C0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7B34A8"/>
    <w:multiLevelType w:val="multilevel"/>
    <w:tmpl w:val="127A5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C6683B"/>
    <w:multiLevelType w:val="hybridMultilevel"/>
    <w:tmpl w:val="0C5A381E"/>
    <w:lvl w:ilvl="0" w:tplc="B6DE0D50">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03E1CD8"/>
    <w:multiLevelType w:val="hybridMultilevel"/>
    <w:tmpl w:val="CB72723C"/>
    <w:lvl w:ilvl="0" w:tplc="1D56D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07322C"/>
    <w:multiLevelType w:val="hybridMultilevel"/>
    <w:tmpl w:val="402A1E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E6A1A"/>
    <w:multiLevelType w:val="hybridMultilevel"/>
    <w:tmpl w:val="0178AA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4112F"/>
    <w:multiLevelType w:val="hybridMultilevel"/>
    <w:tmpl w:val="64B0417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060791"/>
    <w:multiLevelType w:val="multilevel"/>
    <w:tmpl w:val="F81E2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D760A0"/>
    <w:multiLevelType w:val="hybridMultilevel"/>
    <w:tmpl w:val="408CA418"/>
    <w:lvl w:ilvl="0" w:tplc="C2DC2C6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26043A"/>
    <w:multiLevelType w:val="multilevel"/>
    <w:tmpl w:val="E21C0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680E2A"/>
    <w:multiLevelType w:val="hybridMultilevel"/>
    <w:tmpl w:val="9F1EF07A"/>
    <w:lvl w:ilvl="0" w:tplc="83F61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B4D7067"/>
    <w:multiLevelType w:val="multilevel"/>
    <w:tmpl w:val="EBE8C51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2D7C36D4"/>
    <w:multiLevelType w:val="multilevel"/>
    <w:tmpl w:val="5ECADE3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21E6842"/>
    <w:multiLevelType w:val="multilevel"/>
    <w:tmpl w:val="F7E4A0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3EC3427"/>
    <w:multiLevelType w:val="multilevel"/>
    <w:tmpl w:val="17FEB8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B54A81"/>
    <w:multiLevelType w:val="hybridMultilevel"/>
    <w:tmpl w:val="6A162D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465EB"/>
    <w:multiLevelType w:val="multilevel"/>
    <w:tmpl w:val="E21C0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8914BB6"/>
    <w:multiLevelType w:val="multilevel"/>
    <w:tmpl w:val="9E86EA9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567BA"/>
    <w:multiLevelType w:val="hybridMultilevel"/>
    <w:tmpl w:val="1DA48E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60E8C"/>
    <w:multiLevelType w:val="multilevel"/>
    <w:tmpl w:val="D4462B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203CC0"/>
    <w:multiLevelType w:val="multilevel"/>
    <w:tmpl w:val="E21C0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F26D27"/>
    <w:multiLevelType w:val="multilevel"/>
    <w:tmpl w:val="74BCAB3E"/>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344AF8"/>
    <w:multiLevelType w:val="hybridMultilevel"/>
    <w:tmpl w:val="0EFC15FE"/>
    <w:lvl w:ilvl="0" w:tplc="1A22EF7C">
      <w:numFmt w:val="bullet"/>
      <w:lvlText w:val=""/>
      <w:lvlJc w:val="left"/>
      <w:pPr>
        <w:ind w:left="644" w:hanging="360"/>
      </w:pPr>
      <w:rPr>
        <w:rFonts w:ascii="Wingdings" w:eastAsia="Calibri"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2AA12EB"/>
    <w:multiLevelType w:val="hybridMultilevel"/>
    <w:tmpl w:val="41863D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C12C9"/>
    <w:multiLevelType w:val="multilevel"/>
    <w:tmpl w:val="962CBC3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242C2C"/>
    <w:multiLevelType w:val="hybridMultilevel"/>
    <w:tmpl w:val="76F66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E55A5"/>
    <w:multiLevelType w:val="multilevel"/>
    <w:tmpl w:val="E21C0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496A96"/>
    <w:multiLevelType w:val="multilevel"/>
    <w:tmpl w:val="9000D8A0"/>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347E79"/>
    <w:multiLevelType w:val="multilevel"/>
    <w:tmpl w:val="75908E7C"/>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1BF14FC"/>
    <w:multiLevelType w:val="hybridMultilevel"/>
    <w:tmpl w:val="4A841B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261500"/>
    <w:multiLevelType w:val="multilevel"/>
    <w:tmpl w:val="C220EF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319130F"/>
    <w:multiLevelType w:val="hybridMultilevel"/>
    <w:tmpl w:val="9D70560C"/>
    <w:lvl w:ilvl="0" w:tplc="80747860">
      <w:start w:val="1"/>
      <w:numFmt w:val="bullet"/>
      <w:lvlText w:val="•"/>
      <w:lvlJc w:val="left"/>
      <w:pPr>
        <w:tabs>
          <w:tab w:val="num" w:pos="720"/>
        </w:tabs>
        <w:ind w:left="720" w:hanging="360"/>
      </w:pPr>
      <w:rPr>
        <w:rFonts w:ascii="Arial" w:hAnsi="Arial" w:hint="default"/>
      </w:rPr>
    </w:lvl>
    <w:lvl w:ilvl="1" w:tplc="9670CFDE">
      <w:start w:val="1"/>
      <w:numFmt w:val="bullet"/>
      <w:lvlText w:val="•"/>
      <w:lvlJc w:val="left"/>
      <w:pPr>
        <w:tabs>
          <w:tab w:val="num" w:pos="1440"/>
        </w:tabs>
        <w:ind w:left="1440" w:hanging="360"/>
      </w:pPr>
      <w:rPr>
        <w:rFonts w:ascii="Arial" w:hAnsi="Arial" w:hint="default"/>
      </w:rPr>
    </w:lvl>
    <w:lvl w:ilvl="2" w:tplc="20443AC8" w:tentative="1">
      <w:start w:val="1"/>
      <w:numFmt w:val="bullet"/>
      <w:lvlText w:val="•"/>
      <w:lvlJc w:val="left"/>
      <w:pPr>
        <w:tabs>
          <w:tab w:val="num" w:pos="2160"/>
        </w:tabs>
        <w:ind w:left="2160" w:hanging="360"/>
      </w:pPr>
      <w:rPr>
        <w:rFonts w:ascii="Arial" w:hAnsi="Arial" w:hint="default"/>
      </w:rPr>
    </w:lvl>
    <w:lvl w:ilvl="3" w:tplc="7E749BDA" w:tentative="1">
      <w:start w:val="1"/>
      <w:numFmt w:val="bullet"/>
      <w:lvlText w:val="•"/>
      <w:lvlJc w:val="left"/>
      <w:pPr>
        <w:tabs>
          <w:tab w:val="num" w:pos="2880"/>
        </w:tabs>
        <w:ind w:left="2880" w:hanging="360"/>
      </w:pPr>
      <w:rPr>
        <w:rFonts w:ascii="Arial" w:hAnsi="Arial" w:hint="default"/>
      </w:rPr>
    </w:lvl>
    <w:lvl w:ilvl="4" w:tplc="6D0ABBD8" w:tentative="1">
      <w:start w:val="1"/>
      <w:numFmt w:val="bullet"/>
      <w:lvlText w:val="•"/>
      <w:lvlJc w:val="left"/>
      <w:pPr>
        <w:tabs>
          <w:tab w:val="num" w:pos="3600"/>
        </w:tabs>
        <w:ind w:left="3600" w:hanging="360"/>
      </w:pPr>
      <w:rPr>
        <w:rFonts w:ascii="Arial" w:hAnsi="Arial" w:hint="default"/>
      </w:rPr>
    </w:lvl>
    <w:lvl w:ilvl="5" w:tplc="D3B6A470" w:tentative="1">
      <w:start w:val="1"/>
      <w:numFmt w:val="bullet"/>
      <w:lvlText w:val="•"/>
      <w:lvlJc w:val="left"/>
      <w:pPr>
        <w:tabs>
          <w:tab w:val="num" w:pos="4320"/>
        </w:tabs>
        <w:ind w:left="4320" w:hanging="360"/>
      </w:pPr>
      <w:rPr>
        <w:rFonts w:ascii="Arial" w:hAnsi="Arial" w:hint="default"/>
      </w:rPr>
    </w:lvl>
    <w:lvl w:ilvl="6" w:tplc="C82E2866" w:tentative="1">
      <w:start w:val="1"/>
      <w:numFmt w:val="bullet"/>
      <w:lvlText w:val="•"/>
      <w:lvlJc w:val="left"/>
      <w:pPr>
        <w:tabs>
          <w:tab w:val="num" w:pos="5040"/>
        </w:tabs>
        <w:ind w:left="5040" w:hanging="360"/>
      </w:pPr>
      <w:rPr>
        <w:rFonts w:ascii="Arial" w:hAnsi="Arial" w:hint="default"/>
      </w:rPr>
    </w:lvl>
    <w:lvl w:ilvl="7" w:tplc="4A54DD62" w:tentative="1">
      <w:start w:val="1"/>
      <w:numFmt w:val="bullet"/>
      <w:lvlText w:val="•"/>
      <w:lvlJc w:val="left"/>
      <w:pPr>
        <w:tabs>
          <w:tab w:val="num" w:pos="5760"/>
        </w:tabs>
        <w:ind w:left="5760" w:hanging="360"/>
      </w:pPr>
      <w:rPr>
        <w:rFonts w:ascii="Arial" w:hAnsi="Arial" w:hint="default"/>
      </w:rPr>
    </w:lvl>
    <w:lvl w:ilvl="8" w:tplc="8AFEBD0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386029"/>
    <w:multiLevelType w:val="hybridMultilevel"/>
    <w:tmpl w:val="8B7A682A"/>
    <w:lvl w:ilvl="0" w:tplc="F454E4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91D4108"/>
    <w:multiLevelType w:val="hybridMultilevel"/>
    <w:tmpl w:val="15D62008"/>
    <w:lvl w:ilvl="0" w:tplc="27E61132">
      <w:start w:val="1"/>
      <w:numFmt w:val="bullet"/>
      <w:lvlText w:val="•"/>
      <w:lvlJc w:val="left"/>
      <w:pPr>
        <w:tabs>
          <w:tab w:val="num" w:pos="720"/>
        </w:tabs>
        <w:ind w:left="720" w:hanging="360"/>
      </w:pPr>
      <w:rPr>
        <w:rFonts w:ascii="Arial" w:hAnsi="Arial" w:hint="default"/>
      </w:rPr>
    </w:lvl>
    <w:lvl w:ilvl="1" w:tplc="11A2D00C">
      <w:start w:val="1"/>
      <w:numFmt w:val="bullet"/>
      <w:lvlText w:val="•"/>
      <w:lvlJc w:val="left"/>
      <w:pPr>
        <w:tabs>
          <w:tab w:val="num" w:pos="1440"/>
        </w:tabs>
        <w:ind w:left="1440" w:hanging="360"/>
      </w:pPr>
      <w:rPr>
        <w:rFonts w:ascii="Arial" w:hAnsi="Arial" w:hint="default"/>
      </w:rPr>
    </w:lvl>
    <w:lvl w:ilvl="2" w:tplc="183E5754" w:tentative="1">
      <w:start w:val="1"/>
      <w:numFmt w:val="bullet"/>
      <w:lvlText w:val="•"/>
      <w:lvlJc w:val="left"/>
      <w:pPr>
        <w:tabs>
          <w:tab w:val="num" w:pos="2160"/>
        </w:tabs>
        <w:ind w:left="2160" w:hanging="360"/>
      </w:pPr>
      <w:rPr>
        <w:rFonts w:ascii="Arial" w:hAnsi="Arial" w:hint="default"/>
      </w:rPr>
    </w:lvl>
    <w:lvl w:ilvl="3" w:tplc="82B869DC" w:tentative="1">
      <w:start w:val="1"/>
      <w:numFmt w:val="bullet"/>
      <w:lvlText w:val="•"/>
      <w:lvlJc w:val="left"/>
      <w:pPr>
        <w:tabs>
          <w:tab w:val="num" w:pos="2880"/>
        </w:tabs>
        <w:ind w:left="2880" w:hanging="360"/>
      </w:pPr>
      <w:rPr>
        <w:rFonts w:ascii="Arial" w:hAnsi="Arial" w:hint="default"/>
      </w:rPr>
    </w:lvl>
    <w:lvl w:ilvl="4" w:tplc="9B84826E" w:tentative="1">
      <w:start w:val="1"/>
      <w:numFmt w:val="bullet"/>
      <w:lvlText w:val="•"/>
      <w:lvlJc w:val="left"/>
      <w:pPr>
        <w:tabs>
          <w:tab w:val="num" w:pos="3600"/>
        </w:tabs>
        <w:ind w:left="3600" w:hanging="360"/>
      </w:pPr>
      <w:rPr>
        <w:rFonts w:ascii="Arial" w:hAnsi="Arial" w:hint="default"/>
      </w:rPr>
    </w:lvl>
    <w:lvl w:ilvl="5" w:tplc="27A40998" w:tentative="1">
      <w:start w:val="1"/>
      <w:numFmt w:val="bullet"/>
      <w:lvlText w:val="•"/>
      <w:lvlJc w:val="left"/>
      <w:pPr>
        <w:tabs>
          <w:tab w:val="num" w:pos="4320"/>
        </w:tabs>
        <w:ind w:left="4320" w:hanging="360"/>
      </w:pPr>
      <w:rPr>
        <w:rFonts w:ascii="Arial" w:hAnsi="Arial" w:hint="default"/>
      </w:rPr>
    </w:lvl>
    <w:lvl w:ilvl="6" w:tplc="5B683F4E" w:tentative="1">
      <w:start w:val="1"/>
      <w:numFmt w:val="bullet"/>
      <w:lvlText w:val="•"/>
      <w:lvlJc w:val="left"/>
      <w:pPr>
        <w:tabs>
          <w:tab w:val="num" w:pos="5040"/>
        </w:tabs>
        <w:ind w:left="5040" w:hanging="360"/>
      </w:pPr>
      <w:rPr>
        <w:rFonts w:ascii="Arial" w:hAnsi="Arial" w:hint="default"/>
      </w:rPr>
    </w:lvl>
    <w:lvl w:ilvl="7" w:tplc="F43AE7B8" w:tentative="1">
      <w:start w:val="1"/>
      <w:numFmt w:val="bullet"/>
      <w:lvlText w:val="•"/>
      <w:lvlJc w:val="left"/>
      <w:pPr>
        <w:tabs>
          <w:tab w:val="num" w:pos="5760"/>
        </w:tabs>
        <w:ind w:left="5760" w:hanging="360"/>
      </w:pPr>
      <w:rPr>
        <w:rFonts w:ascii="Arial" w:hAnsi="Arial" w:hint="default"/>
      </w:rPr>
    </w:lvl>
    <w:lvl w:ilvl="8" w:tplc="1DC8D1F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FC2077"/>
    <w:multiLevelType w:val="multilevel"/>
    <w:tmpl w:val="1FD0F380"/>
    <w:lvl w:ilvl="0">
      <w:start w:val="1"/>
      <w:numFmt w:val="decimal"/>
      <w:lvlText w:val="%1."/>
      <w:lvlJc w:val="left"/>
      <w:pPr>
        <w:ind w:left="720" w:hanging="360"/>
      </w:pPr>
      <w:rPr>
        <w:rFonts w:hint="default"/>
        <w:color w:val="000000" w:themeColor="text1"/>
        <w:sz w:val="24"/>
        <w:szCs w:val="24"/>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D4D6E7A"/>
    <w:multiLevelType w:val="multilevel"/>
    <w:tmpl w:val="1502563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E324A56"/>
    <w:multiLevelType w:val="hybridMultilevel"/>
    <w:tmpl w:val="8082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A40E98"/>
    <w:multiLevelType w:val="hybridMultilevel"/>
    <w:tmpl w:val="DD92C55C"/>
    <w:lvl w:ilvl="0" w:tplc="7334EE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6"/>
  </w:num>
  <w:num w:numId="3">
    <w:abstractNumId w:val="37"/>
  </w:num>
  <w:num w:numId="4">
    <w:abstractNumId w:val="17"/>
  </w:num>
  <w:num w:numId="5">
    <w:abstractNumId w:val="43"/>
  </w:num>
  <w:num w:numId="6">
    <w:abstractNumId w:val="41"/>
  </w:num>
  <w:num w:numId="7">
    <w:abstractNumId w:val="19"/>
  </w:num>
  <w:num w:numId="8">
    <w:abstractNumId w:val="7"/>
  </w:num>
  <w:num w:numId="9">
    <w:abstractNumId w:val="33"/>
  </w:num>
  <w:num w:numId="10">
    <w:abstractNumId w:val="15"/>
  </w:num>
  <w:num w:numId="11">
    <w:abstractNumId w:val="16"/>
  </w:num>
  <w:num w:numId="12">
    <w:abstractNumId w:val="28"/>
  </w:num>
  <w:num w:numId="13">
    <w:abstractNumId w:val="39"/>
  </w:num>
  <w:num w:numId="14">
    <w:abstractNumId w:val="14"/>
  </w:num>
  <w:num w:numId="15">
    <w:abstractNumId w:val="25"/>
  </w:num>
  <w:num w:numId="16">
    <w:abstractNumId w:val="5"/>
  </w:num>
  <w:num w:numId="17">
    <w:abstractNumId w:val="11"/>
  </w:num>
  <w:num w:numId="18">
    <w:abstractNumId w:val="2"/>
  </w:num>
  <w:num w:numId="19">
    <w:abstractNumId w:val="31"/>
  </w:num>
  <w:num w:numId="20">
    <w:abstractNumId w:val="34"/>
  </w:num>
  <w:num w:numId="21">
    <w:abstractNumId w:val="9"/>
  </w:num>
  <w:num w:numId="22">
    <w:abstractNumId w:val="40"/>
  </w:num>
  <w:num w:numId="23">
    <w:abstractNumId w:val="29"/>
  </w:num>
  <w:num w:numId="24">
    <w:abstractNumId w:val="27"/>
  </w:num>
  <w:num w:numId="25">
    <w:abstractNumId w:val="18"/>
  </w:num>
  <w:num w:numId="26">
    <w:abstractNumId w:val="12"/>
  </w:num>
  <w:num w:numId="27">
    <w:abstractNumId w:val="32"/>
  </w:num>
  <w:num w:numId="28">
    <w:abstractNumId w:val="21"/>
  </w:num>
  <w:num w:numId="29">
    <w:abstractNumId w:val="45"/>
  </w:num>
  <w:num w:numId="30">
    <w:abstractNumId w:val="3"/>
  </w:num>
  <w:num w:numId="31">
    <w:abstractNumId w:val="38"/>
  </w:num>
  <w:num w:numId="32">
    <w:abstractNumId w:val="26"/>
  </w:num>
  <w:num w:numId="33">
    <w:abstractNumId w:val="36"/>
  </w:num>
  <w:num w:numId="34">
    <w:abstractNumId w:val="30"/>
  </w:num>
  <w:num w:numId="35">
    <w:abstractNumId w:val="8"/>
  </w:num>
  <w:num w:numId="36">
    <w:abstractNumId w:val="10"/>
  </w:num>
  <w:num w:numId="37">
    <w:abstractNumId w:val="24"/>
  </w:num>
  <w:num w:numId="38">
    <w:abstractNumId w:val="47"/>
  </w:num>
  <w:num w:numId="39">
    <w:abstractNumId w:val="44"/>
  </w:num>
  <w:num w:numId="40">
    <w:abstractNumId w:val="1"/>
  </w:num>
  <w:num w:numId="41">
    <w:abstractNumId w:val="23"/>
  </w:num>
  <w:num w:numId="42">
    <w:abstractNumId w:val="4"/>
  </w:num>
  <w:num w:numId="43">
    <w:abstractNumId w:val="22"/>
  </w:num>
  <w:num w:numId="44">
    <w:abstractNumId w:val="13"/>
  </w:num>
  <w:num w:numId="45">
    <w:abstractNumId w:val="42"/>
  </w:num>
  <w:num w:numId="46">
    <w:abstractNumId w:val="20"/>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zI0NDMyNLE0MDRX0lEKTi0uzszPAymwrAUASFa8zCwAAAA="/>
  </w:docVars>
  <w:rsids>
    <w:rsidRoot w:val="00565A7D"/>
    <w:rsid w:val="0000005A"/>
    <w:rsid w:val="000006CF"/>
    <w:rsid w:val="0000074C"/>
    <w:rsid w:val="000007AE"/>
    <w:rsid w:val="000016E3"/>
    <w:rsid w:val="00002077"/>
    <w:rsid w:val="00003F0B"/>
    <w:rsid w:val="000042A2"/>
    <w:rsid w:val="00004D96"/>
    <w:rsid w:val="000055F2"/>
    <w:rsid w:val="00005929"/>
    <w:rsid w:val="000066B1"/>
    <w:rsid w:val="00006C91"/>
    <w:rsid w:val="00007479"/>
    <w:rsid w:val="00007B90"/>
    <w:rsid w:val="00010597"/>
    <w:rsid w:val="00010C39"/>
    <w:rsid w:val="00011A9B"/>
    <w:rsid w:val="00011F55"/>
    <w:rsid w:val="0001275E"/>
    <w:rsid w:val="000128FB"/>
    <w:rsid w:val="000129F7"/>
    <w:rsid w:val="00012DEE"/>
    <w:rsid w:val="0001459E"/>
    <w:rsid w:val="0001467E"/>
    <w:rsid w:val="000147D8"/>
    <w:rsid w:val="00014F12"/>
    <w:rsid w:val="00015367"/>
    <w:rsid w:val="000156D1"/>
    <w:rsid w:val="00016A89"/>
    <w:rsid w:val="0001797E"/>
    <w:rsid w:val="00020DC0"/>
    <w:rsid w:val="00021272"/>
    <w:rsid w:val="00024A84"/>
    <w:rsid w:val="00024DAB"/>
    <w:rsid w:val="00025932"/>
    <w:rsid w:val="00027755"/>
    <w:rsid w:val="00031737"/>
    <w:rsid w:val="0003252C"/>
    <w:rsid w:val="000325A5"/>
    <w:rsid w:val="0003359C"/>
    <w:rsid w:val="00033ACF"/>
    <w:rsid w:val="000340E4"/>
    <w:rsid w:val="00034641"/>
    <w:rsid w:val="00035DF9"/>
    <w:rsid w:val="00035EDB"/>
    <w:rsid w:val="00036177"/>
    <w:rsid w:val="00036A4B"/>
    <w:rsid w:val="00036E81"/>
    <w:rsid w:val="000370E9"/>
    <w:rsid w:val="000409DD"/>
    <w:rsid w:val="000410CD"/>
    <w:rsid w:val="0004305C"/>
    <w:rsid w:val="00043A88"/>
    <w:rsid w:val="000456D2"/>
    <w:rsid w:val="000459CE"/>
    <w:rsid w:val="00045C3B"/>
    <w:rsid w:val="00046879"/>
    <w:rsid w:val="000472C4"/>
    <w:rsid w:val="00051360"/>
    <w:rsid w:val="00052C72"/>
    <w:rsid w:val="00052E0F"/>
    <w:rsid w:val="00054B13"/>
    <w:rsid w:val="00054D0D"/>
    <w:rsid w:val="0005511A"/>
    <w:rsid w:val="000556EB"/>
    <w:rsid w:val="00055E06"/>
    <w:rsid w:val="00056389"/>
    <w:rsid w:val="00056E33"/>
    <w:rsid w:val="00056F32"/>
    <w:rsid w:val="000570D0"/>
    <w:rsid w:val="000573C5"/>
    <w:rsid w:val="000579A4"/>
    <w:rsid w:val="00057AC4"/>
    <w:rsid w:val="000601A9"/>
    <w:rsid w:val="0006050F"/>
    <w:rsid w:val="000607C9"/>
    <w:rsid w:val="00060D5C"/>
    <w:rsid w:val="00062948"/>
    <w:rsid w:val="000630E1"/>
    <w:rsid w:val="000640F6"/>
    <w:rsid w:val="0006446A"/>
    <w:rsid w:val="0006472A"/>
    <w:rsid w:val="00064D43"/>
    <w:rsid w:val="000659A9"/>
    <w:rsid w:val="00065D29"/>
    <w:rsid w:val="000668FE"/>
    <w:rsid w:val="00066AB5"/>
    <w:rsid w:val="00067B75"/>
    <w:rsid w:val="0007026E"/>
    <w:rsid w:val="000703CB"/>
    <w:rsid w:val="0007107E"/>
    <w:rsid w:val="00071B68"/>
    <w:rsid w:val="0007257C"/>
    <w:rsid w:val="0007280B"/>
    <w:rsid w:val="00072926"/>
    <w:rsid w:val="000735D1"/>
    <w:rsid w:val="000737FC"/>
    <w:rsid w:val="000764B3"/>
    <w:rsid w:val="0007653E"/>
    <w:rsid w:val="0007694F"/>
    <w:rsid w:val="00076D20"/>
    <w:rsid w:val="000777FA"/>
    <w:rsid w:val="00077ECC"/>
    <w:rsid w:val="000805BF"/>
    <w:rsid w:val="00080945"/>
    <w:rsid w:val="00081BC1"/>
    <w:rsid w:val="00082012"/>
    <w:rsid w:val="00082567"/>
    <w:rsid w:val="00084282"/>
    <w:rsid w:val="0008478B"/>
    <w:rsid w:val="00084A3E"/>
    <w:rsid w:val="00084A59"/>
    <w:rsid w:val="00085454"/>
    <w:rsid w:val="0008554E"/>
    <w:rsid w:val="0008648A"/>
    <w:rsid w:val="000872A5"/>
    <w:rsid w:val="0009119F"/>
    <w:rsid w:val="00091B2B"/>
    <w:rsid w:val="00092A4C"/>
    <w:rsid w:val="000936A1"/>
    <w:rsid w:val="00093D84"/>
    <w:rsid w:val="00094EEE"/>
    <w:rsid w:val="0009533B"/>
    <w:rsid w:val="0009569C"/>
    <w:rsid w:val="000975C4"/>
    <w:rsid w:val="000A0139"/>
    <w:rsid w:val="000A0241"/>
    <w:rsid w:val="000A03DB"/>
    <w:rsid w:val="000A095E"/>
    <w:rsid w:val="000A1AC8"/>
    <w:rsid w:val="000A1AD0"/>
    <w:rsid w:val="000A20AA"/>
    <w:rsid w:val="000A309F"/>
    <w:rsid w:val="000A35BA"/>
    <w:rsid w:val="000A3F39"/>
    <w:rsid w:val="000A5917"/>
    <w:rsid w:val="000A5E84"/>
    <w:rsid w:val="000A6807"/>
    <w:rsid w:val="000A702E"/>
    <w:rsid w:val="000A718A"/>
    <w:rsid w:val="000A748F"/>
    <w:rsid w:val="000B0C2F"/>
    <w:rsid w:val="000B229C"/>
    <w:rsid w:val="000B2F72"/>
    <w:rsid w:val="000B362B"/>
    <w:rsid w:val="000B37C8"/>
    <w:rsid w:val="000B38FB"/>
    <w:rsid w:val="000B396F"/>
    <w:rsid w:val="000B45A9"/>
    <w:rsid w:val="000B4602"/>
    <w:rsid w:val="000B5263"/>
    <w:rsid w:val="000B5A13"/>
    <w:rsid w:val="000B6C7B"/>
    <w:rsid w:val="000B6FFF"/>
    <w:rsid w:val="000C1CED"/>
    <w:rsid w:val="000C3F2D"/>
    <w:rsid w:val="000C416F"/>
    <w:rsid w:val="000C5A02"/>
    <w:rsid w:val="000D060C"/>
    <w:rsid w:val="000D09A6"/>
    <w:rsid w:val="000D0C46"/>
    <w:rsid w:val="000D2E2B"/>
    <w:rsid w:val="000D37AF"/>
    <w:rsid w:val="000D3881"/>
    <w:rsid w:val="000D3FAA"/>
    <w:rsid w:val="000D4B5D"/>
    <w:rsid w:val="000D4B7E"/>
    <w:rsid w:val="000D4D93"/>
    <w:rsid w:val="000D526B"/>
    <w:rsid w:val="000D5C52"/>
    <w:rsid w:val="000D6792"/>
    <w:rsid w:val="000E1144"/>
    <w:rsid w:val="000E11DF"/>
    <w:rsid w:val="000E1BA8"/>
    <w:rsid w:val="000E1E72"/>
    <w:rsid w:val="000E3939"/>
    <w:rsid w:val="000E3B32"/>
    <w:rsid w:val="000E3C21"/>
    <w:rsid w:val="000E7934"/>
    <w:rsid w:val="000E7D16"/>
    <w:rsid w:val="000F07A5"/>
    <w:rsid w:val="000F0ECD"/>
    <w:rsid w:val="000F2F73"/>
    <w:rsid w:val="000F3D27"/>
    <w:rsid w:val="000F3D39"/>
    <w:rsid w:val="000F4A22"/>
    <w:rsid w:val="000F7841"/>
    <w:rsid w:val="00100702"/>
    <w:rsid w:val="00100A41"/>
    <w:rsid w:val="00100AB8"/>
    <w:rsid w:val="00100E27"/>
    <w:rsid w:val="00101A73"/>
    <w:rsid w:val="00101FA5"/>
    <w:rsid w:val="00102346"/>
    <w:rsid w:val="0010289F"/>
    <w:rsid w:val="0010492D"/>
    <w:rsid w:val="00105301"/>
    <w:rsid w:val="0010582E"/>
    <w:rsid w:val="00105BFD"/>
    <w:rsid w:val="00106071"/>
    <w:rsid w:val="00106F07"/>
    <w:rsid w:val="001070BA"/>
    <w:rsid w:val="00107A69"/>
    <w:rsid w:val="0011084F"/>
    <w:rsid w:val="00110B00"/>
    <w:rsid w:val="00110B94"/>
    <w:rsid w:val="00110F42"/>
    <w:rsid w:val="001118C8"/>
    <w:rsid w:val="00111D12"/>
    <w:rsid w:val="001122C5"/>
    <w:rsid w:val="00112BCB"/>
    <w:rsid w:val="00112F5E"/>
    <w:rsid w:val="001131AD"/>
    <w:rsid w:val="00113A48"/>
    <w:rsid w:val="001151C4"/>
    <w:rsid w:val="0011530C"/>
    <w:rsid w:val="00115810"/>
    <w:rsid w:val="00115A5C"/>
    <w:rsid w:val="0011654E"/>
    <w:rsid w:val="00116571"/>
    <w:rsid w:val="00117739"/>
    <w:rsid w:val="001200D2"/>
    <w:rsid w:val="001202F2"/>
    <w:rsid w:val="00121031"/>
    <w:rsid w:val="0012295F"/>
    <w:rsid w:val="00122A97"/>
    <w:rsid w:val="00122B1E"/>
    <w:rsid w:val="001231AF"/>
    <w:rsid w:val="00123A2C"/>
    <w:rsid w:val="00123E52"/>
    <w:rsid w:val="00123F7A"/>
    <w:rsid w:val="00124CA5"/>
    <w:rsid w:val="00125513"/>
    <w:rsid w:val="0012596A"/>
    <w:rsid w:val="00125C74"/>
    <w:rsid w:val="00130223"/>
    <w:rsid w:val="00130617"/>
    <w:rsid w:val="00130925"/>
    <w:rsid w:val="001348C1"/>
    <w:rsid w:val="00134901"/>
    <w:rsid w:val="001349F9"/>
    <w:rsid w:val="00134A70"/>
    <w:rsid w:val="00134BA8"/>
    <w:rsid w:val="00134EAE"/>
    <w:rsid w:val="00134EBB"/>
    <w:rsid w:val="00135E37"/>
    <w:rsid w:val="00136B3A"/>
    <w:rsid w:val="00136C89"/>
    <w:rsid w:val="00136F74"/>
    <w:rsid w:val="00137887"/>
    <w:rsid w:val="00137921"/>
    <w:rsid w:val="001403A0"/>
    <w:rsid w:val="00140C0C"/>
    <w:rsid w:val="00141419"/>
    <w:rsid w:val="001420AC"/>
    <w:rsid w:val="001425E0"/>
    <w:rsid w:val="00142A1E"/>
    <w:rsid w:val="001435A0"/>
    <w:rsid w:val="0014382B"/>
    <w:rsid w:val="0014447A"/>
    <w:rsid w:val="00144896"/>
    <w:rsid w:val="00145281"/>
    <w:rsid w:val="001477E3"/>
    <w:rsid w:val="00150433"/>
    <w:rsid w:val="001507B1"/>
    <w:rsid w:val="00150B51"/>
    <w:rsid w:val="00151542"/>
    <w:rsid w:val="00151693"/>
    <w:rsid w:val="00151D8A"/>
    <w:rsid w:val="0015230B"/>
    <w:rsid w:val="0015268B"/>
    <w:rsid w:val="00152FAA"/>
    <w:rsid w:val="0015328A"/>
    <w:rsid w:val="00154442"/>
    <w:rsid w:val="0015549D"/>
    <w:rsid w:val="00157B16"/>
    <w:rsid w:val="00157B98"/>
    <w:rsid w:val="00160601"/>
    <w:rsid w:val="00160A2E"/>
    <w:rsid w:val="00160A63"/>
    <w:rsid w:val="001611E2"/>
    <w:rsid w:val="00161696"/>
    <w:rsid w:val="00161CE5"/>
    <w:rsid w:val="00162797"/>
    <w:rsid w:val="001631C6"/>
    <w:rsid w:val="0016349F"/>
    <w:rsid w:val="00163B9D"/>
    <w:rsid w:val="00163BEC"/>
    <w:rsid w:val="00164125"/>
    <w:rsid w:val="00166CF2"/>
    <w:rsid w:val="0016750F"/>
    <w:rsid w:val="00170146"/>
    <w:rsid w:val="001703D8"/>
    <w:rsid w:val="001708E3"/>
    <w:rsid w:val="00170FFC"/>
    <w:rsid w:val="001717E4"/>
    <w:rsid w:val="00171E73"/>
    <w:rsid w:val="00172351"/>
    <w:rsid w:val="00172DD4"/>
    <w:rsid w:val="00172DF2"/>
    <w:rsid w:val="00172F66"/>
    <w:rsid w:val="001733D6"/>
    <w:rsid w:val="00173542"/>
    <w:rsid w:val="00173EFD"/>
    <w:rsid w:val="001747CA"/>
    <w:rsid w:val="001760A6"/>
    <w:rsid w:val="001766D4"/>
    <w:rsid w:val="00176EA9"/>
    <w:rsid w:val="00177D7F"/>
    <w:rsid w:val="001805BE"/>
    <w:rsid w:val="001811EF"/>
    <w:rsid w:val="001812F0"/>
    <w:rsid w:val="00181F5F"/>
    <w:rsid w:val="0018290E"/>
    <w:rsid w:val="00183420"/>
    <w:rsid w:val="00183594"/>
    <w:rsid w:val="00183CA1"/>
    <w:rsid w:val="0018496C"/>
    <w:rsid w:val="00184F52"/>
    <w:rsid w:val="0018509C"/>
    <w:rsid w:val="00185225"/>
    <w:rsid w:val="001856E1"/>
    <w:rsid w:val="00186885"/>
    <w:rsid w:val="001876A5"/>
    <w:rsid w:val="0019049D"/>
    <w:rsid w:val="00190C1E"/>
    <w:rsid w:val="00190C59"/>
    <w:rsid w:val="00190C99"/>
    <w:rsid w:val="00190ED8"/>
    <w:rsid w:val="00191DD4"/>
    <w:rsid w:val="00192393"/>
    <w:rsid w:val="001925D9"/>
    <w:rsid w:val="00194526"/>
    <w:rsid w:val="00194DBB"/>
    <w:rsid w:val="00194E43"/>
    <w:rsid w:val="00195263"/>
    <w:rsid w:val="0019529A"/>
    <w:rsid w:val="0019606D"/>
    <w:rsid w:val="001966EC"/>
    <w:rsid w:val="001A0A2A"/>
    <w:rsid w:val="001A0B46"/>
    <w:rsid w:val="001A0BE9"/>
    <w:rsid w:val="001A0D7A"/>
    <w:rsid w:val="001A115E"/>
    <w:rsid w:val="001A14D0"/>
    <w:rsid w:val="001A14EE"/>
    <w:rsid w:val="001A1A15"/>
    <w:rsid w:val="001A2026"/>
    <w:rsid w:val="001A2B04"/>
    <w:rsid w:val="001A33CD"/>
    <w:rsid w:val="001A39DA"/>
    <w:rsid w:val="001A4494"/>
    <w:rsid w:val="001A65D8"/>
    <w:rsid w:val="001A67DA"/>
    <w:rsid w:val="001B0D8F"/>
    <w:rsid w:val="001B1EEE"/>
    <w:rsid w:val="001B295A"/>
    <w:rsid w:val="001B3007"/>
    <w:rsid w:val="001B3211"/>
    <w:rsid w:val="001B3632"/>
    <w:rsid w:val="001B4E66"/>
    <w:rsid w:val="001B63DD"/>
    <w:rsid w:val="001B66F3"/>
    <w:rsid w:val="001B72FF"/>
    <w:rsid w:val="001B7D02"/>
    <w:rsid w:val="001C14F3"/>
    <w:rsid w:val="001C28FD"/>
    <w:rsid w:val="001C30E8"/>
    <w:rsid w:val="001C3339"/>
    <w:rsid w:val="001C3C54"/>
    <w:rsid w:val="001C41E4"/>
    <w:rsid w:val="001C4581"/>
    <w:rsid w:val="001C6738"/>
    <w:rsid w:val="001C7077"/>
    <w:rsid w:val="001C7C4A"/>
    <w:rsid w:val="001D1543"/>
    <w:rsid w:val="001D17EF"/>
    <w:rsid w:val="001D22D1"/>
    <w:rsid w:val="001D2616"/>
    <w:rsid w:val="001D2BB4"/>
    <w:rsid w:val="001D2FC9"/>
    <w:rsid w:val="001D33AD"/>
    <w:rsid w:val="001D349B"/>
    <w:rsid w:val="001D35A9"/>
    <w:rsid w:val="001D3BEC"/>
    <w:rsid w:val="001D4399"/>
    <w:rsid w:val="001D43B7"/>
    <w:rsid w:val="001D45B3"/>
    <w:rsid w:val="001D4E7E"/>
    <w:rsid w:val="001D5575"/>
    <w:rsid w:val="001D67DC"/>
    <w:rsid w:val="001D6C68"/>
    <w:rsid w:val="001D75F2"/>
    <w:rsid w:val="001D7739"/>
    <w:rsid w:val="001D77B1"/>
    <w:rsid w:val="001E0334"/>
    <w:rsid w:val="001E08B9"/>
    <w:rsid w:val="001E0F4C"/>
    <w:rsid w:val="001E19BD"/>
    <w:rsid w:val="001E1CB4"/>
    <w:rsid w:val="001E1F40"/>
    <w:rsid w:val="001E2EAE"/>
    <w:rsid w:val="001E30B2"/>
    <w:rsid w:val="001E5AE3"/>
    <w:rsid w:val="001E633A"/>
    <w:rsid w:val="001E6A6A"/>
    <w:rsid w:val="001E6D0D"/>
    <w:rsid w:val="001E7196"/>
    <w:rsid w:val="001F0E54"/>
    <w:rsid w:val="001F1F3F"/>
    <w:rsid w:val="001F2B9B"/>
    <w:rsid w:val="001F2F6F"/>
    <w:rsid w:val="001F4CFA"/>
    <w:rsid w:val="001F4F89"/>
    <w:rsid w:val="001F5FCE"/>
    <w:rsid w:val="001F60B8"/>
    <w:rsid w:val="001F6B5A"/>
    <w:rsid w:val="001F6BE9"/>
    <w:rsid w:val="001F6DBE"/>
    <w:rsid w:val="001F710D"/>
    <w:rsid w:val="001F7462"/>
    <w:rsid w:val="001F7CF5"/>
    <w:rsid w:val="001F7DD1"/>
    <w:rsid w:val="00200AF6"/>
    <w:rsid w:val="002014B4"/>
    <w:rsid w:val="00203B0C"/>
    <w:rsid w:val="00204507"/>
    <w:rsid w:val="0020566A"/>
    <w:rsid w:val="00205C68"/>
    <w:rsid w:val="002067BF"/>
    <w:rsid w:val="00206FE9"/>
    <w:rsid w:val="00207471"/>
    <w:rsid w:val="00207720"/>
    <w:rsid w:val="00207A02"/>
    <w:rsid w:val="00207CF0"/>
    <w:rsid w:val="00207F10"/>
    <w:rsid w:val="00210EA2"/>
    <w:rsid w:val="002118AD"/>
    <w:rsid w:val="002118FD"/>
    <w:rsid w:val="0021195E"/>
    <w:rsid w:val="0021261B"/>
    <w:rsid w:val="0021443A"/>
    <w:rsid w:val="002153CF"/>
    <w:rsid w:val="00215A31"/>
    <w:rsid w:val="00216794"/>
    <w:rsid w:val="00216CBA"/>
    <w:rsid w:val="00216CF1"/>
    <w:rsid w:val="00217773"/>
    <w:rsid w:val="00217BCD"/>
    <w:rsid w:val="00217F37"/>
    <w:rsid w:val="00220A38"/>
    <w:rsid w:val="00220E16"/>
    <w:rsid w:val="002210B5"/>
    <w:rsid w:val="00221D78"/>
    <w:rsid w:val="002228B5"/>
    <w:rsid w:val="00222A36"/>
    <w:rsid w:val="00222CA0"/>
    <w:rsid w:val="0022316D"/>
    <w:rsid w:val="00223415"/>
    <w:rsid w:val="00223BA2"/>
    <w:rsid w:val="002253DD"/>
    <w:rsid w:val="00225686"/>
    <w:rsid w:val="0022568A"/>
    <w:rsid w:val="002257F1"/>
    <w:rsid w:val="00225DAD"/>
    <w:rsid w:val="00225E3D"/>
    <w:rsid w:val="00225FF3"/>
    <w:rsid w:val="0022609B"/>
    <w:rsid w:val="00227D65"/>
    <w:rsid w:val="00231126"/>
    <w:rsid w:val="002321EC"/>
    <w:rsid w:val="002326EB"/>
    <w:rsid w:val="00232B90"/>
    <w:rsid w:val="002334DD"/>
    <w:rsid w:val="00233E98"/>
    <w:rsid w:val="00234296"/>
    <w:rsid w:val="00235F6C"/>
    <w:rsid w:val="00236126"/>
    <w:rsid w:val="00236295"/>
    <w:rsid w:val="0023668C"/>
    <w:rsid w:val="00240126"/>
    <w:rsid w:val="0024052B"/>
    <w:rsid w:val="00240630"/>
    <w:rsid w:val="0024069D"/>
    <w:rsid w:val="002420A6"/>
    <w:rsid w:val="00242897"/>
    <w:rsid w:val="00242AEC"/>
    <w:rsid w:val="00244728"/>
    <w:rsid w:val="00244CCC"/>
    <w:rsid w:val="002460F8"/>
    <w:rsid w:val="00246388"/>
    <w:rsid w:val="0025051F"/>
    <w:rsid w:val="00250CD6"/>
    <w:rsid w:val="00250F4A"/>
    <w:rsid w:val="00251F79"/>
    <w:rsid w:val="0025229E"/>
    <w:rsid w:val="00253FBD"/>
    <w:rsid w:val="002548ED"/>
    <w:rsid w:val="00254B80"/>
    <w:rsid w:val="00255978"/>
    <w:rsid w:val="00256578"/>
    <w:rsid w:val="00257307"/>
    <w:rsid w:val="002574B7"/>
    <w:rsid w:val="002611AC"/>
    <w:rsid w:val="002613FC"/>
    <w:rsid w:val="00262D28"/>
    <w:rsid w:val="002635FB"/>
    <w:rsid w:val="00263715"/>
    <w:rsid w:val="00264779"/>
    <w:rsid w:val="00265C24"/>
    <w:rsid w:val="00265D1C"/>
    <w:rsid w:val="0026605F"/>
    <w:rsid w:val="0026637E"/>
    <w:rsid w:val="002665B6"/>
    <w:rsid w:val="002676B8"/>
    <w:rsid w:val="00267B41"/>
    <w:rsid w:val="0027066A"/>
    <w:rsid w:val="00270810"/>
    <w:rsid w:val="00271771"/>
    <w:rsid w:val="0027180A"/>
    <w:rsid w:val="00271C41"/>
    <w:rsid w:val="00272201"/>
    <w:rsid w:val="00272BA0"/>
    <w:rsid w:val="00272D61"/>
    <w:rsid w:val="002756B1"/>
    <w:rsid w:val="002762A1"/>
    <w:rsid w:val="002763E3"/>
    <w:rsid w:val="0027734D"/>
    <w:rsid w:val="002773A9"/>
    <w:rsid w:val="0027771B"/>
    <w:rsid w:val="0027789E"/>
    <w:rsid w:val="00280F99"/>
    <w:rsid w:val="0028129D"/>
    <w:rsid w:val="002812ED"/>
    <w:rsid w:val="002824AE"/>
    <w:rsid w:val="00282542"/>
    <w:rsid w:val="002837FE"/>
    <w:rsid w:val="0028460D"/>
    <w:rsid w:val="00284685"/>
    <w:rsid w:val="00284CED"/>
    <w:rsid w:val="0028689A"/>
    <w:rsid w:val="00287510"/>
    <w:rsid w:val="00290431"/>
    <w:rsid w:val="00290FC4"/>
    <w:rsid w:val="0029116A"/>
    <w:rsid w:val="00291EE4"/>
    <w:rsid w:val="0029219F"/>
    <w:rsid w:val="00292617"/>
    <w:rsid w:val="00292937"/>
    <w:rsid w:val="00292BE2"/>
    <w:rsid w:val="00293686"/>
    <w:rsid w:val="00293972"/>
    <w:rsid w:val="00293C1C"/>
    <w:rsid w:val="00295312"/>
    <w:rsid w:val="00295BA6"/>
    <w:rsid w:val="00295F18"/>
    <w:rsid w:val="00295F89"/>
    <w:rsid w:val="0029677D"/>
    <w:rsid w:val="00297181"/>
    <w:rsid w:val="002A008C"/>
    <w:rsid w:val="002A0417"/>
    <w:rsid w:val="002A07F3"/>
    <w:rsid w:val="002A0852"/>
    <w:rsid w:val="002A0A28"/>
    <w:rsid w:val="002A1452"/>
    <w:rsid w:val="002A1692"/>
    <w:rsid w:val="002A1F22"/>
    <w:rsid w:val="002A23B0"/>
    <w:rsid w:val="002A3A8D"/>
    <w:rsid w:val="002A424A"/>
    <w:rsid w:val="002A4548"/>
    <w:rsid w:val="002A4FB4"/>
    <w:rsid w:val="002A5481"/>
    <w:rsid w:val="002A631D"/>
    <w:rsid w:val="002A65A7"/>
    <w:rsid w:val="002A7927"/>
    <w:rsid w:val="002B105D"/>
    <w:rsid w:val="002B1661"/>
    <w:rsid w:val="002B1B6C"/>
    <w:rsid w:val="002B1CB3"/>
    <w:rsid w:val="002B2067"/>
    <w:rsid w:val="002B297B"/>
    <w:rsid w:val="002B3A57"/>
    <w:rsid w:val="002B4324"/>
    <w:rsid w:val="002B5204"/>
    <w:rsid w:val="002B6FE2"/>
    <w:rsid w:val="002B72D6"/>
    <w:rsid w:val="002B73D8"/>
    <w:rsid w:val="002B7AD4"/>
    <w:rsid w:val="002C0583"/>
    <w:rsid w:val="002C0EB3"/>
    <w:rsid w:val="002C1072"/>
    <w:rsid w:val="002C1082"/>
    <w:rsid w:val="002C1E1F"/>
    <w:rsid w:val="002C39FD"/>
    <w:rsid w:val="002C4194"/>
    <w:rsid w:val="002C5108"/>
    <w:rsid w:val="002C51C0"/>
    <w:rsid w:val="002C5660"/>
    <w:rsid w:val="002C59DC"/>
    <w:rsid w:val="002C5D2F"/>
    <w:rsid w:val="002C5ED8"/>
    <w:rsid w:val="002C6D9E"/>
    <w:rsid w:val="002C750F"/>
    <w:rsid w:val="002C7973"/>
    <w:rsid w:val="002C7E3C"/>
    <w:rsid w:val="002D0BDD"/>
    <w:rsid w:val="002D0D5A"/>
    <w:rsid w:val="002D0EC8"/>
    <w:rsid w:val="002D16A5"/>
    <w:rsid w:val="002D1E9E"/>
    <w:rsid w:val="002D23DF"/>
    <w:rsid w:val="002D36B9"/>
    <w:rsid w:val="002D3D91"/>
    <w:rsid w:val="002D43EC"/>
    <w:rsid w:val="002D4692"/>
    <w:rsid w:val="002D4ADB"/>
    <w:rsid w:val="002D4D27"/>
    <w:rsid w:val="002D6B17"/>
    <w:rsid w:val="002D72BC"/>
    <w:rsid w:val="002D74FB"/>
    <w:rsid w:val="002D7573"/>
    <w:rsid w:val="002D7A48"/>
    <w:rsid w:val="002E01A5"/>
    <w:rsid w:val="002E01C6"/>
    <w:rsid w:val="002E0B88"/>
    <w:rsid w:val="002E10F7"/>
    <w:rsid w:val="002E1B23"/>
    <w:rsid w:val="002E1D8A"/>
    <w:rsid w:val="002E2F00"/>
    <w:rsid w:val="002E3B82"/>
    <w:rsid w:val="002E54E7"/>
    <w:rsid w:val="002E5574"/>
    <w:rsid w:val="002E62FB"/>
    <w:rsid w:val="002E71F6"/>
    <w:rsid w:val="002E7DE2"/>
    <w:rsid w:val="002F041F"/>
    <w:rsid w:val="002F0BE5"/>
    <w:rsid w:val="002F0FC8"/>
    <w:rsid w:val="002F1BFE"/>
    <w:rsid w:val="002F1CD1"/>
    <w:rsid w:val="002F208E"/>
    <w:rsid w:val="002F2101"/>
    <w:rsid w:val="002F2444"/>
    <w:rsid w:val="002F25F6"/>
    <w:rsid w:val="002F3319"/>
    <w:rsid w:val="002F4C04"/>
    <w:rsid w:val="002F6E19"/>
    <w:rsid w:val="002F79EB"/>
    <w:rsid w:val="002F7FFC"/>
    <w:rsid w:val="003019AD"/>
    <w:rsid w:val="0030353C"/>
    <w:rsid w:val="00303C05"/>
    <w:rsid w:val="00305088"/>
    <w:rsid w:val="00305600"/>
    <w:rsid w:val="00305BA7"/>
    <w:rsid w:val="003060A9"/>
    <w:rsid w:val="0031006D"/>
    <w:rsid w:val="0031013F"/>
    <w:rsid w:val="003105B9"/>
    <w:rsid w:val="003106B2"/>
    <w:rsid w:val="00310DC3"/>
    <w:rsid w:val="00311459"/>
    <w:rsid w:val="003116BC"/>
    <w:rsid w:val="0031354A"/>
    <w:rsid w:val="00313655"/>
    <w:rsid w:val="0031392E"/>
    <w:rsid w:val="00313EB3"/>
    <w:rsid w:val="00314F82"/>
    <w:rsid w:val="003159FD"/>
    <w:rsid w:val="00315A0F"/>
    <w:rsid w:val="00315FA7"/>
    <w:rsid w:val="00316869"/>
    <w:rsid w:val="00317D41"/>
    <w:rsid w:val="00320892"/>
    <w:rsid w:val="003218AF"/>
    <w:rsid w:val="00321D16"/>
    <w:rsid w:val="00322381"/>
    <w:rsid w:val="0032415E"/>
    <w:rsid w:val="00325AC8"/>
    <w:rsid w:val="0032670A"/>
    <w:rsid w:val="00326913"/>
    <w:rsid w:val="00327936"/>
    <w:rsid w:val="00327F2C"/>
    <w:rsid w:val="00330035"/>
    <w:rsid w:val="00330499"/>
    <w:rsid w:val="00330645"/>
    <w:rsid w:val="00330C41"/>
    <w:rsid w:val="00330CF2"/>
    <w:rsid w:val="00331160"/>
    <w:rsid w:val="00331DBC"/>
    <w:rsid w:val="00332045"/>
    <w:rsid w:val="00332321"/>
    <w:rsid w:val="0033247E"/>
    <w:rsid w:val="00332793"/>
    <w:rsid w:val="00332AA0"/>
    <w:rsid w:val="00333721"/>
    <w:rsid w:val="003337BA"/>
    <w:rsid w:val="00334CD5"/>
    <w:rsid w:val="00334E71"/>
    <w:rsid w:val="003351B9"/>
    <w:rsid w:val="003355E1"/>
    <w:rsid w:val="00335BCB"/>
    <w:rsid w:val="00337593"/>
    <w:rsid w:val="003375BB"/>
    <w:rsid w:val="00337988"/>
    <w:rsid w:val="00337A53"/>
    <w:rsid w:val="00337F3A"/>
    <w:rsid w:val="0034004C"/>
    <w:rsid w:val="00340144"/>
    <w:rsid w:val="00340405"/>
    <w:rsid w:val="00340B25"/>
    <w:rsid w:val="00340D00"/>
    <w:rsid w:val="003418D5"/>
    <w:rsid w:val="00341D31"/>
    <w:rsid w:val="00341D68"/>
    <w:rsid w:val="00341D76"/>
    <w:rsid w:val="003420C2"/>
    <w:rsid w:val="003429A1"/>
    <w:rsid w:val="00344738"/>
    <w:rsid w:val="00345AFE"/>
    <w:rsid w:val="00347113"/>
    <w:rsid w:val="00350C10"/>
    <w:rsid w:val="00350F25"/>
    <w:rsid w:val="003515C0"/>
    <w:rsid w:val="00351EB1"/>
    <w:rsid w:val="003520B4"/>
    <w:rsid w:val="0035219E"/>
    <w:rsid w:val="00352271"/>
    <w:rsid w:val="003528B4"/>
    <w:rsid w:val="00352ABB"/>
    <w:rsid w:val="00352E71"/>
    <w:rsid w:val="0035349A"/>
    <w:rsid w:val="003538C8"/>
    <w:rsid w:val="0035395D"/>
    <w:rsid w:val="00353A10"/>
    <w:rsid w:val="003547C0"/>
    <w:rsid w:val="003549A8"/>
    <w:rsid w:val="00356B06"/>
    <w:rsid w:val="00357C43"/>
    <w:rsid w:val="0036017E"/>
    <w:rsid w:val="003608EA"/>
    <w:rsid w:val="0036134A"/>
    <w:rsid w:val="00361412"/>
    <w:rsid w:val="00361CEE"/>
    <w:rsid w:val="003627A5"/>
    <w:rsid w:val="00362967"/>
    <w:rsid w:val="00362DDA"/>
    <w:rsid w:val="00363509"/>
    <w:rsid w:val="00363855"/>
    <w:rsid w:val="00363BF7"/>
    <w:rsid w:val="00364DE7"/>
    <w:rsid w:val="00365377"/>
    <w:rsid w:val="0036622B"/>
    <w:rsid w:val="00366994"/>
    <w:rsid w:val="00367220"/>
    <w:rsid w:val="00370B0C"/>
    <w:rsid w:val="00370C45"/>
    <w:rsid w:val="003710D0"/>
    <w:rsid w:val="0037125C"/>
    <w:rsid w:val="00371878"/>
    <w:rsid w:val="00371AEA"/>
    <w:rsid w:val="003743ED"/>
    <w:rsid w:val="0037443D"/>
    <w:rsid w:val="0037464D"/>
    <w:rsid w:val="003746B7"/>
    <w:rsid w:val="0037477F"/>
    <w:rsid w:val="003753C9"/>
    <w:rsid w:val="003757BE"/>
    <w:rsid w:val="0037608F"/>
    <w:rsid w:val="003763AF"/>
    <w:rsid w:val="00377100"/>
    <w:rsid w:val="0037732F"/>
    <w:rsid w:val="003777C7"/>
    <w:rsid w:val="00377D1D"/>
    <w:rsid w:val="00377DFF"/>
    <w:rsid w:val="003800D8"/>
    <w:rsid w:val="00380782"/>
    <w:rsid w:val="003807A9"/>
    <w:rsid w:val="00380ABC"/>
    <w:rsid w:val="003819FD"/>
    <w:rsid w:val="00381C29"/>
    <w:rsid w:val="00382B92"/>
    <w:rsid w:val="003832ED"/>
    <w:rsid w:val="00384B07"/>
    <w:rsid w:val="00384DAE"/>
    <w:rsid w:val="003867B3"/>
    <w:rsid w:val="00387AF2"/>
    <w:rsid w:val="00387E61"/>
    <w:rsid w:val="00390BB0"/>
    <w:rsid w:val="00390CB4"/>
    <w:rsid w:val="003921EE"/>
    <w:rsid w:val="00392380"/>
    <w:rsid w:val="0039312E"/>
    <w:rsid w:val="003931FA"/>
    <w:rsid w:val="00393505"/>
    <w:rsid w:val="00393B47"/>
    <w:rsid w:val="00394FAC"/>
    <w:rsid w:val="00395484"/>
    <w:rsid w:val="00396158"/>
    <w:rsid w:val="0039617E"/>
    <w:rsid w:val="003962F4"/>
    <w:rsid w:val="00396C22"/>
    <w:rsid w:val="00396FD0"/>
    <w:rsid w:val="00397AD0"/>
    <w:rsid w:val="00397AF7"/>
    <w:rsid w:val="003A0118"/>
    <w:rsid w:val="003A08CB"/>
    <w:rsid w:val="003A1F75"/>
    <w:rsid w:val="003A2405"/>
    <w:rsid w:val="003A2D96"/>
    <w:rsid w:val="003A307E"/>
    <w:rsid w:val="003A30E5"/>
    <w:rsid w:val="003A385D"/>
    <w:rsid w:val="003A4CB9"/>
    <w:rsid w:val="003A4F86"/>
    <w:rsid w:val="003A4FA6"/>
    <w:rsid w:val="003A655F"/>
    <w:rsid w:val="003A6896"/>
    <w:rsid w:val="003A6DDB"/>
    <w:rsid w:val="003A7AC1"/>
    <w:rsid w:val="003B0117"/>
    <w:rsid w:val="003B09C5"/>
    <w:rsid w:val="003B2650"/>
    <w:rsid w:val="003B29F2"/>
    <w:rsid w:val="003B405E"/>
    <w:rsid w:val="003B5936"/>
    <w:rsid w:val="003B677B"/>
    <w:rsid w:val="003B7237"/>
    <w:rsid w:val="003C052F"/>
    <w:rsid w:val="003C0E79"/>
    <w:rsid w:val="003C1B89"/>
    <w:rsid w:val="003C2061"/>
    <w:rsid w:val="003C3435"/>
    <w:rsid w:val="003C3E31"/>
    <w:rsid w:val="003C3F9B"/>
    <w:rsid w:val="003C47BD"/>
    <w:rsid w:val="003C4A9D"/>
    <w:rsid w:val="003C6138"/>
    <w:rsid w:val="003C7EE1"/>
    <w:rsid w:val="003D0171"/>
    <w:rsid w:val="003D0AD4"/>
    <w:rsid w:val="003D1973"/>
    <w:rsid w:val="003D34EC"/>
    <w:rsid w:val="003D381F"/>
    <w:rsid w:val="003D4007"/>
    <w:rsid w:val="003D46AF"/>
    <w:rsid w:val="003D470A"/>
    <w:rsid w:val="003D61D9"/>
    <w:rsid w:val="003D6EC9"/>
    <w:rsid w:val="003E0245"/>
    <w:rsid w:val="003E1416"/>
    <w:rsid w:val="003E189C"/>
    <w:rsid w:val="003E1922"/>
    <w:rsid w:val="003E2491"/>
    <w:rsid w:val="003E35FD"/>
    <w:rsid w:val="003E3DCB"/>
    <w:rsid w:val="003E448F"/>
    <w:rsid w:val="003E5337"/>
    <w:rsid w:val="003E570A"/>
    <w:rsid w:val="003E79E5"/>
    <w:rsid w:val="003F1876"/>
    <w:rsid w:val="003F1D50"/>
    <w:rsid w:val="003F33A3"/>
    <w:rsid w:val="003F341F"/>
    <w:rsid w:val="003F5A8F"/>
    <w:rsid w:val="003F6B46"/>
    <w:rsid w:val="003F7556"/>
    <w:rsid w:val="00400084"/>
    <w:rsid w:val="0040169A"/>
    <w:rsid w:val="004017F3"/>
    <w:rsid w:val="00402678"/>
    <w:rsid w:val="004032FE"/>
    <w:rsid w:val="0040447E"/>
    <w:rsid w:val="00404E5B"/>
    <w:rsid w:val="00405555"/>
    <w:rsid w:val="00407E6C"/>
    <w:rsid w:val="00410424"/>
    <w:rsid w:val="00410BC6"/>
    <w:rsid w:val="004114D5"/>
    <w:rsid w:val="00412153"/>
    <w:rsid w:val="0041252B"/>
    <w:rsid w:val="004128DD"/>
    <w:rsid w:val="00412F04"/>
    <w:rsid w:val="0041317E"/>
    <w:rsid w:val="004134DA"/>
    <w:rsid w:val="00413B84"/>
    <w:rsid w:val="00413C5A"/>
    <w:rsid w:val="0041405B"/>
    <w:rsid w:val="004156B8"/>
    <w:rsid w:val="00415FCB"/>
    <w:rsid w:val="0041622A"/>
    <w:rsid w:val="004164DF"/>
    <w:rsid w:val="00416BFF"/>
    <w:rsid w:val="00416DFE"/>
    <w:rsid w:val="00417933"/>
    <w:rsid w:val="00420A4B"/>
    <w:rsid w:val="0042178A"/>
    <w:rsid w:val="00421A8E"/>
    <w:rsid w:val="00422D94"/>
    <w:rsid w:val="0042337E"/>
    <w:rsid w:val="004243D2"/>
    <w:rsid w:val="00424472"/>
    <w:rsid w:val="004258BA"/>
    <w:rsid w:val="00425AA3"/>
    <w:rsid w:val="00426307"/>
    <w:rsid w:val="004269BD"/>
    <w:rsid w:val="00427BDF"/>
    <w:rsid w:val="00430AE2"/>
    <w:rsid w:val="00431389"/>
    <w:rsid w:val="0043151E"/>
    <w:rsid w:val="004319F1"/>
    <w:rsid w:val="00431BF7"/>
    <w:rsid w:val="00432162"/>
    <w:rsid w:val="00432B91"/>
    <w:rsid w:val="004332BD"/>
    <w:rsid w:val="00433921"/>
    <w:rsid w:val="004339CC"/>
    <w:rsid w:val="00434E3B"/>
    <w:rsid w:val="004355F2"/>
    <w:rsid w:val="00435860"/>
    <w:rsid w:val="00435A58"/>
    <w:rsid w:val="0043679C"/>
    <w:rsid w:val="004409CF"/>
    <w:rsid w:val="00440EF9"/>
    <w:rsid w:val="00441169"/>
    <w:rsid w:val="00443FAD"/>
    <w:rsid w:val="0044473E"/>
    <w:rsid w:val="00444C18"/>
    <w:rsid w:val="00445F2B"/>
    <w:rsid w:val="0044638F"/>
    <w:rsid w:val="00446BC9"/>
    <w:rsid w:val="00447200"/>
    <w:rsid w:val="004502C3"/>
    <w:rsid w:val="00450B17"/>
    <w:rsid w:val="004514C7"/>
    <w:rsid w:val="00452BCE"/>
    <w:rsid w:val="00452C1F"/>
    <w:rsid w:val="00452C6C"/>
    <w:rsid w:val="00453ACC"/>
    <w:rsid w:val="00453CF5"/>
    <w:rsid w:val="004544A5"/>
    <w:rsid w:val="00454C71"/>
    <w:rsid w:val="00455B40"/>
    <w:rsid w:val="00455C96"/>
    <w:rsid w:val="00456E41"/>
    <w:rsid w:val="00457D09"/>
    <w:rsid w:val="00460682"/>
    <w:rsid w:val="00460AFA"/>
    <w:rsid w:val="00460B3A"/>
    <w:rsid w:val="00460FA8"/>
    <w:rsid w:val="00461070"/>
    <w:rsid w:val="004611D0"/>
    <w:rsid w:val="00462809"/>
    <w:rsid w:val="00464794"/>
    <w:rsid w:val="00464B61"/>
    <w:rsid w:val="00464CF3"/>
    <w:rsid w:val="00464E2B"/>
    <w:rsid w:val="004662FB"/>
    <w:rsid w:val="00467A7E"/>
    <w:rsid w:val="004700AD"/>
    <w:rsid w:val="00470CCC"/>
    <w:rsid w:val="00471703"/>
    <w:rsid w:val="004718AB"/>
    <w:rsid w:val="00472E3D"/>
    <w:rsid w:val="00473B09"/>
    <w:rsid w:val="00473F9C"/>
    <w:rsid w:val="0047440F"/>
    <w:rsid w:val="00474464"/>
    <w:rsid w:val="00476775"/>
    <w:rsid w:val="00476E16"/>
    <w:rsid w:val="00477C77"/>
    <w:rsid w:val="004802F4"/>
    <w:rsid w:val="00481290"/>
    <w:rsid w:val="00481C1F"/>
    <w:rsid w:val="00481C24"/>
    <w:rsid w:val="00483116"/>
    <w:rsid w:val="00484411"/>
    <w:rsid w:val="00484595"/>
    <w:rsid w:val="00486757"/>
    <w:rsid w:val="00486AEF"/>
    <w:rsid w:val="00486C90"/>
    <w:rsid w:val="00486CD1"/>
    <w:rsid w:val="00486CEB"/>
    <w:rsid w:val="004879EA"/>
    <w:rsid w:val="00487ADB"/>
    <w:rsid w:val="00487F80"/>
    <w:rsid w:val="00491542"/>
    <w:rsid w:val="00492154"/>
    <w:rsid w:val="00494FA3"/>
    <w:rsid w:val="004952D0"/>
    <w:rsid w:val="0049613D"/>
    <w:rsid w:val="00496998"/>
    <w:rsid w:val="00496C63"/>
    <w:rsid w:val="00496FB2"/>
    <w:rsid w:val="00496FDD"/>
    <w:rsid w:val="004970B3"/>
    <w:rsid w:val="004972EA"/>
    <w:rsid w:val="004A05E4"/>
    <w:rsid w:val="004A1568"/>
    <w:rsid w:val="004A1783"/>
    <w:rsid w:val="004A1915"/>
    <w:rsid w:val="004A19CD"/>
    <w:rsid w:val="004A27FE"/>
    <w:rsid w:val="004A4016"/>
    <w:rsid w:val="004A41D7"/>
    <w:rsid w:val="004A426E"/>
    <w:rsid w:val="004A4F91"/>
    <w:rsid w:val="004A559B"/>
    <w:rsid w:val="004A5D9B"/>
    <w:rsid w:val="004A5E4D"/>
    <w:rsid w:val="004A6446"/>
    <w:rsid w:val="004A6DA2"/>
    <w:rsid w:val="004A7315"/>
    <w:rsid w:val="004A73D4"/>
    <w:rsid w:val="004A75F2"/>
    <w:rsid w:val="004A7972"/>
    <w:rsid w:val="004B008A"/>
    <w:rsid w:val="004B01C3"/>
    <w:rsid w:val="004B0DD7"/>
    <w:rsid w:val="004B0FDD"/>
    <w:rsid w:val="004B161E"/>
    <w:rsid w:val="004B1B87"/>
    <w:rsid w:val="004B23F4"/>
    <w:rsid w:val="004B24AB"/>
    <w:rsid w:val="004B3A04"/>
    <w:rsid w:val="004B3D96"/>
    <w:rsid w:val="004B414E"/>
    <w:rsid w:val="004B419F"/>
    <w:rsid w:val="004B5B74"/>
    <w:rsid w:val="004C04F4"/>
    <w:rsid w:val="004C0515"/>
    <w:rsid w:val="004C20EB"/>
    <w:rsid w:val="004C29B7"/>
    <w:rsid w:val="004C334E"/>
    <w:rsid w:val="004C35C0"/>
    <w:rsid w:val="004C3BBA"/>
    <w:rsid w:val="004C4F51"/>
    <w:rsid w:val="004C62E3"/>
    <w:rsid w:val="004C6798"/>
    <w:rsid w:val="004C7A40"/>
    <w:rsid w:val="004C7E67"/>
    <w:rsid w:val="004D0618"/>
    <w:rsid w:val="004D19AD"/>
    <w:rsid w:val="004D1BB2"/>
    <w:rsid w:val="004D1F9E"/>
    <w:rsid w:val="004D5011"/>
    <w:rsid w:val="004D558D"/>
    <w:rsid w:val="004D5B5E"/>
    <w:rsid w:val="004D63F7"/>
    <w:rsid w:val="004D6779"/>
    <w:rsid w:val="004D7472"/>
    <w:rsid w:val="004D7775"/>
    <w:rsid w:val="004D7875"/>
    <w:rsid w:val="004D7AEF"/>
    <w:rsid w:val="004E024E"/>
    <w:rsid w:val="004E0624"/>
    <w:rsid w:val="004E06C1"/>
    <w:rsid w:val="004E31C2"/>
    <w:rsid w:val="004E3C08"/>
    <w:rsid w:val="004E3CEA"/>
    <w:rsid w:val="004E57BB"/>
    <w:rsid w:val="004E5D39"/>
    <w:rsid w:val="004E6477"/>
    <w:rsid w:val="004E7FB8"/>
    <w:rsid w:val="004F214A"/>
    <w:rsid w:val="004F2280"/>
    <w:rsid w:val="004F34D8"/>
    <w:rsid w:val="004F3874"/>
    <w:rsid w:val="004F4BBC"/>
    <w:rsid w:val="004F5CC2"/>
    <w:rsid w:val="004F5D00"/>
    <w:rsid w:val="004F6B68"/>
    <w:rsid w:val="004F724A"/>
    <w:rsid w:val="004F742B"/>
    <w:rsid w:val="004F7B7C"/>
    <w:rsid w:val="00500163"/>
    <w:rsid w:val="00500690"/>
    <w:rsid w:val="0050095D"/>
    <w:rsid w:val="00500E06"/>
    <w:rsid w:val="0050176D"/>
    <w:rsid w:val="00503353"/>
    <w:rsid w:val="00505F8B"/>
    <w:rsid w:val="0050655F"/>
    <w:rsid w:val="00506807"/>
    <w:rsid w:val="00506E22"/>
    <w:rsid w:val="00506EBC"/>
    <w:rsid w:val="00510348"/>
    <w:rsid w:val="00510C42"/>
    <w:rsid w:val="00511081"/>
    <w:rsid w:val="00511FEE"/>
    <w:rsid w:val="00512031"/>
    <w:rsid w:val="00512503"/>
    <w:rsid w:val="00512D52"/>
    <w:rsid w:val="00513059"/>
    <w:rsid w:val="005130F2"/>
    <w:rsid w:val="00513654"/>
    <w:rsid w:val="00513F31"/>
    <w:rsid w:val="00515D81"/>
    <w:rsid w:val="00516108"/>
    <w:rsid w:val="00516378"/>
    <w:rsid w:val="00516BF6"/>
    <w:rsid w:val="00516D5F"/>
    <w:rsid w:val="00517587"/>
    <w:rsid w:val="00517697"/>
    <w:rsid w:val="00517CE5"/>
    <w:rsid w:val="00520102"/>
    <w:rsid w:val="00521826"/>
    <w:rsid w:val="0052239D"/>
    <w:rsid w:val="00522EA4"/>
    <w:rsid w:val="00523DE6"/>
    <w:rsid w:val="00523E1D"/>
    <w:rsid w:val="00524550"/>
    <w:rsid w:val="005250EE"/>
    <w:rsid w:val="00525BF2"/>
    <w:rsid w:val="00526442"/>
    <w:rsid w:val="00526954"/>
    <w:rsid w:val="005270E0"/>
    <w:rsid w:val="00532916"/>
    <w:rsid w:val="005331B0"/>
    <w:rsid w:val="005335AF"/>
    <w:rsid w:val="00534484"/>
    <w:rsid w:val="00534BD2"/>
    <w:rsid w:val="00535883"/>
    <w:rsid w:val="00535E29"/>
    <w:rsid w:val="00536580"/>
    <w:rsid w:val="005366DA"/>
    <w:rsid w:val="00536E69"/>
    <w:rsid w:val="005373CF"/>
    <w:rsid w:val="00537668"/>
    <w:rsid w:val="005376B3"/>
    <w:rsid w:val="00537A4A"/>
    <w:rsid w:val="00537FEB"/>
    <w:rsid w:val="00540877"/>
    <w:rsid w:val="00540916"/>
    <w:rsid w:val="00540F86"/>
    <w:rsid w:val="0054239C"/>
    <w:rsid w:val="00542419"/>
    <w:rsid w:val="0054252F"/>
    <w:rsid w:val="00543490"/>
    <w:rsid w:val="00543D45"/>
    <w:rsid w:val="0054542E"/>
    <w:rsid w:val="005468AC"/>
    <w:rsid w:val="0054735E"/>
    <w:rsid w:val="00547FBB"/>
    <w:rsid w:val="005504DB"/>
    <w:rsid w:val="00550828"/>
    <w:rsid w:val="00550D32"/>
    <w:rsid w:val="0055190F"/>
    <w:rsid w:val="005519E4"/>
    <w:rsid w:val="005524BC"/>
    <w:rsid w:val="00552A5B"/>
    <w:rsid w:val="00553594"/>
    <w:rsid w:val="0055377D"/>
    <w:rsid w:val="00553B3E"/>
    <w:rsid w:val="00555663"/>
    <w:rsid w:val="00555995"/>
    <w:rsid w:val="00555A5C"/>
    <w:rsid w:val="00556950"/>
    <w:rsid w:val="00556D83"/>
    <w:rsid w:val="00560BE4"/>
    <w:rsid w:val="0056132F"/>
    <w:rsid w:val="005635D9"/>
    <w:rsid w:val="0056390E"/>
    <w:rsid w:val="00563D34"/>
    <w:rsid w:val="00565A7D"/>
    <w:rsid w:val="00565E74"/>
    <w:rsid w:val="00566042"/>
    <w:rsid w:val="00566269"/>
    <w:rsid w:val="005665D4"/>
    <w:rsid w:val="00566D86"/>
    <w:rsid w:val="005679BD"/>
    <w:rsid w:val="005709AA"/>
    <w:rsid w:val="00570A22"/>
    <w:rsid w:val="00570ECC"/>
    <w:rsid w:val="00570EE8"/>
    <w:rsid w:val="00570F57"/>
    <w:rsid w:val="00571602"/>
    <w:rsid w:val="00572467"/>
    <w:rsid w:val="005732FE"/>
    <w:rsid w:val="00573302"/>
    <w:rsid w:val="005734C8"/>
    <w:rsid w:val="00573506"/>
    <w:rsid w:val="00573522"/>
    <w:rsid w:val="005740BE"/>
    <w:rsid w:val="00574337"/>
    <w:rsid w:val="00574786"/>
    <w:rsid w:val="00575249"/>
    <w:rsid w:val="00575282"/>
    <w:rsid w:val="005820F5"/>
    <w:rsid w:val="0058262C"/>
    <w:rsid w:val="00582874"/>
    <w:rsid w:val="00583209"/>
    <w:rsid w:val="00583D56"/>
    <w:rsid w:val="00584000"/>
    <w:rsid w:val="0058556B"/>
    <w:rsid w:val="0058688D"/>
    <w:rsid w:val="00586AF2"/>
    <w:rsid w:val="0058747D"/>
    <w:rsid w:val="005916AE"/>
    <w:rsid w:val="005921D9"/>
    <w:rsid w:val="0059232A"/>
    <w:rsid w:val="00593858"/>
    <w:rsid w:val="00593CFB"/>
    <w:rsid w:val="00594046"/>
    <w:rsid w:val="00594149"/>
    <w:rsid w:val="00594326"/>
    <w:rsid w:val="005945F7"/>
    <w:rsid w:val="0059546D"/>
    <w:rsid w:val="00596D22"/>
    <w:rsid w:val="00596E35"/>
    <w:rsid w:val="00596E90"/>
    <w:rsid w:val="00597D9F"/>
    <w:rsid w:val="005A17B4"/>
    <w:rsid w:val="005A181B"/>
    <w:rsid w:val="005A1B08"/>
    <w:rsid w:val="005A1F1C"/>
    <w:rsid w:val="005A2512"/>
    <w:rsid w:val="005A263C"/>
    <w:rsid w:val="005A2AE1"/>
    <w:rsid w:val="005A2EBB"/>
    <w:rsid w:val="005A4107"/>
    <w:rsid w:val="005A5D16"/>
    <w:rsid w:val="005A66A3"/>
    <w:rsid w:val="005A68C3"/>
    <w:rsid w:val="005A6F2B"/>
    <w:rsid w:val="005A76A7"/>
    <w:rsid w:val="005A770C"/>
    <w:rsid w:val="005A7F32"/>
    <w:rsid w:val="005B0165"/>
    <w:rsid w:val="005B064E"/>
    <w:rsid w:val="005B0B5B"/>
    <w:rsid w:val="005B1296"/>
    <w:rsid w:val="005B12C1"/>
    <w:rsid w:val="005B1D04"/>
    <w:rsid w:val="005B233F"/>
    <w:rsid w:val="005B238B"/>
    <w:rsid w:val="005B2CF4"/>
    <w:rsid w:val="005B34B3"/>
    <w:rsid w:val="005B3628"/>
    <w:rsid w:val="005B4C8C"/>
    <w:rsid w:val="005B5BD1"/>
    <w:rsid w:val="005B6155"/>
    <w:rsid w:val="005B6607"/>
    <w:rsid w:val="005B75F4"/>
    <w:rsid w:val="005B7C0D"/>
    <w:rsid w:val="005B7FB1"/>
    <w:rsid w:val="005C03E2"/>
    <w:rsid w:val="005C192E"/>
    <w:rsid w:val="005C2FFC"/>
    <w:rsid w:val="005C3923"/>
    <w:rsid w:val="005C3DEF"/>
    <w:rsid w:val="005C495C"/>
    <w:rsid w:val="005C4AF7"/>
    <w:rsid w:val="005C579A"/>
    <w:rsid w:val="005C5961"/>
    <w:rsid w:val="005C6723"/>
    <w:rsid w:val="005C7C32"/>
    <w:rsid w:val="005C7FD1"/>
    <w:rsid w:val="005D0DB1"/>
    <w:rsid w:val="005D0EC3"/>
    <w:rsid w:val="005D1008"/>
    <w:rsid w:val="005D1594"/>
    <w:rsid w:val="005D1E82"/>
    <w:rsid w:val="005D3373"/>
    <w:rsid w:val="005D3DAB"/>
    <w:rsid w:val="005D51F0"/>
    <w:rsid w:val="005D557A"/>
    <w:rsid w:val="005D72B7"/>
    <w:rsid w:val="005D7ED4"/>
    <w:rsid w:val="005E0A46"/>
    <w:rsid w:val="005E0C76"/>
    <w:rsid w:val="005E1635"/>
    <w:rsid w:val="005E16CC"/>
    <w:rsid w:val="005E23DC"/>
    <w:rsid w:val="005E25A8"/>
    <w:rsid w:val="005E2EF4"/>
    <w:rsid w:val="005E5380"/>
    <w:rsid w:val="005E58C9"/>
    <w:rsid w:val="005E6FD1"/>
    <w:rsid w:val="005E71BE"/>
    <w:rsid w:val="005E7954"/>
    <w:rsid w:val="005F01A7"/>
    <w:rsid w:val="005F02CB"/>
    <w:rsid w:val="005F21A1"/>
    <w:rsid w:val="005F2D04"/>
    <w:rsid w:val="005F2DD8"/>
    <w:rsid w:val="005F3686"/>
    <w:rsid w:val="005F3CA9"/>
    <w:rsid w:val="005F3D35"/>
    <w:rsid w:val="005F4274"/>
    <w:rsid w:val="005F44D4"/>
    <w:rsid w:val="005F45BE"/>
    <w:rsid w:val="005F5F8F"/>
    <w:rsid w:val="005F702C"/>
    <w:rsid w:val="005F7862"/>
    <w:rsid w:val="005F79F2"/>
    <w:rsid w:val="00600820"/>
    <w:rsid w:val="0060083E"/>
    <w:rsid w:val="00602BD3"/>
    <w:rsid w:val="00604C9D"/>
    <w:rsid w:val="00604F69"/>
    <w:rsid w:val="00605833"/>
    <w:rsid w:val="0060630F"/>
    <w:rsid w:val="006068A8"/>
    <w:rsid w:val="0060712E"/>
    <w:rsid w:val="00610643"/>
    <w:rsid w:val="00610738"/>
    <w:rsid w:val="0061356E"/>
    <w:rsid w:val="00613C81"/>
    <w:rsid w:val="00614058"/>
    <w:rsid w:val="006150E0"/>
    <w:rsid w:val="006151E2"/>
    <w:rsid w:val="006155E9"/>
    <w:rsid w:val="00615847"/>
    <w:rsid w:val="00615BC0"/>
    <w:rsid w:val="0062028F"/>
    <w:rsid w:val="006225F6"/>
    <w:rsid w:val="00624B4B"/>
    <w:rsid w:val="00625473"/>
    <w:rsid w:val="00625481"/>
    <w:rsid w:val="00626722"/>
    <w:rsid w:val="0062737E"/>
    <w:rsid w:val="00627B8A"/>
    <w:rsid w:val="00627E28"/>
    <w:rsid w:val="00630D4D"/>
    <w:rsid w:val="00632C2E"/>
    <w:rsid w:val="00632E15"/>
    <w:rsid w:val="0063353F"/>
    <w:rsid w:val="00635068"/>
    <w:rsid w:val="006351AF"/>
    <w:rsid w:val="0063578C"/>
    <w:rsid w:val="00635AF6"/>
    <w:rsid w:val="00636172"/>
    <w:rsid w:val="006363A2"/>
    <w:rsid w:val="0063657B"/>
    <w:rsid w:val="0063729E"/>
    <w:rsid w:val="00637AFB"/>
    <w:rsid w:val="006430D5"/>
    <w:rsid w:val="0064405A"/>
    <w:rsid w:val="006446C1"/>
    <w:rsid w:val="00645BD8"/>
    <w:rsid w:val="0064684F"/>
    <w:rsid w:val="00646884"/>
    <w:rsid w:val="006470AD"/>
    <w:rsid w:val="00647D4A"/>
    <w:rsid w:val="0065085B"/>
    <w:rsid w:val="00650FB0"/>
    <w:rsid w:val="0065149D"/>
    <w:rsid w:val="00651856"/>
    <w:rsid w:val="006518E3"/>
    <w:rsid w:val="0065254D"/>
    <w:rsid w:val="0065290B"/>
    <w:rsid w:val="00652B58"/>
    <w:rsid w:val="006532FD"/>
    <w:rsid w:val="006534B0"/>
    <w:rsid w:val="006536F5"/>
    <w:rsid w:val="0065457C"/>
    <w:rsid w:val="0065610D"/>
    <w:rsid w:val="006563C5"/>
    <w:rsid w:val="006564E2"/>
    <w:rsid w:val="00656B01"/>
    <w:rsid w:val="00656FB9"/>
    <w:rsid w:val="0065731E"/>
    <w:rsid w:val="00657AE0"/>
    <w:rsid w:val="006604A1"/>
    <w:rsid w:val="00660678"/>
    <w:rsid w:val="0066215D"/>
    <w:rsid w:val="00662DBB"/>
    <w:rsid w:val="00663D19"/>
    <w:rsid w:val="00663F72"/>
    <w:rsid w:val="006643B7"/>
    <w:rsid w:val="00664953"/>
    <w:rsid w:val="00664ED3"/>
    <w:rsid w:val="00665004"/>
    <w:rsid w:val="0066522B"/>
    <w:rsid w:val="00665B15"/>
    <w:rsid w:val="00665DEE"/>
    <w:rsid w:val="00665E92"/>
    <w:rsid w:val="00666B16"/>
    <w:rsid w:val="00666DA9"/>
    <w:rsid w:val="00672D32"/>
    <w:rsid w:val="00673D72"/>
    <w:rsid w:val="00673DCB"/>
    <w:rsid w:val="00673FAA"/>
    <w:rsid w:val="00674385"/>
    <w:rsid w:val="00674EDE"/>
    <w:rsid w:val="00675224"/>
    <w:rsid w:val="006754B9"/>
    <w:rsid w:val="00677022"/>
    <w:rsid w:val="006779C1"/>
    <w:rsid w:val="006814D9"/>
    <w:rsid w:val="00681C4F"/>
    <w:rsid w:val="0068223D"/>
    <w:rsid w:val="0068252A"/>
    <w:rsid w:val="00682CBC"/>
    <w:rsid w:val="00682F93"/>
    <w:rsid w:val="00683320"/>
    <w:rsid w:val="0068344D"/>
    <w:rsid w:val="006844D7"/>
    <w:rsid w:val="00684872"/>
    <w:rsid w:val="0068510F"/>
    <w:rsid w:val="00685C4E"/>
    <w:rsid w:val="006876F8"/>
    <w:rsid w:val="00690721"/>
    <w:rsid w:val="00690ED4"/>
    <w:rsid w:val="0069157A"/>
    <w:rsid w:val="00691BDE"/>
    <w:rsid w:val="00691E94"/>
    <w:rsid w:val="00692614"/>
    <w:rsid w:val="00692FF4"/>
    <w:rsid w:val="00693EA8"/>
    <w:rsid w:val="0069431D"/>
    <w:rsid w:val="00696E9D"/>
    <w:rsid w:val="006974C2"/>
    <w:rsid w:val="006978FC"/>
    <w:rsid w:val="006A01F9"/>
    <w:rsid w:val="006A2136"/>
    <w:rsid w:val="006A21FC"/>
    <w:rsid w:val="006A2249"/>
    <w:rsid w:val="006A2908"/>
    <w:rsid w:val="006A36BE"/>
    <w:rsid w:val="006A3C21"/>
    <w:rsid w:val="006A48A1"/>
    <w:rsid w:val="006A49AD"/>
    <w:rsid w:val="006A505E"/>
    <w:rsid w:val="006A5080"/>
    <w:rsid w:val="006A59C8"/>
    <w:rsid w:val="006A6657"/>
    <w:rsid w:val="006B0A43"/>
    <w:rsid w:val="006B0D55"/>
    <w:rsid w:val="006B3CB2"/>
    <w:rsid w:val="006B48C8"/>
    <w:rsid w:val="006B565D"/>
    <w:rsid w:val="006B61FA"/>
    <w:rsid w:val="006B73EB"/>
    <w:rsid w:val="006B75D4"/>
    <w:rsid w:val="006B7677"/>
    <w:rsid w:val="006B7E89"/>
    <w:rsid w:val="006C05AF"/>
    <w:rsid w:val="006C0653"/>
    <w:rsid w:val="006C1BC5"/>
    <w:rsid w:val="006C1D48"/>
    <w:rsid w:val="006C2D38"/>
    <w:rsid w:val="006C440E"/>
    <w:rsid w:val="006C49B7"/>
    <w:rsid w:val="006C52E7"/>
    <w:rsid w:val="006C57DA"/>
    <w:rsid w:val="006C619C"/>
    <w:rsid w:val="006C67A0"/>
    <w:rsid w:val="006C7147"/>
    <w:rsid w:val="006C77C0"/>
    <w:rsid w:val="006C7FCF"/>
    <w:rsid w:val="006D0AEE"/>
    <w:rsid w:val="006D1168"/>
    <w:rsid w:val="006D30B2"/>
    <w:rsid w:val="006D31B0"/>
    <w:rsid w:val="006D3481"/>
    <w:rsid w:val="006D47E2"/>
    <w:rsid w:val="006D4D4E"/>
    <w:rsid w:val="006D5B77"/>
    <w:rsid w:val="006D6B9B"/>
    <w:rsid w:val="006D71C3"/>
    <w:rsid w:val="006D7C61"/>
    <w:rsid w:val="006D7E01"/>
    <w:rsid w:val="006D7E33"/>
    <w:rsid w:val="006E09FB"/>
    <w:rsid w:val="006E0DA1"/>
    <w:rsid w:val="006E120A"/>
    <w:rsid w:val="006E151E"/>
    <w:rsid w:val="006E1756"/>
    <w:rsid w:val="006E1CA1"/>
    <w:rsid w:val="006E21E3"/>
    <w:rsid w:val="006E2F90"/>
    <w:rsid w:val="006E3A17"/>
    <w:rsid w:val="006E3C1D"/>
    <w:rsid w:val="006E4560"/>
    <w:rsid w:val="006E4F93"/>
    <w:rsid w:val="006E506D"/>
    <w:rsid w:val="006E5997"/>
    <w:rsid w:val="006E6785"/>
    <w:rsid w:val="006E67B8"/>
    <w:rsid w:val="006E685D"/>
    <w:rsid w:val="006E6F80"/>
    <w:rsid w:val="006E7349"/>
    <w:rsid w:val="006E77D2"/>
    <w:rsid w:val="006E7E2B"/>
    <w:rsid w:val="006F02EC"/>
    <w:rsid w:val="006F1071"/>
    <w:rsid w:val="006F1347"/>
    <w:rsid w:val="006F150C"/>
    <w:rsid w:val="006F1F01"/>
    <w:rsid w:val="006F23F8"/>
    <w:rsid w:val="006F2C1D"/>
    <w:rsid w:val="006F2E42"/>
    <w:rsid w:val="006F3664"/>
    <w:rsid w:val="006F3BA4"/>
    <w:rsid w:val="006F3EA6"/>
    <w:rsid w:val="006F4584"/>
    <w:rsid w:val="006F4923"/>
    <w:rsid w:val="006F5243"/>
    <w:rsid w:val="006F669D"/>
    <w:rsid w:val="006F6D92"/>
    <w:rsid w:val="006F723A"/>
    <w:rsid w:val="006F783A"/>
    <w:rsid w:val="00700C02"/>
    <w:rsid w:val="00701388"/>
    <w:rsid w:val="00701531"/>
    <w:rsid w:val="00701E5F"/>
    <w:rsid w:val="00701E84"/>
    <w:rsid w:val="00701F61"/>
    <w:rsid w:val="00702D14"/>
    <w:rsid w:val="00702F14"/>
    <w:rsid w:val="00703836"/>
    <w:rsid w:val="00703AAF"/>
    <w:rsid w:val="00704431"/>
    <w:rsid w:val="00704516"/>
    <w:rsid w:val="00705213"/>
    <w:rsid w:val="007056ED"/>
    <w:rsid w:val="00705806"/>
    <w:rsid w:val="00705943"/>
    <w:rsid w:val="0070625E"/>
    <w:rsid w:val="00706729"/>
    <w:rsid w:val="00707941"/>
    <w:rsid w:val="007103D1"/>
    <w:rsid w:val="00711D15"/>
    <w:rsid w:val="00711DC1"/>
    <w:rsid w:val="007120E1"/>
    <w:rsid w:val="00712464"/>
    <w:rsid w:val="00712F58"/>
    <w:rsid w:val="00713481"/>
    <w:rsid w:val="0071376E"/>
    <w:rsid w:val="00713A00"/>
    <w:rsid w:val="00713E0F"/>
    <w:rsid w:val="00714304"/>
    <w:rsid w:val="007145DD"/>
    <w:rsid w:val="00714BE1"/>
    <w:rsid w:val="0071533E"/>
    <w:rsid w:val="00715B50"/>
    <w:rsid w:val="00715EBE"/>
    <w:rsid w:val="007163BC"/>
    <w:rsid w:val="0071649C"/>
    <w:rsid w:val="00716B34"/>
    <w:rsid w:val="00716C4B"/>
    <w:rsid w:val="00716DB3"/>
    <w:rsid w:val="00717116"/>
    <w:rsid w:val="00717179"/>
    <w:rsid w:val="00720359"/>
    <w:rsid w:val="00720619"/>
    <w:rsid w:val="00720DF8"/>
    <w:rsid w:val="007211A9"/>
    <w:rsid w:val="00721DA9"/>
    <w:rsid w:val="007222A9"/>
    <w:rsid w:val="0072264C"/>
    <w:rsid w:val="0072528D"/>
    <w:rsid w:val="00725C36"/>
    <w:rsid w:val="00726A23"/>
    <w:rsid w:val="00726DA9"/>
    <w:rsid w:val="00726EF3"/>
    <w:rsid w:val="007276D8"/>
    <w:rsid w:val="00727999"/>
    <w:rsid w:val="007279F2"/>
    <w:rsid w:val="00730D79"/>
    <w:rsid w:val="007320EF"/>
    <w:rsid w:val="00733C81"/>
    <w:rsid w:val="00735B8F"/>
    <w:rsid w:val="00736306"/>
    <w:rsid w:val="00736577"/>
    <w:rsid w:val="00737801"/>
    <w:rsid w:val="00737A36"/>
    <w:rsid w:val="00740B06"/>
    <w:rsid w:val="00741147"/>
    <w:rsid w:val="00741293"/>
    <w:rsid w:val="00742261"/>
    <w:rsid w:val="00744623"/>
    <w:rsid w:val="00744ABB"/>
    <w:rsid w:val="00747E02"/>
    <w:rsid w:val="007510B3"/>
    <w:rsid w:val="00751680"/>
    <w:rsid w:val="00751F75"/>
    <w:rsid w:val="00752131"/>
    <w:rsid w:val="007521A9"/>
    <w:rsid w:val="00752515"/>
    <w:rsid w:val="00752714"/>
    <w:rsid w:val="00753137"/>
    <w:rsid w:val="007536B1"/>
    <w:rsid w:val="00753A8B"/>
    <w:rsid w:val="00753F42"/>
    <w:rsid w:val="0075449D"/>
    <w:rsid w:val="00754F86"/>
    <w:rsid w:val="00755981"/>
    <w:rsid w:val="00756A61"/>
    <w:rsid w:val="0075734E"/>
    <w:rsid w:val="00757F1A"/>
    <w:rsid w:val="00760552"/>
    <w:rsid w:val="00761157"/>
    <w:rsid w:val="007612CC"/>
    <w:rsid w:val="00761C3F"/>
    <w:rsid w:val="007621D6"/>
    <w:rsid w:val="00764971"/>
    <w:rsid w:val="00765BCE"/>
    <w:rsid w:val="00765D2A"/>
    <w:rsid w:val="00765ED6"/>
    <w:rsid w:val="00766146"/>
    <w:rsid w:val="00766866"/>
    <w:rsid w:val="0077051B"/>
    <w:rsid w:val="00770705"/>
    <w:rsid w:val="00770906"/>
    <w:rsid w:val="00770B92"/>
    <w:rsid w:val="00770D6F"/>
    <w:rsid w:val="00771A35"/>
    <w:rsid w:val="00771BD3"/>
    <w:rsid w:val="007721A9"/>
    <w:rsid w:val="0077224A"/>
    <w:rsid w:val="007723C2"/>
    <w:rsid w:val="00772400"/>
    <w:rsid w:val="00772A08"/>
    <w:rsid w:val="00773F43"/>
    <w:rsid w:val="007742D3"/>
    <w:rsid w:val="00774324"/>
    <w:rsid w:val="00774633"/>
    <w:rsid w:val="00774A2D"/>
    <w:rsid w:val="00774B93"/>
    <w:rsid w:val="00774D70"/>
    <w:rsid w:val="00775260"/>
    <w:rsid w:val="00775529"/>
    <w:rsid w:val="00775838"/>
    <w:rsid w:val="007764B9"/>
    <w:rsid w:val="0077657A"/>
    <w:rsid w:val="0077670E"/>
    <w:rsid w:val="00777145"/>
    <w:rsid w:val="00777375"/>
    <w:rsid w:val="00780752"/>
    <w:rsid w:val="00781924"/>
    <w:rsid w:val="007821A7"/>
    <w:rsid w:val="007824E4"/>
    <w:rsid w:val="0078298A"/>
    <w:rsid w:val="0078405D"/>
    <w:rsid w:val="00784795"/>
    <w:rsid w:val="00785E71"/>
    <w:rsid w:val="0078602C"/>
    <w:rsid w:val="00786CD9"/>
    <w:rsid w:val="00790545"/>
    <w:rsid w:val="00791BBD"/>
    <w:rsid w:val="0079255C"/>
    <w:rsid w:val="00792F20"/>
    <w:rsid w:val="007938DB"/>
    <w:rsid w:val="00793B6A"/>
    <w:rsid w:val="00793E42"/>
    <w:rsid w:val="00794994"/>
    <w:rsid w:val="007961D9"/>
    <w:rsid w:val="00796ECD"/>
    <w:rsid w:val="00796F50"/>
    <w:rsid w:val="00797FF3"/>
    <w:rsid w:val="007A0306"/>
    <w:rsid w:val="007A07E3"/>
    <w:rsid w:val="007A0A07"/>
    <w:rsid w:val="007A1A09"/>
    <w:rsid w:val="007A2533"/>
    <w:rsid w:val="007A2C99"/>
    <w:rsid w:val="007A2D38"/>
    <w:rsid w:val="007A372A"/>
    <w:rsid w:val="007A407D"/>
    <w:rsid w:val="007A41AA"/>
    <w:rsid w:val="007A64DF"/>
    <w:rsid w:val="007A657A"/>
    <w:rsid w:val="007A6C8F"/>
    <w:rsid w:val="007A6DCA"/>
    <w:rsid w:val="007A6EB2"/>
    <w:rsid w:val="007A6FF3"/>
    <w:rsid w:val="007A75B4"/>
    <w:rsid w:val="007B01A7"/>
    <w:rsid w:val="007B045A"/>
    <w:rsid w:val="007B04CD"/>
    <w:rsid w:val="007B1517"/>
    <w:rsid w:val="007B1520"/>
    <w:rsid w:val="007B17CB"/>
    <w:rsid w:val="007B2D7C"/>
    <w:rsid w:val="007B2FB4"/>
    <w:rsid w:val="007B330C"/>
    <w:rsid w:val="007B42D5"/>
    <w:rsid w:val="007B47A4"/>
    <w:rsid w:val="007B51FC"/>
    <w:rsid w:val="007B658D"/>
    <w:rsid w:val="007B693D"/>
    <w:rsid w:val="007B6D96"/>
    <w:rsid w:val="007C109F"/>
    <w:rsid w:val="007C180E"/>
    <w:rsid w:val="007C18EA"/>
    <w:rsid w:val="007C1BD8"/>
    <w:rsid w:val="007C22C1"/>
    <w:rsid w:val="007C25BB"/>
    <w:rsid w:val="007C2885"/>
    <w:rsid w:val="007C29EB"/>
    <w:rsid w:val="007C3C64"/>
    <w:rsid w:val="007C3FC5"/>
    <w:rsid w:val="007C617A"/>
    <w:rsid w:val="007C6B2D"/>
    <w:rsid w:val="007D0DB8"/>
    <w:rsid w:val="007D0F98"/>
    <w:rsid w:val="007D1250"/>
    <w:rsid w:val="007D19EC"/>
    <w:rsid w:val="007D26AB"/>
    <w:rsid w:val="007D2784"/>
    <w:rsid w:val="007D2827"/>
    <w:rsid w:val="007D2991"/>
    <w:rsid w:val="007D3654"/>
    <w:rsid w:val="007D3BFE"/>
    <w:rsid w:val="007D3C6A"/>
    <w:rsid w:val="007D3EC3"/>
    <w:rsid w:val="007D5613"/>
    <w:rsid w:val="007D7B0A"/>
    <w:rsid w:val="007D7FF0"/>
    <w:rsid w:val="007E023E"/>
    <w:rsid w:val="007E3135"/>
    <w:rsid w:val="007E35A7"/>
    <w:rsid w:val="007E3872"/>
    <w:rsid w:val="007E3DC9"/>
    <w:rsid w:val="007E3FEC"/>
    <w:rsid w:val="007E43FB"/>
    <w:rsid w:val="007E49EA"/>
    <w:rsid w:val="007E4B73"/>
    <w:rsid w:val="007E53B1"/>
    <w:rsid w:val="007E5FEA"/>
    <w:rsid w:val="007E66AC"/>
    <w:rsid w:val="007E6CEC"/>
    <w:rsid w:val="007E6F97"/>
    <w:rsid w:val="007E75A5"/>
    <w:rsid w:val="007E7741"/>
    <w:rsid w:val="007E78E1"/>
    <w:rsid w:val="007F0784"/>
    <w:rsid w:val="007F07FE"/>
    <w:rsid w:val="007F0B1B"/>
    <w:rsid w:val="007F1051"/>
    <w:rsid w:val="007F12FF"/>
    <w:rsid w:val="007F1461"/>
    <w:rsid w:val="007F16E9"/>
    <w:rsid w:val="007F1BDA"/>
    <w:rsid w:val="007F1DD2"/>
    <w:rsid w:val="007F380A"/>
    <w:rsid w:val="007F398C"/>
    <w:rsid w:val="007F499A"/>
    <w:rsid w:val="007F4A99"/>
    <w:rsid w:val="007F5792"/>
    <w:rsid w:val="0080025E"/>
    <w:rsid w:val="0080081A"/>
    <w:rsid w:val="00802078"/>
    <w:rsid w:val="0080258D"/>
    <w:rsid w:val="00802D20"/>
    <w:rsid w:val="00802FB3"/>
    <w:rsid w:val="008039F4"/>
    <w:rsid w:val="00804731"/>
    <w:rsid w:val="00804B47"/>
    <w:rsid w:val="008055EE"/>
    <w:rsid w:val="00805647"/>
    <w:rsid w:val="008058D0"/>
    <w:rsid w:val="00805C0E"/>
    <w:rsid w:val="00806614"/>
    <w:rsid w:val="00806B4C"/>
    <w:rsid w:val="008100CE"/>
    <w:rsid w:val="008121E5"/>
    <w:rsid w:val="00812671"/>
    <w:rsid w:val="00813F40"/>
    <w:rsid w:val="008147F0"/>
    <w:rsid w:val="00814A9F"/>
    <w:rsid w:val="00814F75"/>
    <w:rsid w:val="008150FA"/>
    <w:rsid w:val="00816254"/>
    <w:rsid w:val="008165CA"/>
    <w:rsid w:val="00816CF0"/>
    <w:rsid w:val="00816E67"/>
    <w:rsid w:val="00817729"/>
    <w:rsid w:val="008201E4"/>
    <w:rsid w:val="0082089C"/>
    <w:rsid w:val="0082120F"/>
    <w:rsid w:val="00821D89"/>
    <w:rsid w:val="0082214C"/>
    <w:rsid w:val="008226C0"/>
    <w:rsid w:val="00822EAD"/>
    <w:rsid w:val="00822FDD"/>
    <w:rsid w:val="008237C2"/>
    <w:rsid w:val="0082455F"/>
    <w:rsid w:val="008259FA"/>
    <w:rsid w:val="00825AD0"/>
    <w:rsid w:val="00825F91"/>
    <w:rsid w:val="008274F4"/>
    <w:rsid w:val="00827B7F"/>
    <w:rsid w:val="00827D09"/>
    <w:rsid w:val="0083066D"/>
    <w:rsid w:val="008312C0"/>
    <w:rsid w:val="00833E15"/>
    <w:rsid w:val="0083402C"/>
    <w:rsid w:val="00834941"/>
    <w:rsid w:val="00834C23"/>
    <w:rsid w:val="00834F06"/>
    <w:rsid w:val="00835945"/>
    <w:rsid w:val="008361CA"/>
    <w:rsid w:val="00837658"/>
    <w:rsid w:val="008379EA"/>
    <w:rsid w:val="00837B78"/>
    <w:rsid w:val="00841596"/>
    <w:rsid w:val="00842A3F"/>
    <w:rsid w:val="00842C19"/>
    <w:rsid w:val="00843961"/>
    <w:rsid w:val="0084467C"/>
    <w:rsid w:val="00844A9A"/>
    <w:rsid w:val="008456E2"/>
    <w:rsid w:val="008458EC"/>
    <w:rsid w:val="00845FC1"/>
    <w:rsid w:val="008465D6"/>
    <w:rsid w:val="008475C6"/>
    <w:rsid w:val="00847689"/>
    <w:rsid w:val="00847A69"/>
    <w:rsid w:val="00847EBB"/>
    <w:rsid w:val="0085030F"/>
    <w:rsid w:val="00850CE8"/>
    <w:rsid w:val="008518D8"/>
    <w:rsid w:val="0085291F"/>
    <w:rsid w:val="00852983"/>
    <w:rsid w:val="00853130"/>
    <w:rsid w:val="008538F3"/>
    <w:rsid w:val="00853D80"/>
    <w:rsid w:val="00853EC8"/>
    <w:rsid w:val="00853FA1"/>
    <w:rsid w:val="00855253"/>
    <w:rsid w:val="00856739"/>
    <w:rsid w:val="00856EDC"/>
    <w:rsid w:val="008571A1"/>
    <w:rsid w:val="008573C4"/>
    <w:rsid w:val="008577B9"/>
    <w:rsid w:val="00857D61"/>
    <w:rsid w:val="00857DE2"/>
    <w:rsid w:val="008608C0"/>
    <w:rsid w:val="0086107C"/>
    <w:rsid w:val="008620D0"/>
    <w:rsid w:val="00863826"/>
    <w:rsid w:val="00863901"/>
    <w:rsid w:val="00863EA5"/>
    <w:rsid w:val="00864278"/>
    <w:rsid w:val="008644A9"/>
    <w:rsid w:val="0086458D"/>
    <w:rsid w:val="0086564D"/>
    <w:rsid w:val="00866564"/>
    <w:rsid w:val="008671C2"/>
    <w:rsid w:val="00867DAD"/>
    <w:rsid w:val="00870F7D"/>
    <w:rsid w:val="008713A9"/>
    <w:rsid w:val="00871950"/>
    <w:rsid w:val="0087324D"/>
    <w:rsid w:val="008737D4"/>
    <w:rsid w:val="00873846"/>
    <w:rsid w:val="008738D7"/>
    <w:rsid w:val="00874DBD"/>
    <w:rsid w:val="00875862"/>
    <w:rsid w:val="00875DEE"/>
    <w:rsid w:val="0087628B"/>
    <w:rsid w:val="00876790"/>
    <w:rsid w:val="0087740E"/>
    <w:rsid w:val="00877E29"/>
    <w:rsid w:val="00880268"/>
    <w:rsid w:val="00880FDD"/>
    <w:rsid w:val="008816C6"/>
    <w:rsid w:val="00882ACA"/>
    <w:rsid w:val="0088399B"/>
    <w:rsid w:val="00883D6D"/>
    <w:rsid w:val="00884929"/>
    <w:rsid w:val="0088499C"/>
    <w:rsid w:val="008850AC"/>
    <w:rsid w:val="0088766A"/>
    <w:rsid w:val="00891A0D"/>
    <w:rsid w:val="00891DDC"/>
    <w:rsid w:val="008923EA"/>
    <w:rsid w:val="00893D28"/>
    <w:rsid w:val="00894A4A"/>
    <w:rsid w:val="00894DBD"/>
    <w:rsid w:val="00895855"/>
    <w:rsid w:val="00896025"/>
    <w:rsid w:val="00897213"/>
    <w:rsid w:val="008979CD"/>
    <w:rsid w:val="00897F39"/>
    <w:rsid w:val="008A0124"/>
    <w:rsid w:val="008A0EFC"/>
    <w:rsid w:val="008A1044"/>
    <w:rsid w:val="008A4BF7"/>
    <w:rsid w:val="008A5BA5"/>
    <w:rsid w:val="008A5D6F"/>
    <w:rsid w:val="008A647B"/>
    <w:rsid w:val="008A677A"/>
    <w:rsid w:val="008A6943"/>
    <w:rsid w:val="008A738A"/>
    <w:rsid w:val="008B07DC"/>
    <w:rsid w:val="008B0A94"/>
    <w:rsid w:val="008B10A5"/>
    <w:rsid w:val="008B1F1B"/>
    <w:rsid w:val="008B3220"/>
    <w:rsid w:val="008B3FC4"/>
    <w:rsid w:val="008B6B4B"/>
    <w:rsid w:val="008B7A15"/>
    <w:rsid w:val="008B7F0A"/>
    <w:rsid w:val="008B7F8D"/>
    <w:rsid w:val="008C00CB"/>
    <w:rsid w:val="008C0230"/>
    <w:rsid w:val="008C05A2"/>
    <w:rsid w:val="008C0A1E"/>
    <w:rsid w:val="008C185A"/>
    <w:rsid w:val="008C1A97"/>
    <w:rsid w:val="008C1E5C"/>
    <w:rsid w:val="008C238B"/>
    <w:rsid w:val="008C2E52"/>
    <w:rsid w:val="008C3E01"/>
    <w:rsid w:val="008C3E62"/>
    <w:rsid w:val="008C461F"/>
    <w:rsid w:val="008C619B"/>
    <w:rsid w:val="008C7B38"/>
    <w:rsid w:val="008C7EDC"/>
    <w:rsid w:val="008D1B79"/>
    <w:rsid w:val="008D21D9"/>
    <w:rsid w:val="008D29DF"/>
    <w:rsid w:val="008D2B24"/>
    <w:rsid w:val="008D3226"/>
    <w:rsid w:val="008D46DB"/>
    <w:rsid w:val="008D6CB7"/>
    <w:rsid w:val="008D7124"/>
    <w:rsid w:val="008D7152"/>
    <w:rsid w:val="008D79E6"/>
    <w:rsid w:val="008D7BB9"/>
    <w:rsid w:val="008E11ED"/>
    <w:rsid w:val="008E1A6A"/>
    <w:rsid w:val="008E1FBA"/>
    <w:rsid w:val="008E208E"/>
    <w:rsid w:val="008E20E0"/>
    <w:rsid w:val="008E2716"/>
    <w:rsid w:val="008E28BB"/>
    <w:rsid w:val="008E3401"/>
    <w:rsid w:val="008E37F2"/>
    <w:rsid w:val="008E4C6E"/>
    <w:rsid w:val="008E5D64"/>
    <w:rsid w:val="008E6516"/>
    <w:rsid w:val="008E6E95"/>
    <w:rsid w:val="008E72E3"/>
    <w:rsid w:val="008F0133"/>
    <w:rsid w:val="008F050F"/>
    <w:rsid w:val="008F171A"/>
    <w:rsid w:val="008F1B99"/>
    <w:rsid w:val="008F2C3C"/>
    <w:rsid w:val="008F3385"/>
    <w:rsid w:val="008F413B"/>
    <w:rsid w:val="008F51A8"/>
    <w:rsid w:val="008F5322"/>
    <w:rsid w:val="008F643B"/>
    <w:rsid w:val="008F6A5E"/>
    <w:rsid w:val="008F7064"/>
    <w:rsid w:val="008F7180"/>
    <w:rsid w:val="008F7587"/>
    <w:rsid w:val="008F763B"/>
    <w:rsid w:val="00900607"/>
    <w:rsid w:val="00900BA8"/>
    <w:rsid w:val="00901F1B"/>
    <w:rsid w:val="009025CD"/>
    <w:rsid w:val="009027DA"/>
    <w:rsid w:val="00902CBB"/>
    <w:rsid w:val="00902DD7"/>
    <w:rsid w:val="00904617"/>
    <w:rsid w:val="00904A67"/>
    <w:rsid w:val="00904EB8"/>
    <w:rsid w:val="00905C0C"/>
    <w:rsid w:val="00907882"/>
    <w:rsid w:val="00907A42"/>
    <w:rsid w:val="009108EF"/>
    <w:rsid w:val="00911691"/>
    <w:rsid w:val="009120C6"/>
    <w:rsid w:val="00912138"/>
    <w:rsid w:val="0091247C"/>
    <w:rsid w:val="00913112"/>
    <w:rsid w:val="00913F22"/>
    <w:rsid w:val="009145FE"/>
    <w:rsid w:val="00914988"/>
    <w:rsid w:val="00914F36"/>
    <w:rsid w:val="0091549B"/>
    <w:rsid w:val="00915894"/>
    <w:rsid w:val="00915BBF"/>
    <w:rsid w:val="00920906"/>
    <w:rsid w:val="0092187E"/>
    <w:rsid w:val="00921917"/>
    <w:rsid w:val="00922F4E"/>
    <w:rsid w:val="0092313C"/>
    <w:rsid w:val="00923818"/>
    <w:rsid w:val="00923833"/>
    <w:rsid w:val="00923D48"/>
    <w:rsid w:val="00924AFC"/>
    <w:rsid w:val="00926058"/>
    <w:rsid w:val="009268D8"/>
    <w:rsid w:val="009276EA"/>
    <w:rsid w:val="00927795"/>
    <w:rsid w:val="00927ED8"/>
    <w:rsid w:val="00927F04"/>
    <w:rsid w:val="00930ABE"/>
    <w:rsid w:val="0093125B"/>
    <w:rsid w:val="0093128C"/>
    <w:rsid w:val="00931E91"/>
    <w:rsid w:val="00931EE4"/>
    <w:rsid w:val="00931F9F"/>
    <w:rsid w:val="00932BB1"/>
    <w:rsid w:val="0093437E"/>
    <w:rsid w:val="00935DA4"/>
    <w:rsid w:val="00935F94"/>
    <w:rsid w:val="0093612E"/>
    <w:rsid w:val="00937AAB"/>
    <w:rsid w:val="0094003B"/>
    <w:rsid w:val="0094023E"/>
    <w:rsid w:val="00940326"/>
    <w:rsid w:val="009406E9"/>
    <w:rsid w:val="00940CD0"/>
    <w:rsid w:val="00940F07"/>
    <w:rsid w:val="00942004"/>
    <w:rsid w:val="00942A6C"/>
    <w:rsid w:val="00943130"/>
    <w:rsid w:val="009445CB"/>
    <w:rsid w:val="00944B35"/>
    <w:rsid w:val="00944BC0"/>
    <w:rsid w:val="00944EE2"/>
    <w:rsid w:val="00945310"/>
    <w:rsid w:val="00946941"/>
    <w:rsid w:val="009469DE"/>
    <w:rsid w:val="00947162"/>
    <w:rsid w:val="009506C3"/>
    <w:rsid w:val="00950A68"/>
    <w:rsid w:val="00950E66"/>
    <w:rsid w:val="00951CA8"/>
    <w:rsid w:val="00952672"/>
    <w:rsid w:val="00952A68"/>
    <w:rsid w:val="00955B72"/>
    <w:rsid w:val="0095615A"/>
    <w:rsid w:val="00957E0F"/>
    <w:rsid w:val="00957F1E"/>
    <w:rsid w:val="00960002"/>
    <w:rsid w:val="00960868"/>
    <w:rsid w:val="00961147"/>
    <w:rsid w:val="009617E4"/>
    <w:rsid w:val="00961886"/>
    <w:rsid w:val="00961971"/>
    <w:rsid w:val="00963C0E"/>
    <w:rsid w:val="009646CB"/>
    <w:rsid w:val="00964E82"/>
    <w:rsid w:val="00964EB1"/>
    <w:rsid w:val="00966A8B"/>
    <w:rsid w:val="00966F80"/>
    <w:rsid w:val="009670E9"/>
    <w:rsid w:val="00967DD1"/>
    <w:rsid w:val="009709A1"/>
    <w:rsid w:val="00970B7C"/>
    <w:rsid w:val="00971665"/>
    <w:rsid w:val="0097182E"/>
    <w:rsid w:val="00972C5C"/>
    <w:rsid w:val="00977C80"/>
    <w:rsid w:val="009800FB"/>
    <w:rsid w:val="00980720"/>
    <w:rsid w:val="009808C4"/>
    <w:rsid w:val="009809F3"/>
    <w:rsid w:val="00980A4C"/>
    <w:rsid w:val="00980FBB"/>
    <w:rsid w:val="00982404"/>
    <w:rsid w:val="0098371D"/>
    <w:rsid w:val="0098389F"/>
    <w:rsid w:val="009839EB"/>
    <w:rsid w:val="00984EC7"/>
    <w:rsid w:val="0098682F"/>
    <w:rsid w:val="00986FD2"/>
    <w:rsid w:val="009870C8"/>
    <w:rsid w:val="009879FE"/>
    <w:rsid w:val="00987E66"/>
    <w:rsid w:val="009900D7"/>
    <w:rsid w:val="009912FB"/>
    <w:rsid w:val="009916F4"/>
    <w:rsid w:val="00991DA2"/>
    <w:rsid w:val="00993B03"/>
    <w:rsid w:val="00994304"/>
    <w:rsid w:val="0099488D"/>
    <w:rsid w:val="009949FF"/>
    <w:rsid w:val="00994AB1"/>
    <w:rsid w:val="00994DAF"/>
    <w:rsid w:val="00995514"/>
    <w:rsid w:val="00996471"/>
    <w:rsid w:val="00996A57"/>
    <w:rsid w:val="009A056F"/>
    <w:rsid w:val="009A16FD"/>
    <w:rsid w:val="009A265B"/>
    <w:rsid w:val="009A2AED"/>
    <w:rsid w:val="009A2F8B"/>
    <w:rsid w:val="009A5515"/>
    <w:rsid w:val="009A676A"/>
    <w:rsid w:val="009A6DF1"/>
    <w:rsid w:val="009B1513"/>
    <w:rsid w:val="009B1D60"/>
    <w:rsid w:val="009B2489"/>
    <w:rsid w:val="009B307B"/>
    <w:rsid w:val="009B3485"/>
    <w:rsid w:val="009B3863"/>
    <w:rsid w:val="009B3CC5"/>
    <w:rsid w:val="009B42D2"/>
    <w:rsid w:val="009B42FA"/>
    <w:rsid w:val="009B4E8E"/>
    <w:rsid w:val="009B4EA0"/>
    <w:rsid w:val="009B65BA"/>
    <w:rsid w:val="009B79AC"/>
    <w:rsid w:val="009B79CC"/>
    <w:rsid w:val="009C0448"/>
    <w:rsid w:val="009C04B3"/>
    <w:rsid w:val="009C06A9"/>
    <w:rsid w:val="009C0A88"/>
    <w:rsid w:val="009C175F"/>
    <w:rsid w:val="009C1CA5"/>
    <w:rsid w:val="009C2566"/>
    <w:rsid w:val="009C2C6C"/>
    <w:rsid w:val="009C3027"/>
    <w:rsid w:val="009C5F7C"/>
    <w:rsid w:val="009C6FF7"/>
    <w:rsid w:val="009C7AF5"/>
    <w:rsid w:val="009D032B"/>
    <w:rsid w:val="009D06DD"/>
    <w:rsid w:val="009D0EE4"/>
    <w:rsid w:val="009D1A41"/>
    <w:rsid w:val="009D1B66"/>
    <w:rsid w:val="009D1E70"/>
    <w:rsid w:val="009D2C20"/>
    <w:rsid w:val="009D2CB7"/>
    <w:rsid w:val="009D303C"/>
    <w:rsid w:val="009D319C"/>
    <w:rsid w:val="009D3B21"/>
    <w:rsid w:val="009D3E5F"/>
    <w:rsid w:val="009D43B8"/>
    <w:rsid w:val="009D6892"/>
    <w:rsid w:val="009D6F6E"/>
    <w:rsid w:val="009E02F7"/>
    <w:rsid w:val="009E0826"/>
    <w:rsid w:val="009E204E"/>
    <w:rsid w:val="009E2590"/>
    <w:rsid w:val="009E4212"/>
    <w:rsid w:val="009E4ECD"/>
    <w:rsid w:val="009E559F"/>
    <w:rsid w:val="009E606F"/>
    <w:rsid w:val="009E6B0E"/>
    <w:rsid w:val="009E6F5F"/>
    <w:rsid w:val="009E7C94"/>
    <w:rsid w:val="009F3A8C"/>
    <w:rsid w:val="009F410D"/>
    <w:rsid w:val="009F48C2"/>
    <w:rsid w:val="009F6115"/>
    <w:rsid w:val="009F743C"/>
    <w:rsid w:val="009F7639"/>
    <w:rsid w:val="00A008C9"/>
    <w:rsid w:val="00A0098A"/>
    <w:rsid w:val="00A00A42"/>
    <w:rsid w:val="00A01955"/>
    <w:rsid w:val="00A019C4"/>
    <w:rsid w:val="00A019EB"/>
    <w:rsid w:val="00A01CFC"/>
    <w:rsid w:val="00A021E4"/>
    <w:rsid w:val="00A0251E"/>
    <w:rsid w:val="00A02973"/>
    <w:rsid w:val="00A05B57"/>
    <w:rsid w:val="00A07B84"/>
    <w:rsid w:val="00A109C5"/>
    <w:rsid w:val="00A11EB4"/>
    <w:rsid w:val="00A14767"/>
    <w:rsid w:val="00A14BC3"/>
    <w:rsid w:val="00A14F83"/>
    <w:rsid w:val="00A15D65"/>
    <w:rsid w:val="00A162C5"/>
    <w:rsid w:val="00A16899"/>
    <w:rsid w:val="00A16ED3"/>
    <w:rsid w:val="00A17157"/>
    <w:rsid w:val="00A17A37"/>
    <w:rsid w:val="00A17F73"/>
    <w:rsid w:val="00A20049"/>
    <w:rsid w:val="00A203FC"/>
    <w:rsid w:val="00A21255"/>
    <w:rsid w:val="00A21984"/>
    <w:rsid w:val="00A22812"/>
    <w:rsid w:val="00A22EB6"/>
    <w:rsid w:val="00A22EE8"/>
    <w:rsid w:val="00A23393"/>
    <w:rsid w:val="00A24124"/>
    <w:rsid w:val="00A24981"/>
    <w:rsid w:val="00A24A97"/>
    <w:rsid w:val="00A24C38"/>
    <w:rsid w:val="00A24D0C"/>
    <w:rsid w:val="00A252C7"/>
    <w:rsid w:val="00A25FAB"/>
    <w:rsid w:val="00A264B7"/>
    <w:rsid w:val="00A305E5"/>
    <w:rsid w:val="00A30781"/>
    <w:rsid w:val="00A31855"/>
    <w:rsid w:val="00A31B1C"/>
    <w:rsid w:val="00A31B20"/>
    <w:rsid w:val="00A31E6A"/>
    <w:rsid w:val="00A31F57"/>
    <w:rsid w:val="00A3363D"/>
    <w:rsid w:val="00A336BA"/>
    <w:rsid w:val="00A33FE1"/>
    <w:rsid w:val="00A345F2"/>
    <w:rsid w:val="00A35572"/>
    <w:rsid w:val="00A371F8"/>
    <w:rsid w:val="00A40846"/>
    <w:rsid w:val="00A4146C"/>
    <w:rsid w:val="00A41937"/>
    <w:rsid w:val="00A41D7F"/>
    <w:rsid w:val="00A41F2B"/>
    <w:rsid w:val="00A435B1"/>
    <w:rsid w:val="00A43A03"/>
    <w:rsid w:val="00A43A80"/>
    <w:rsid w:val="00A44938"/>
    <w:rsid w:val="00A46345"/>
    <w:rsid w:val="00A469DF"/>
    <w:rsid w:val="00A46CD1"/>
    <w:rsid w:val="00A514D7"/>
    <w:rsid w:val="00A51D8B"/>
    <w:rsid w:val="00A51DDF"/>
    <w:rsid w:val="00A5320E"/>
    <w:rsid w:val="00A53FD3"/>
    <w:rsid w:val="00A541F9"/>
    <w:rsid w:val="00A548A3"/>
    <w:rsid w:val="00A573D3"/>
    <w:rsid w:val="00A600A6"/>
    <w:rsid w:val="00A60364"/>
    <w:rsid w:val="00A6050B"/>
    <w:rsid w:val="00A619B2"/>
    <w:rsid w:val="00A62071"/>
    <w:rsid w:val="00A62092"/>
    <w:rsid w:val="00A624B9"/>
    <w:rsid w:val="00A629DD"/>
    <w:rsid w:val="00A62A23"/>
    <w:rsid w:val="00A62B74"/>
    <w:rsid w:val="00A6358E"/>
    <w:rsid w:val="00A63AC0"/>
    <w:rsid w:val="00A64FC9"/>
    <w:rsid w:val="00A6595C"/>
    <w:rsid w:val="00A659A9"/>
    <w:rsid w:val="00A662C2"/>
    <w:rsid w:val="00A671D6"/>
    <w:rsid w:val="00A67514"/>
    <w:rsid w:val="00A70020"/>
    <w:rsid w:val="00A70492"/>
    <w:rsid w:val="00A7054A"/>
    <w:rsid w:val="00A70A92"/>
    <w:rsid w:val="00A717B8"/>
    <w:rsid w:val="00A719C6"/>
    <w:rsid w:val="00A73765"/>
    <w:rsid w:val="00A73875"/>
    <w:rsid w:val="00A750D3"/>
    <w:rsid w:val="00A7632B"/>
    <w:rsid w:val="00A763F0"/>
    <w:rsid w:val="00A77556"/>
    <w:rsid w:val="00A77A42"/>
    <w:rsid w:val="00A80DD6"/>
    <w:rsid w:val="00A80E6E"/>
    <w:rsid w:val="00A81FBD"/>
    <w:rsid w:val="00A820F2"/>
    <w:rsid w:val="00A82216"/>
    <w:rsid w:val="00A82CAB"/>
    <w:rsid w:val="00A8434F"/>
    <w:rsid w:val="00A90A52"/>
    <w:rsid w:val="00A91409"/>
    <w:rsid w:val="00A93859"/>
    <w:rsid w:val="00A95C93"/>
    <w:rsid w:val="00A96180"/>
    <w:rsid w:val="00A963B0"/>
    <w:rsid w:val="00A966FF"/>
    <w:rsid w:val="00A969A8"/>
    <w:rsid w:val="00AA0172"/>
    <w:rsid w:val="00AA01BB"/>
    <w:rsid w:val="00AA15B9"/>
    <w:rsid w:val="00AA2ACF"/>
    <w:rsid w:val="00AA3446"/>
    <w:rsid w:val="00AA381E"/>
    <w:rsid w:val="00AA3F84"/>
    <w:rsid w:val="00AA402D"/>
    <w:rsid w:val="00AA412F"/>
    <w:rsid w:val="00AA48AE"/>
    <w:rsid w:val="00AA4A90"/>
    <w:rsid w:val="00AA4E75"/>
    <w:rsid w:val="00AA53DB"/>
    <w:rsid w:val="00AA552F"/>
    <w:rsid w:val="00AA5B58"/>
    <w:rsid w:val="00AA5D30"/>
    <w:rsid w:val="00AA6917"/>
    <w:rsid w:val="00AA7C46"/>
    <w:rsid w:val="00AA7D2E"/>
    <w:rsid w:val="00AB0919"/>
    <w:rsid w:val="00AB18C7"/>
    <w:rsid w:val="00AB243A"/>
    <w:rsid w:val="00AB244F"/>
    <w:rsid w:val="00AB2474"/>
    <w:rsid w:val="00AB2D6A"/>
    <w:rsid w:val="00AB34A4"/>
    <w:rsid w:val="00AB388C"/>
    <w:rsid w:val="00AB3BEE"/>
    <w:rsid w:val="00AB4026"/>
    <w:rsid w:val="00AB463C"/>
    <w:rsid w:val="00AB4B84"/>
    <w:rsid w:val="00AB50A5"/>
    <w:rsid w:val="00AB5A80"/>
    <w:rsid w:val="00AB71CF"/>
    <w:rsid w:val="00AB75BE"/>
    <w:rsid w:val="00AC051F"/>
    <w:rsid w:val="00AC0668"/>
    <w:rsid w:val="00AC0AB4"/>
    <w:rsid w:val="00AC1518"/>
    <w:rsid w:val="00AC2B54"/>
    <w:rsid w:val="00AC6053"/>
    <w:rsid w:val="00AC6492"/>
    <w:rsid w:val="00AC67A0"/>
    <w:rsid w:val="00AC6DBC"/>
    <w:rsid w:val="00AC7B5C"/>
    <w:rsid w:val="00AD00E8"/>
    <w:rsid w:val="00AD02D6"/>
    <w:rsid w:val="00AD06F8"/>
    <w:rsid w:val="00AD0A05"/>
    <w:rsid w:val="00AD0DCE"/>
    <w:rsid w:val="00AD19E1"/>
    <w:rsid w:val="00AD1DB3"/>
    <w:rsid w:val="00AD1E45"/>
    <w:rsid w:val="00AD274A"/>
    <w:rsid w:val="00AD28B6"/>
    <w:rsid w:val="00AD3478"/>
    <w:rsid w:val="00AD36CC"/>
    <w:rsid w:val="00AD3721"/>
    <w:rsid w:val="00AD3DEB"/>
    <w:rsid w:val="00AD4C82"/>
    <w:rsid w:val="00AD50B2"/>
    <w:rsid w:val="00AD54B4"/>
    <w:rsid w:val="00AD5578"/>
    <w:rsid w:val="00AD55F5"/>
    <w:rsid w:val="00AD6592"/>
    <w:rsid w:val="00AD6935"/>
    <w:rsid w:val="00AE0075"/>
    <w:rsid w:val="00AE117A"/>
    <w:rsid w:val="00AE290A"/>
    <w:rsid w:val="00AE306C"/>
    <w:rsid w:val="00AE31DA"/>
    <w:rsid w:val="00AE3B2E"/>
    <w:rsid w:val="00AE45FE"/>
    <w:rsid w:val="00AE48AA"/>
    <w:rsid w:val="00AE55D2"/>
    <w:rsid w:val="00AE5FD5"/>
    <w:rsid w:val="00AE609C"/>
    <w:rsid w:val="00AE713E"/>
    <w:rsid w:val="00AF053E"/>
    <w:rsid w:val="00AF06EB"/>
    <w:rsid w:val="00AF124A"/>
    <w:rsid w:val="00AF1CDF"/>
    <w:rsid w:val="00AF3177"/>
    <w:rsid w:val="00AF3436"/>
    <w:rsid w:val="00AF35C6"/>
    <w:rsid w:val="00AF3A83"/>
    <w:rsid w:val="00AF41A1"/>
    <w:rsid w:val="00AF49A2"/>
    <w:rsid w:val="00AF5154"/>
    <w:rsid w:val="00AF5310"/>
    <w:rsid w:val="00AF53D3"/>
    <w:rsid w:val="00AF59CC"/>
    <w:rsid w:val="00AF5F69"/>
    <w:rsid w:val="00AF680E"/>
    <w:rsid w:val="00AF6A4A"/>
    <w:rsid w:val="00AF6D45"/>
    <w:rsid w:val="00AF73BF"/>
    <w:rsid w:val="00AF764B"/>
    <w:rsid w:val="00B00E3A"/>
    <w:rsid w:val="00B01FCE"/>
    <w:rsid w:val="00B0386D"/>
    <w:rsid w:val="00B03A83"/>
    <w:rsid w:val="00B04201"/>
    <w:rsid w:val="00B04809"/>
    <w:rsid w:val="00B0492D"/>
    <w:rsid w:val="00B04BA5"/>
    <w:rsid w:val="00B066CD"/>
    <w:rsid w:val="00B10065"/>
    <w:rsid w:val="00B1072D"/>
    <w:rsid w:val="00B10956"/>
    <w:rsid w:val="00B11DF3"/>
    <w:rsid w:val="00B12736"/>
    <w:rsid w:val="00B1297E"/>
    <w:rsid w:val="00B12BEF"/>
    <w:rsid w:val="00B13315"/>
    <w:rsid w:val="00B1552B"/>
    <w:rsid w:val="00B15C17"/>
    <w:rsid w:val="00B1605F"/>
    <w:rsid w:val="00B171B0"/>
    <w:rsid w:val="00B20012"/>
    <w:rsid w:val="00B206A3"/>
    <w:rsid w:val="00B210CE"/>
    <w:rsid w:val="00B2226A"/>
    <w:rsid w:val="00B23C8F"/>
    <w:rsid w:val="00B23C95"/>
    <w:rsid w:val="00B24362"/>
    <w:rsid w:val="00B25FD2"/>
    <w:rsid w:val="00B26364"/>
    <w:rsid w:val="00B263D5"/>
    <w:rsid w:val="00B26702"/>
    <w:rsid w:val="00B30528"/>
    <w:rsid w:val="00B30EAF"/>
    <w:rsid w:val="00B31293"/>
    <w:rsid w:val="00B34A64"/>
    <w:rsid w:val="00B34A80"/>
    <w:rsid w:val="00B34A8E"/>
    <w:rsid w:val="00B355BD"/>
    <w:rsid w:val="00B363F1"/>
    <w:rsid w:val="00B36E32"/>
    <w:rsid w:val="00B36F81"/>
    <w:rsid w:val="00B41451"/>
    <w:rsid w:val="00B41476"/>
    <w:rsid w:val="00B4184C"/>
    <w:rsid w:val="00B41D3C"/>
    <w:rsid w:val="00B42CC0"/>
    <w:rsid w:val="00B42CC2"/>
    <w:rsid w:val="00B43455"/>
    <w:rsid w:val="00B43477"/>
    <w:rsid w:val="00B434F6"/>
    <w:rsid w:val="00B4398E"/>
    <w:rsid w:val="00B43ED8"/>
    <w:rsid w:val="00B44F5E"/>
    <w:rsid w:val="00B457FD"/>
    <w:rsid w:val="00B46059"/>
    <w:rsid w:val="00B46078"/>
    <w:rsid w:val="00B4619E"/>
    <w:rsid w:val="00B4662D"/>
    <w:rsid w:val="00B468F8"/>
    <w:rsid w:val="00B46B87"/>
    <w:rsid w:val="00B471E0"/>
    <w:rsid w:val="00B47BA0"/>
    <w:rsid w:val="00B50267"/>
    <w:rsid w:val="00B5066E"/>
    <w:rsid w:val="00B50CA4"/>
    <w:rsid w:val="00B5166A"/>
    <w:rsid w:val="00B51F08"/>
    <w:rsid w:val="00B5280A"/>
    <w:rsid w:val="00B52C7D"/>
    <w:rsid w:val="00B52D01"/>
    <w:rsid w:val="00B53E4D"/>
    <w:rsid w:val="00B55982"/>
    <w:rsid w:val="00B55DDF"/>
    <w:rsid w:val="00B570B7"/>
    <w:rsid w:val="00B57ABD"/>
    <w:rsid w:val="00B60103"/>
    <w:rsid w:val="00B60BBC"/>
    <w:rsid w:val="00B612CF"/>
    <w:rsid w:val="00B61491"/>
    <w:rsid w:val="00B61E29"/>
    <w:rsid w:val="00B62B86"/>
    <w:rsid w:val="00B65C50"/>
    <w:rsid w:val="00B65E27"/>
    <w:rsid w:val="00B66B64"/>
    <w:rsid w:val="00B678A2"/>
    <w:rsid w:val="00B67C89"/>
    <w:rsid w:val="00B67FF1"/>
    <w:rsid w:val="00B70219"/>
    <w:rsid w:val="00B70634"/>
    <w:rsid w:val="00B70DBB"/>
    <w:rsid w:val="00B73129"/>
    <w:rsid w:val="00B73899"/>
    <w:rsid w:val="00B747BD"/>
    <w:rsid w:val="00B74AF4"/>
    <w:rsid w:val="00B74DB0"/>
    <w:rsid w:val="00B7518A"/>
    <w:rsid w:val="00B751C4"/>
    <w:rsid w:val="00B7599F"/>
    <w:rsid w:val="00B75CAB"/>
    <w:rsid w:val="00B75E82"/>
    <w:rsid w:val="00B75F4D"/>
    <w:rsid w:val="00B76B69"/>
    <w:rsid w:val="00B77495"/>
    <w:rsid w:val="00B77A01"/>
    <w:rsid w:val="00B77FFE"/>
    <w:rsid w:val="00B80303"/>
    <w:rsid w:val="00B805FE"/>
    <w:rsid w:val="00B827BB"/>
    <w:rsid w:val="00B82B85"/>
    <w:rsid w:val="00B8319E"/>
    <w:rsid w:val="00B8338C"/>
    <w:rsid w:val="00B8376F"/>
    <w:rsid w:val="00B83869"/>
    <w:rsid w:val="00B84E2A"/>
    <w:rsid w:val="00B85EF5"/>
    <w:rsid w:val="00B86D74"/>
    <w:rsid w:val="00B87386"/>
    <w:rsid w:val="00B873A9"/>
    <w:rsid w:val="00B87E98"/>
    <w:rsid w:val="00B90380"/>
    <w:rsid w:val="00B903D6"/>
    <w:rsid w:val="00B91464"/>
    <w:rsid w:val="00B926A3"/>
    <w:rsid w:val="00B9288B"/>
    <w:rsid w:val="00B92AC8"/>
    <w:rsid w:val="00B92DD8"/>
    <w:rsid w:val="00B92FDE"/>
    <w:rsid w:val="00B9314F"/>
    <w:rsid w:val="00B93AF8"/>
    <w:rsid w:val="00B93E67"/>
    <w:rsid w:val="00B9467E"/>
    <w:rsid w:val="00B94E00"/>
    <w:rsid w:val="00B952B4"/>
    <w:rsid w:val="00B95825"/>
    <w:rsid w:val="00B95ACE"/>
    <w:rsid w:val="00B96628"/>
    <w:rsid w:val="00B978D6"/>
    <w:rsid w:val="00BA0637"/>
    <w:rsid w:val="00BA067D"/>
    <w:rsid w:val="00BA0E78"/>
    <w:rsid w:val="00BA2120"/>
    <w:rsid w:val="00BA3274"/>
    <w:rsid w:val="00BA43E6"/>
    <w:rsid w:val="00BA5228"/>
    <w:rsid w:val="00BA5E64"/>
    <w:rsid w:val="00BA6060"/>
    <w:rsid w:val="00BA6519"/>
    <w:rsid w:val="00BA65BF"/>
    <w:rsid w:val="00BA6731"/>
    <w:rsid w:val="00BA6ACD"/>
    <w:rsid w:val="00BA6C1C"/>
    <w:rsid w:val="00BB1D18"/>
    <w:rsid w:val="00BB1DC3"/>
    <w:rsid w:val="00BB30AE"/>
    <w:rsid w:val="00BB33FB"/>
    <w:rsid w:val="00BB35EB"/>
    <w:rsid w:val="00BB3943"/>
    <w:rsid w:val="00BB3986"/>
    <w:rsid w:val="00BB3E12"/>
    <w:rsid w:val="00BB5B46"/>
    <w:rsid w:val="00BB5DAC"/>
    <w:rsid w:val="00BB62CE"/>
    <w:rsid w:val="00BB6CB6"/>
    <w:rsid w:val="00BB737B"/>
    <w:rsid w:val="00BC0688"/>
    <w:rsid w:val="00BC0E36"/>
    <w:rsid w:val="00BC0EA7"/>
    <w:rsid w:val="00BC18CD"/>
    <w:rsid w:val="00BC2FF2"/>
    <w:rsid w:val="00BC4553"/>
    <w:rsid w:val="00BC5931"/>
    <w:rsid w:val="00BC669B"/>
    <w:rsid w:val="00BC7BB5"/>
    <w:rsid w:val="00BC7C97"/>
    <w:rsid w:val="00BD21CB"/>
    <w:rsid w:val="00BD251A"/>
    <w:rsid w:val="00BD2E22"/>
    <w:rsid w:val="00BD33F1"/>
    <w:rsid w:val="00BD3E24"/>
    <w:rsid w:val="00BD42C1"/>
    <w:rsid w:val="00BD5C77"/>
    <w:rsid w:val="00BD666F"/>
    <w:rsid w:val="00BD66B3"/>
    <w:rsid w:val="00BD680E"/>
    <w:rsid w:val="00BD70EF"/>
    <w:rsid w:val="00BD7213"/>
    <w:rsid w:val="00BD7788"/>
    <w:rsid w:val="00BD7F8F"/>
    <w:rsid w:val="00BE0430"/>
    <w:rsid w:val="00BE153F"/>
    <w:rsid w:val="00BE18BB"/>
    <w:rsid w:val="00BE1CC3"/>
    <w:rsid w:val="00BE219B"/>
    <w:rsid w:val="00BE2AEF"/>
    <w:rsid w:val="00BE2CDE"/>
    <w:rsid w:val="00BE356C"/>
    <w:rsid w:val="00BE3949"/>
    <w:rsid w:val="00BE3CC5"/>
    <w:rsid w:val="00BE3E6D"/>
    <w:rsid w:val="00BE405E"/>
    <w:rsid w:val="00BE4327"/>
    <w:rsid w:val="00BE47AA"/>
    <w:rsid w:val="00BE509B"/>
    <w:rsid w:val="00BE51B4"/>
    <w:rsid w:val="00BE553D"/>
    <w:rsid w:val="00BE6EFF"/>
    <w:rsid w:val="00BF07BE"/>
    <w:rsid w:val="00BF0D13"/>
    <w:rsid w:val="00BF1D48"/>
    <w:rsid w:val="00BF3145"/>
    <w:rsid w:val="00BF3B48"/>
    <w:rsid w:val="00BF3F39"/>
    <w:rsid w:val="00BF4066"/>
    <w:rsid w:val="00BF4811"/>
    <w:rsid w:val="00BF4B5A"/>
    <w:rsid w:val="00BF527C"/>
    <w:rsid w:val="00BF6BA5"/>
    <w:rsid w:val="00BF6C20"/>
    <w:rsid w:val="00BF6E08"/>
    <w:rsid w:val="00C00220"/>
    <w:rsid w:val="00C011C9"/>
    <w:rsid w:val="00C01261"/>
    <w:rsid w:val="00C01754"/>
    <w:rsid w:val="00C02E95"/>
    <w:rsid w:val="00C04206"/>
    <w:rsid w:val="00C04600"/>
    <w:rsid w:val="00C04874"/>
    <w:rsid w:val="00C04D2D"/>
    <w:rsid w:val="00C05503"/>
    <w:rsid w:val="00C05652"/>
    <w:rsid w:val="00C05B08"/>
    <w:rsid w:val="00C0780A"/>
    <w:rsid w:val="00C10D61"/>
    <w:rsid w:val="00C12058"/>
    <w:rsid w:val="00C12260"/>
    <w:rsid w:val="00C12B34"/>
    <w:rsid w:val="00C14158"/>
    <w:rsid w:val="00C14DCF"/>
    <w:rsid w:val="00C14F0F"/>
    <w:rsid w:val="00C150E0"/>
    <w:rsid w:val="00C156DE"/>
    <w:rsid w:val="00C156EB"/>
    <w:rsid w:val="00C1681A"/>
    <w:rsid w:val="00C1695B"/>
    <w:rsid w:val="00C175DC"/>
    <w:rsid w:val="00C17F94"/>
    <w:rsid w:val="00C21A4D"/>
    <w:rsid w:val="00C22A40"/>
    <w:rsid w:val="00C23458"/>
    <w:rsid w:val="00C23832"/>
    <w:rsid w:val="00C24323"/>
    <w:rsid w:val="00C24556"/>
    <w:rsid w:val="00C248A3"/>
    <w:rsid w:val="00C25FA5"/>
    <w:rsid w:val="00C265C9"/>
    <w:rsid w:val="00C26935"/>
    <w:rsid w:val="00C27382"/>
    <w:rsid w:val="00C2778B"/>
    <w:rsid w:val="00C27790"/>
    <w:rsid w:val="00C2794C"/>
    <w:rsid w:val="00C306A8"/>
    <w:rsid w:val="00C30C1C"/>
    <w:rsid w:val="00C32D6C"/>
    <w:rsid w:val="00C34EF4"/>
    <w:rsid w:val="00C34FAC"/>
    <w:rsid w:val="00C357B0"/>
    <w:rsid w:val="00C36B7F"/>
    <w:rsid w:val="00C37664"/>
    <w:rsid w:val="00C37AA5"/>
    <w:rsid w:val="00C4011A"/>
    <w:rsid w:val="00C41C5B"/>
    <w:rsid w:val="00C426B7"/>
    <w:rsid w:val="00C438E2"/>
    <w:rsid w:val="00C45711"/>
    <w:rsid w:val="00C4637D"/>
    <w:rsid w:val="00C46F0D"/>
    <w:rsid w:val="00C47529"/>
    <w:rsid w:val="00C522D2"/>
    <w:rsid w:val="00C52EF2"/>
    <w:rsid w:val="00C5311D"/>
    <w:rsid w:val="00C5336E"/>
    <w:rsid w:val="00C544AA"/>
    <w:rsid w:val="00C547A9"/>
    <w:rsid w:val="00C54B69"/>
    <w:rsid w:val="00C5525C"/>
    <w:rsid w:val="00C55AA3"/>
    <w:rsid w:val="00C55B77"/>
    <w:rsid w:val="00C56A3E"/>
    <w:rsid w:val="00C57C96"/>
    <w:rsid w:val="00C57E05"/>
    <w:rsid w:val="00C60134"/>
    <w:rsid w:val="00C60611"/>
    <w:rsid w:val="00C607B5"/>
    <w:rsid w:val="00C61853"/>
    <w:rsid w:val="00C6218B"/>
    <w:rsid w:val="00C62742"/>
    <w:rsid w:val="00C62EDB"/>
    <w:rsid w:val="00C65170"/>
    <w:rsid w:val="00C66B14"/>
    <w:rsid w:val="00C66C63"/>
    <w:rsid w:val="00C67717"/>
    <w:rsid w:val="00C677C2"/>
    <w:rsid w:val="00C70042"/>
    <w:rsid w:val="00C726D8"/>
    <w:rsid w:val="00C72DD3"/>
    <w:rsid w:val="00C73754"/>
    <w:rsid w:val="00C73BDF"/>
    <w:rsid w:val="00C7460D"/>
    <w:rsid w:val="00C752F5"/>
    <w:rsid w:val="00C75C49"/>
    <w:rsid w:val="00C761E2"/>
    <w:rsid w:val="00C764D9"/>
    <w:rsid w:val="00C76FD3"/>
    <w:rsid w:val="00C770A2"/>
    <w:rsid w:val="00C77989"/>
    <w:rsid w:val="00C808BA"/>
    <w:rsid w:val="00C822BB"/>
    <w:rsid w:val="00C834AD"/>
    <w:rsid w:val="00C83FC3"/>
    <w:rsid w:val="00C85B9B"/>
    <w:rsid w:val="00C85EC5"/>
    <w:rsid w:val="00C912E6"/>
    <w:rsid w:val="00C91C6F"/>
    <w:rsid w:val="00C91D3C"/>
    <w:rsid w:val="00C91E3D"/>
    <w:rsid w:val="00C92CBC"/>
    <w:rsid w:val="00C93C79"/>
    <w:rsid w:val="00C9420C"/>
    <w:rsid w:val="00C94511"/>
    <w:rsid w:val="00C95724"/>
    <w:rsid w:val="00C96397"/>
    <w:rsid w:val="00C969F7"/>
    <w:rsid w:val="00C9793B"/>
    <w:rsid w:val="00CA18A7"/>
    <w:rsid w:val="00CA2621"/>
    <w:rsid w:val="00CA2A59"/>
    <w:rsid w:val="00CA340A"/>
    <w:rsid w:val="00CA4E4C"/>
    <w:rsid w:val="00CA4EA3"/>
    <w:rsid w:val="00CA5417"/>
    <w:rsid w:val="00CA6A36"/>
    <w:rsid w:val="00CB0A05"/>
    <w:rsid w:val="00CB170D"/>
    <w:rsid w:val="00CB269B"/>
    <w:rsid w:val="00CB2927"/>
    <w:rsid w:val="00CB2C5E"/>
    <w:rsid w:val="00CB4B15"/>
    <w:rsid w:val="00CB4BEB"/>
    <w:rsid w:val="00CB4F19"/>
    <w:rsid w:val="00CB50E3"/>
    <w:rsid w:val="00CB690B"/>
    <w:rsid w:val="00CB7091"/>
    <w:rsid w:val="00CB78A0"/>
    <w:rsid w:val="00CB794B"/>
    <w:rsid w:val="00CC0D3F"/>
    <w:rsid w:val="00CC107B"/>
    <w:rsid w:val="00CC1107"/>
    <w:rsid w:val="00CC1555"/>
    <w:rsid w:val="00CC1F07"/>
    <w:rsid w:val="00CC2575"/>
    <w:rsid w:val="00CC2595"/>
    <w:rsid w:val="00CC2CAA"/>
    <w:rsid w:val="00CC3359"/>
    <w:rsid w:val="00CC375F"/>
    <w:rsid w:val="00CC38FD"/>
    <w:rsid w:val="00CC398B"/>
    <w:rsid w:val="00CC42B4"/>
    <w:rsid w:val="00CC4B1F"/>
    <w:rsid w:val="00CC4BEF"/>
    <w:rsid w:val="00CC661F"/>
    <w:rsid w:val="00CC6C19"/>
    <w:rsid w:val="00CC7C59"/>
    <w:rsid w:val="00CD0909"/>
    <w:rsid w:val="00CD0B08"/>
    <w:rsid w:val="00CD0BC7"/>
    <w:rsid w:val="00CD2971"/>
    <w:rsid w:val="00CD29C2"/>
    <w:rsid w:val="00CD2F1B"/>
    <w:rsid w:val="00CD3ECF"/>
    <w:rsid w:val="00CD40B9"/>
    <w:rsid w:val="00CD4371"/>
    <w:rsid w:val="00CD4A18"/>
    <w:rsid w:val="00CD4A44"/>
    <w:rsid w:val="00CD5D43"/>
    <w:rsid w:val="00CE0B67"/>
    <w:rsid w:val="00CE11DD"/>
    <w:rsid w:val="00CE29CC"/>
    <w:rsid w:val="00CE320E"/>
    <w:rsid w:val="00CE404D"/>
    <w:rsid w:val="00CE463B"/>
    <w:rsid w:val="00CE493C"/>
    <w:rsid w:val="00CE6127"/>
    <w:rsid w:val="00CE63A4"/>
    <w:rsid w:val="00CE646A"/>
    <w:rsid w:val="00CE7293"/>
    <w:rsid w:val="00CE772F"/>
    <w:rsid w:val="00CE7939"/>
    <w:rsid w:val="00CE79B8"/>
    <w:rsid w:val="00CF0BA4"/>
    <w:rsid w:val="00CF15CB"/>
    <w:rsid w:val="00CF17A1"/>
    <w:rsid w:val="00CF1E55"/>
    <w:rsid w:val="00CF2461"/>
    <w:rsid w:val="00CF2A0D"/>
    <w:rsid w:val="00CF344D"/>
    <w:rsid w:val="00CF3CC4"/>
    <w:rsid w:val="00CF561A"/>
    <w:rsid w:val="00CF57A9"/>
    <w:rsid w:val="00D0030F"/>
    <w:rsid w:val="00D00348"/>
    <w:rsid w:val="00D003D4"/>
    <w:rsid w:val="00D009FE"/>
    <w:rsid w:val="00D00C93"/>
    <w:rsid w:val="00D00E4A"/>
    <w:rsid w:val="00D0133E"/>
    <w:rsid w:val="00D018FC"/>
    <w:rsid w:val="00D01F60"/>
    <w:rsid w:val="00D0305D"/>
    <w:rsid w:val="00D0356E"/>
    <w:rsid w:val="00D04354"/>
    <w:rsid w:val="00D043B5"/>
    <w:rsid w:val="00D04B92"/>
    <w:rsid w:val="00D0532B"/>
    <w:rsid w:val="00D058CD"/>
    <w:rsid w:val="00D05C9A"/>
    <w:rsid w:val="00D0600B"/>
    <w:rsid w:val="00D10089"/>
    <w:rsid w:val="00D10100"/>
    <w:rsid w:val="00D11E91"/>
    <w:rsid w:val="00D124B0"/>
    <w:rsid w:val="00D127F5"/>
    <w:rsid w:val="00D1295C"/>
    <w:rsid w:val="00D132E6"/>
    <w:rsid w:val="00D13898"/>
    <w:rsid w:val="00D14269"/>
    <w:rsid w:val="00D149F8"/>
    <w:rsid w:val="00D15A6B"/>
    <w:rsid w:val="00D17DE3"/>
    <w:rsid w:val="00D21090"/>
    <w:rsid w:val="00D21150"/>
    <w:rsid w:val="00D213DD"/>
    <w:rsid w:val="00D21725"/>
    <w:rsid w:val="00D21BB9"/>
    <w:rsid w:val="00D21EDF"/>
    <w:rsid w:val="00D21F81"/>
    <w:rsid w:val="00D22FCA"/>
    <w:rsid w:val="00D23F16"/>
    <w:rsid w:val="00D252F3"/>
    <w:rsid w:val="00D25390"/>
    <w:rsid w:val="00D253EC"/>
    <w:rsid w:val="00D25519"/>
    <w:rsid w:val="00D25BBD"/>
    <w:rsid w:val="00D25E30"/>
    <w:rsid w:val="00D26436"/>
    <w:rsid w:val="00D2652D"/>
    <w:rsid w:val="00D269B0"/>
    <w:rsid w:val="00D2767B"/>
    <w:rsid w:val="00D277E0"/>
    <w:rsid w:val="00D27DD6"/>
    <w:rsid w:val="00D3081F"/>
    <w:rsid w:val="00D31800"/>
    <w:rsid w:val="00D31D04"/>
    <w:rsid w:val="00D32546"/>
    <w:rsid w:val="00D33AD4"/>
    <w:rsid w:val="00D33C8B"/>
    <w:rsid w:val="00D34244"/>
    <w:rsid w:val="00D34A01"/>
    <w:rsid w:val="00D34EF4"/>
    <w:rsid w:val="00D350FC"/>
    <w:rsid w:val="00D35E57"/>
    <w:rsid w:val="00D37226"/>
    <w:rsid w:val="00D3776C"/>
    <w:rsid w:val="00D40C6F"/>
    <w:rsid w:val="00D40F87"/>
    <w:rsid w:val="00D4147D"/>
    <w:rsid w:val="00D418DE"/>
    <w:rsid w:val="00D41BCF"/>
    <w:rsid w:val="00D42536"/>
    <w:rsid w:val="00D4285B"/>
    <w:rsid w:val="00D43BF5"/>
    <w:rsid w:val="00D43C62"/>
    <w:rsid w:val="00D43E1C"/>
    <w:rsid w:val="00D4495C"/>
    <w:rsid w:val="00D45167"/>
    <w:rsid w:val="00D453A0"/>
    <w:rsid w:val="00D456F9"/>
    <w:rsid w:val="00D45F31"/>
    <w:rsid w:val="00D45F6A"/>
    <w:rsid w:val="00D465F1"/>
    <w:rsid w:val="00D50213"/>
    <w:rsid w:val="00D5026A"/>
    <w:rsid w:val="00D504AF"/>
    <w:rsid w:val="00D50C5E"/>
    <w:rsid w:val="00D50F91"/>
    <w:rsid w:val="00D51F0F"/>
    <w:rsid w:val="00D52D3C"/>
    <w:rsid w:val="00D535FB"/>
    <w:rsid w:val="00D55C40"/>
    <w:rsid w:val="00D55E5D"/>
    <w:rsid w:val="00D55FF5"/>
    <w:rsid w:val="00D569D1"/>
    <w:rsid w:val="00D5706C"/>
    <w:rsid w:val="00D57E42"/>
    <w:rsid w:val="00D57FC0"/>
    <w:rsid w:val="00D57FF6"/>
    <w:rsid w:val="00D60110"/>
    <w:rsid w:val="00D6106A"/>
    <w:rsid w:val="00D6158C"/>
    <w:rsid w:val="00D61736"/>
    <w:rsid w:val="00D61AA4"/>
    <w:rsid w:val="00D624EF"/>
    <w:rsid w:val="00D62EE3"/>
    <w:rsid w:val="00D63A8B"/>
    <w:rsid w:val="00D63B87"/>
    <w:rsid w:val="00D6402D"/>
    <w:rsid w:val="00D6473D"/>
    <w:rsid w:val="00D652AE"/>
    <w:rsid w:val="00D662D7"/>
    <w:rsid w:val="00D66598"/>
    <w:rsid w:val="00D66D98"/>
    <w:rsid w:val="00D67665"/>
    <w:rsid w:val="00D678D1"/>
    <w:rsid w:val="00D67E26"/>
    <w:rsid w:val="00D70641"/>
    <w:rsid w:val="00D70E2D"/>
    <w:rsid w:val="00D70EE9"/>
    <w:rsid w:val="00D70FDB"/>
    <w:rsid w:val="00D72100"/>
    <w:rsid w:val="00D72216"/>
    <w:rsid w:val="00D7299A"/>
    <w:rsid w:val="00D74025"/>
    <w:rsid w:val="00D74EE7"/>
    <w:rsid w:val="00D7574C"/>
    <w:rsid w:val="00D75CAE"/>
    <w:rsid w:val="00D76037"/>
    <w:rsid w:val="00D774B7"/>
    <w:rsid w:val="00D8058D"/>
    <w:rsid w:val="00D81131"/>
    <w:rsid w:val="00D814D3"/>
    <w:rsid w:val="00D81787"/>
    <w:rsid w:val="00D81BE9"/>
    <w:rsid w:val="00D82143"/>
    <w:rsid w:val="00D82D69"/>
    <w:rsid w:val="00D83826"/>
    <w:rsid w:val="00D845D4"/>
    <w:rsid w:val="00D847CE"/>
    <w:rsid w:val="00D84E9F"/>
    <w:rsid w:val="00D85821"/>
    <w:rsid w:val="00D8587F"/>
    <w:rsid w:val="00D85A26"/>
    <w:rsid w:val="00D860E6"/>
    <w:rsid w:val="00D8775D"/>
    <w:rsid w:val="00D87F03"/>
    <w:rsid w:val="00D87FD2"/>
    <w:rsid w:val="00D908B3"/>
    <w:rsid w:val="00D920DC"/>
    <w:rsid w:val="00D9225E"/>
    <w:rsid w:val="00D9366A"/>
    <w:rsid w:val="00D93F20"/>
    <w:rsid w:val="00D9587A"/>
    <w:rsid w:val="00D969FF"/>
    <w:rsid w:val="00D96FBB"/>
    <w:rsid w:val="00D976F3"/>
    <w:rsid w:val="00D9799B"/>
    <w:rsid w:val="00DA0F74"/>
    <w:rsid w:val="00DA0F7C"/>
    <w:rsid w:val="00DA1A07"/>
    <w:rsid w:val="00DA2873"/>
    <w:rsid w:val="00DA2A64"/>
    <w:rsid w:val="00DA2A6B"/>
    <w:rsid w:val="00DA3108"/>
    <w:rsid w:val="00DA3BAB"/>
    <w:rsid w:val="00DA3F38"/>
    <w:rsid w:val="00DA41B1"/>
    <w:rsid w:val="00DA51BA"/>
    <w:rsid w:val="00DA5AC8"/>
    <w:rsid w:val="00DA654D"/>
    <w:rsid w:val="00DA69B1"/>
    <w:rsid w:val="00DA75B8"/>
    <w:rsid w:val="00DB01C0"/>
    <w:rsid w:val="00DB07ED"/>
    <w:rsid w:val="00DB198D"/>
    <w:rsid w:val="00DB1AFD"/>
    <w:rsid w:val="00DB31D1"/>
    <w:rsid w:val="00DB3509"/>
    <w:rsid w:val="00DB408B"/>
    <w:rsid w:val="00DB52FB"/>
    <w:rsid w:val="00DB5D3C"/>
    <w:rsid w:val="00DB5FBC"/>
    <w:rsid w:val="00DB62ED"/>
    <w:rsid w:val="00DB65C9"/>
    <w:rsid w:val="00DB749C"/>
    <w:rsid w:val="00DB79FD"/>
    <w:rsid w:val="00DB7BBB"/>
    <w:rsid w:val="00DC0329"/>
    <w:rsid w:val="00DC15FD"/>
    <w:rsid w:val="00DC303F"/>
    <w:rsid w:val="00DC3B38"/>
    <w:rsid w:val="00DC3C13"/>
    <w:rsid w:val="00DC4DB4"/>
    <w:rsid w:val="00DC5B80"/>
    <w:rsid w:val="00DC6440"/>
    <w:rsid w:val="00DC68DD"/>
    <w:rsid w:val="00DC72EC"/>
    <w:rsid w:val="00DD06C4"/>
    <w:rsid w:val="00DD0AE6"/>
    <w:rsid w:val="00DD116D"/>
    <w:rsid w:val="00DD1371"/>
    <w:rsid w:val="00DD1B88"/>
    <w:rsid w:val="00DD2703"/>
    <w:rsid w:val="00DD2D75"/>
    <w:rsid w:val="00DD2DCE"/>
    <w:rsid w:val="00DD41C7"/>
    <w:rsid w:val="00DD57AB"/>
    <w:rsid w:val="00DD5F45"/>
    <w:rsid w:val="00DD68B7"/>
    <w:rsid w:val="00DD6EFB"/>
    <w:rsid w:val="00DD7D59"/>
    <w:rsid w:val="00DE0B1E"/>
    <w:rsid w:val="00DE118C"/>
    <w:rsid w:val="00DE1650"/>
    <w:rsid w:val="00DE1EC6"/>
    <w:rsid w:val="00DE3055"/>
    <w:rsid w:val="00DE31A3"/>
    <w:rsid w:val="00DE4A36"/>
    <w:rsid w:val="00DE4C03"/>
    <w:rsid w:val="00DE4E71"/>
    <w:rsid w:val="00DE50FE"/>
    <w:rsid w:val="00DE5191"/>
    <w:rsid w:val="00DE5DCB"/>
    <w:rsid w:val="00DE5EA6"/>
    <w:rsid w:val="00DE6E82"/>
    <w:rsid w:val="00DE6E9B"/>
    <w:rsid w:val="00DE788E"/>
    <w:rsid w:val="00DE7B73"/>
    <w:rsid w:val="00DE7CFE"/>
    <w:rsid w:val="00DF039B"/>
    <w:rsid w:val="00DF186B"/>
    <w:rsid w:val="00DF1B02"/>
    <w:rsid w:val="00DF325A"/>
    <w:rsid w:val="00DF3D4B"/>
    <w:rsid w:val="00DF3F0F"/>
    <w:rsid w:val="00DF483C"/>
    <w:rsid w:val="00DF49D4"/>
    <w:rsid w:val="00DF58D7"/>
    <w:rsid w:val="00DF63FC"/>
    <w:rsid w:val="00DF6BD5"/>
    <w:rsid w:val="00DF6D14"/>
    <w:rsid w:val="00E00588"/>
    <w:rsid w:val="00E00713"/>
    <w:rsid w:val="00E00C3C"/>
    <w:rsid w:val="00E01405"/>
    <w:rsid w:val="00E01C1D"/>
    <w:rsid w:val="00E0256B"/>
    <w:rsid w:val="00E02DB9"/>
    <w:rsid w:val="00E0305D"/>
    <w:rsid w:val="00E03BEC"/>
    <w:rsid w:val="00E04353"/>
    <w:rsid w:val="00E04523"/>
    <w:rsid w:val="00E06689"/>
    <w:rsid w:val="00E0790C"/>
    <w:rsid w:val="00E07FDC"/>
    <w:rsid w:val="00E10D3C"/>
    <w:rsid w:val="00E10E62"/>
    <w:rsid w:val="00E11AC0"/>
    <w:rsid w:val="00E1202B"/>
    <w:rsid w:val="00E14676"/>
    <w:rsid w:val="00E147E7"/>
    <w:rsid w:val="00E16E30"/>
    <w:rsid w:val="00E176AD"/>
    <w:rsid w:val="00E2035C"/>
    <w:rsid w:val="00E2153E"/>
    <w:rsid w:val="00E2212F"/>
    <w:rsid w:val="00E22626"/>
    <w:rsid w:val="00E2442C"/>
    <w:rsid w:val="00E2522A"/>
    <w:rsid w:val="00E25B4D"/>
    <w:rsid w:val="00E25E72"/>
    <w:rsid w:val="00E260AD"/>
    <w:rsid w:val="00E262C2"/>
    <w:rsid w:val="00E262C3"/>
    <w:rsid w:val="00E272AB"/>
    <w:rsid w:val="00E27656"/>
    <w:rsid w:val="00E300E4"/>
    <w:rsid w:val="00E3061C"/>
    <w:rsid w:val="00E31B15"/>
    <w:rsid w:val="00E32118"/>
    <w:rsid w:val="00E331D0"/>
    <w:rsid w:val="00E336C5"/>
    <w:rsid w:val="00E34319"/>
    <w:rsid w:val="00E343F4"/>
    <w:rsid w:val="00E36EC7"/>
    <w:rsid w:val="00E37ADC"/>
    <w:rsid w:val="00E4073A"/>
    <w:rsid w:val="00E40C98"/>
    <w:rsid w:val="00E41773"/>
    <w:rsid w:val="00E41C6A"/>
    <w:rsid w:val="00E42FF2"/>
    <w:rsid w:val="00E43331"/>
    <w:rsid w:val="00E437EF"/>
    <w:rsid w:val="00E43C41"/>
    <w:rsid w:val="00E43DD2"/>
    <w:rsid w:val="00E44176"/>
    <w:rsid w:val="00E44777"/>
    <w:rsid w:val="00E45E79"/>
    <w:rsid w:val="00E4655B"/>
    <w:rsid w:val="00E46975"/>
    <w:rsid w:val="00E47E01"/>
    <w:rsid w:val="00E511C3"/>
    <w:rsid w:val="00E51629"/>
    <w:rsid w:val="00E5178B"/>
    <w:rsid w:val="00E51923"/>
    <w:rsid w:val="00E51C8B"/>
    <w:rsid w:val="00E5217E"/>
    <w:rsid w:val="00E522D4"/>
    <w:rsid w:val="00E5284D"/>
    <w:rsid w:val="00E53516"/>
    <w:rsid w:val="00E54268"/>
    <w:rsid w:val="00E5431B"/>
    <w:rsid w:val="00E547D4"/>
    <w:rsid w:val="00E54E7E"/>
    <w:rsid w:val="00E56B5B"/>
    <w:rsid w:val="00E5787A"/>
    <w:rsid w:val="00E60114"/>
    <w:rsid w:val="00E603C5"/>
    <w:rsid w:val="00E604AF"/>
    <w:rsid w:val="00E60613"/>
    <w:rsid w:val="00E60E78"/>
    <w:rsid w:val="00E629D1"/>
    <w:rsid w:val="00E62AA9"/>
    <w:rsid w:val="00E63334"/>
    <w:rsid w:val="00E6336F"/>
    <w:rsid w:val="00E63883"/>
    <w:rsid w:val="00E63985"/>
    <w:rsid w:val="00E63AA2"/>
    <w:rsid w:val="00E63C71"/>
    <w:rsid w:val="00E63E97"/>
    <w:rsid w:val="00E64844"/>
    <w:rsid w:val="00E64EE5"/>
    <w:rsid w:val="00E65328"/>
    <w:rsid w:val="00E65594"/>
    <w:rsid w:val="00E65DAB"/>
    <w:rsid w:val="00E6623A"/>
    <w:rsid w:val="00E666DA"/>
    <w:rsid w:val="00E6726F"/>
    <w:rsid w:val="00E6735E"/>
    <w:rsid w:val="00E67FC0"/>
    <w:rsid w:val="00E70FD4"/>
    <w:rsid w:val="00E7127A"/>
    <w:rsid w:val="00E71845"/>
    <w:rsid w:val="00E7205B"/>
    <w:rsid w:val="00E729F5"/>
    <w:rsid w:val="00E72D2B"/>
    <w:rsid w:val="00E7326A"/>
    <w:rsid w:val="00E738B9"/>
    <w:rsid w:val="00E73FCA"/>
    <w:rsid w:val="00E743B8"/>
    <w:rsid w:val="00E75101"/>
    <w:rsid w:val="00E77C52"/>
    <w:rsid w:val="00E77EDE"/>
    <w:rsid w:val="00E80383"/>
    <w:rsid w:val="00E809D4"/>
    <w:rsid w:val="00E80B38"/>
    <w:rsid w:val="00E80DE9"/>
    <w:rsid w:val="00E82416"/>
    <w:rsid w:val="00E82B21"/>
    <w:rsid w:val="00E83D98"/>
    <w:rsid w:val="00E84338"/>
    <w:rsid w:val="00E86824"/>
    <w:rsid w:val="00E86873"/>
    <w:rsid w:val="00E86DB8"/>
    <w:rsid w:val="00E86EB3"/>
    <w:rsid w:val="00E872EB"/>
    <w:rsid w:val="00E911B3"/>
    <w:rsid w:val="00E92167"/>
    <w:rsid w:val="00E92609"/>
    <w:rsid w:val="00E94AD2"/>
    <w:rsid w:val="00E94ED6"/>
    <w:rsid w:val="00E9553E"/>
    <w:rsid w:val="00E95540"/>
    <w:rsid w:val="00E958E7"/>
    <w:rsid w:val="00E95C61"/>
    <w:rsid w:val="00E96C6C"/>
    <w:rsid w:val="00E970DA"/>
    <w:rsid w:val="00E97177"/>
    <w:rsid w:val="00E9731A"/>
    <w:rsid w:val="00E97E72"/>
    <w:rsid w:val="00EA0D90"/>
    <w:rsid w:val="00EA1946"/>
    <w:rsid w:val="00EA2EE2"/>
    <w:rsid w:val="00EA51BA"/>
    <w:rsid w:val="00EA5366"/>
    <w:rsid w:val="00EA5462"/>
    <w:rsid w:val="00EA596C"/>
    <w:rsid w:val="00EA60B6"/>
    <w:rsid w:val="00EA60EF"/>
    <w:rsid w:val="00EA6B35"/>
    <w:rsid w:val="00EA7E51"/>
    <w:rsid w:val="00EB0785"/>
    <w:rsid w:val="00EB1009"/>
    <w:rsid w:val="00EB14D1"/>
    <w:rsid w:val="00EB1AED"/>
    <w:rsid w:val="00EB2074"/>
    <w:rsid w:val="00EB2715"/>
    <w:rsid w:val="00EB308B"/>
    <w:rsid w:val="00EB3301"/>
    <w:rsid w:val="00EB338A"/>
    <w:rsid w:val="00EB3A78"/>
    <w:rsid w:val="00EB46B8"/>
    <w:rsid w:val="00EB48E5"/>
    <w:rsid w:val="00EB49AD"/>
    <w:rsid w:val="00EB53D2"/>
    <w:rsid w:val="00EB5DB9"/>
    <w:rsid w:val="00EB6926"/>
    <w:rsid w:val="00EB6AA0"/>
    <w:rsid w:val="00EB6C02"/>
    <w:rsid w:val="00EB7574"/>
    <w:rsid w:val="00EB7DCF"/>
    <w:rsid w:val="00EC0640"/>
    <w:rsid w:val="00EC07C1"/>
    <w:rsid w:val="00EC1038"/>
    <w:rsid w:val="00EC13F2"/>
    <w:rsid w:val="00EC15AC"/>
    <w:rsid w:val="00EC191C"/>
    <w:rsid w:val="00EC26DC"/>
    <w:rsid w:val="00EC28AA"/>
    <w:rsid w:val="00EC3049"/>
    <w:rsid w:val="00EC310A"/>
    <w:rsid w:val="00EC368B"/>
    <w:rsid w:val="00EC4461"/>
    <w:rsid w:val="00EC7CBC"/>
    <w:rsid w:val="00EC7EF2"/>
    <w:rsid w:val="00ED028E"/>
    <w:rsid w:val="00ED03EF"/>
    <w:rsid w:val="00ED0AB5"/>
    <w:rsid w:val="00ED1468"/>
    <w:rsid w:val="00ED1BD2"/>
    <w:rsid w:val="00ED1C27"/>
    <w:rsid w:val="00ED1D65"/>
    <w:rsid w:val="00ED2057"/>
    <w:rsid w:val="00ED4F50"/>
    <w:rsid w:val="00ED506E"/>
    <w:rsid w:val="00ED533E"/>
    <w:rsid w:val="00ED53AA"/>
    <w:rsid w:val="00ED5C06"/>
    <w:rsid w:val="00ED629B"/>
    <w:rsid w:val="00ED6D17"/>
    <w:rsid w:val="00ED6D76"/>
    <w:rsid w:val="00EE08DD"/>
    <w:rsid w:val="00EE0C15"/>
    <w:rsid w:val="00EE0F4E"/>
    <w:rsid w:val="00EE1951"/>
    <w:rsid w:val="00EE250F"/>
    <w:rsid w:val="00EE2561"/>
    <w:rsid w:val="00EE2DD1"/>
    <w:rsid w:val="00EE443E"/>
    <w:rsid w:val="00EE4DEC"/>
    <w:rsid w:val="00EE4F74"/>
    <w:rsid w:val="00EE53CE"/>
    <w:rsid w:val="00EE56D1"/>
    <w:rsid w:val="00EE56F9"/>
    <w:rsid w:val="00EE649E"/>
    <w:rsid w:val="00EE6C33"/>
    <w:rsid w:val="00EE703D"/>
    <w:rsid w:val="00EF161C"/>
    <w:rsid w:val="00EF34D1"/>
    <w:rsid w:val="00EF383C"/>
    <w:rsid w:val="00EF3AAB"/>
    <w:rsid w:val="00EF3D8C"/>
    <w:rsid w:val="00EF4339"/>
    <w:rsid w:val="00EF4B44"/>
    <w:rsid w:val="00EF4C39"/>
    <w:rsid w:val="00EF517E"/>
    <w:rsid w:val="00EF576B"/>
    <w:rsid w:val="00EF58D2"/>
    <w:rsid w:val="00EF5B27"/>
    <w:rsid w:val="00EF5B61"/>
    <w:rsid w:val="00EF5BA3"/>
    <w:rsid w:val="00EF7575"/>
    <w:rsid w:val="00EF78F8"/>
    <w:rsid w:val="00F0005F"/>
    <w:rsid w:val="00F00E9E"/>
    <w:rsid w:val="00F0113A"/>
    <w:rsid w:val="00F01EC2"/>
    <w:rsid w:val="00F01ECE"/>
    <w:rsid w:val="00F0256A"/>
    <w:rsid w:val="00F02D52"/>
    <w:rsid w:val="00F0395E"/>
    <w:rsid w:val="00F03D03"/>
    <w:rsid w:val="00F04667"/>
    <w:rsid w:val="00F05327"/>
    <w:rsid w:val="00F05542"/>
    <w:rsid w:val="00F10D64"/>
    <w:rsid w:val="00F1154E"/>
    <w:rsid w:val="00F11575"/>
    <w:rsid w:val="00F11923"/>
    <w:rsid w:val="00F119E5"/>
    <w:rsid w:val="00F11CBF"/>
    <w:rsid w:val="00F12676"/>
    <w:rsid w:val="00F12AE6"/>
    <w:rsid w:val="00F1311B"/>
    <w:rsid w:val="00F136A9"/>
    <w:rsid w:val="00F13D12"/>
    <w:rsid w:val="00F14EF8"/>
    <w:rsid w:val="00F156FD"/>
    <w:rsid w:val="00F15AB0"/>
    <w:rsid w:val="00F17AEC"/>
    <w:rsid w:val="00F20FD6"/>
    <w:rsid w:val="00F20FE6"/>
    <w:rsid w:val="00F21C62"/>
    <w:rsid w:val="00F2293F"/>
    <w:rsid w:val="00F2361F"/>
    <w:rsid w:val="00F23B19"/>
    <w:rsid w:val="00F2405D"/>
    <w:rsid w:val="00F24E9E"/>
    <w:rsid w:val="00F2524C"/>
    <w:rsid w:val="00F263E3"/>
    <w:rsid w:val="00F2754E"/>
    <w:rsid w:val="00F30085"/>
    <w:rsid w:val="00F302C5"/>
    <w:rsid w:val="00F30331"/>
    <w:rsid w:val="00F3049C"/>
    <w:rsid w:val="00F30DC1"/>
    <w:rsid w:val="00F314AC"/>
    <w:rsid w:val="00F314B7"/>
    <w:rsid w:val="00F31659"/>
    <w:rsid w:val="00F31906"/>
    <w:rsid w:val="00F3209B"/>
    <w:rsid w:val="00F320AD"/>
    <w:rsid w:val="00F322BB"/>
    <w:rsid w:val="00F32543"/>
    <w:rsid w:val="00F32BAC"/>
    <w:rsid w:val="00F34169"/>
    <w:rsid w:val="00F35020"/>
    <w:rsid w:val="00F35C1D"/>
    <w:rsid w:val="00F36047"/>
    <w:rsid w:val="00F3622A"/>
    <w:rsid w:val="00F363E2"/>
    <w:rsid w:val="00F363EF"/>
    <w:rsid w:val="00F37203"/>
    <w:rsid w:val="00F378B8"/>
    <w:rsid w:val="00F37EFD"/>
    <w:rsid w:val="00F40C0D"/>
    <w:rsid w:val="00F41710"/>
    <w:rsid w:val="00F42F1D"/>
    <w:rsid w:val="00F43617"/>
    <w:rsid w:val="00F43D3D"/>
    <w:rsid w:val="00F43E43"/>
    <w:rsid w:val="00F44613"/>
    <w:rsid w:val="00F44748"/>
    <w:rsid w:val="00F449C2"/>
    <w:rsid w:val="00F44CD5"/>
    <w:rsid w:val="00F450A6"/>
    <w:rsid w:val="00F45AA6"/>
    <w:rsid w:val="00F45C55"/>
    <w:rsid w:val="00F45DB7"/>
    <w:rsid w:val="00F45E8A"/>
    <w:rsid w:val="00F46A04"/>
    <w:rsid w:val="00F478EA"/>
    <w:rsid w:val="00F50E3C"/>
    <w:rsid w:val="00F50EF7"/>
    <w:rsid w:val="00F50F02"/>
    <w:rsid w:val="00F515CC"/>
    <w:rsid w:val="00F516FD"/>
    <w:rsid w:val="00F53A14"/>
    <w:rsid w:val="00F53C2D"/>
    <w:rsid w:val="00F558C0"/>
    <w:rsid w:val="00F57A10"/>
    <w:rsid w:val="00F600B4"/>
    <w:rsid w:val="00F60CEB"/>
    <w:rsid w:val="00F61D21"/>
    <w:rsid w:val="00F63858"/>
    <w:rsid w:val="00F63936"/>
    <w:rsid w:val="00F64189"/>
    <w:rsid w:val="00F64618"/>
    <w:rsid w:val="00F66393"/>
    <w:rsid w:val="00F663FA"/>
    <w:rsid w:val="00F66D64"/>
    <w:rsid w:val="00F67214"/>
    <w:rsid w:val="00F6734E"/>
    <w:rsid w:val="00F675CB"/>
    <w:rsid w:val="00F7056D"/>
    <w:rsid w:val="00F70D8D"/>
    <w:rsid w:val="00F7126A"/>
    <w:rsid w:val="00F71600"/>
    <w:rsid w:val="00F72692"/>
    <w:rsid w:val="00F72807"/>
    <w:rsid w:val="00F728CA"/>
    <w:rsid w:val="00F72F53"/>
    <w:rsid w:val="00F7519F"/>
    <w:rsid w:val="00F75611"/>
    <w:rsid w:val="00F77F02"/>
    <w:rsid w:val="00F8241C"/>
    <w:rsid w:val="00F829EB"/>
    <w:rsid w:val="00F82CC9"/>
    <w:rsid w:val="00F83B8B"/>
    <w:rsid w:val="00F84658"/>
    <w:rsid w:val="00F84938"/>
    <w:rsid w:val="00F855A7"/>
    <w:rsid w:val="00F85C49"/>
    <w:rsid w:val="00F86738"/>
    <w:rsid w:val="00F86A90"/>
    <w:rsid w:val="00F8740A"/>
    <w:rsid w:val="00F8745B"/>
    <w:rsid w:val="00F87507"/>
    <w:rsid w:val="00F876F7"/>
    <w:rsid w:val="00F90100"/>
    <w:rsid w:val="00F91682"/>
    <w:rsid w:val="00F92794"/>
    <w:rsid w:val="00F93692"/>
    <w:rsid w:val="00F93B00"/>
    <w:rsid w:val="00F93E74"/>
    <w:rsid w:val="00F94E82"/>
    <w:rsid w:val="00F95533"/>
    <w:rsid w:val="00F9603D"/>
    <w:rsid w:val="00F963D7"/>
    <w:rsid w:val="00F9649C"/>
    <w:rsid w:val="00F96751"/>
    <w:rsid w:val="00F971A7"/>
    <w:rsid w:val="00F97B6A"/>
    <w:rsid w:val="00FA196E"/>
    <w:rsid w:val="00FA2492"/>
    <w:rsid w:val="00FA2CDE"/>
    <w:rsid w:val="00FA3447"/>
    <w:rsid w:val="00FA350D"/>
    <w:rsid w:val="00FA3790"/>
    <w:rsid w:val="00FA59C8"/>
    <w:rsid w:val="00FA5C6E"/>
    <w:rsid w:val="00FA5DA4"/>
    <w:rsid w:val="00FA64DF"/>
    <w:rsid w:val="00FA6AA8"/>
    <w:rsid w:val="00FA6B95"/>
    <w:rsid w:val="00FB0C94"/>
    <w:rsid w:val="00FB138D"/>
    <w:rsid w:val="00FB1482"/>
    <w:rsid w:val="00FB16AE"/>
    <w:rsid w:val="00FB2111"/>
    <w:rsid w:val="00FB2252"/>
    <w:rsid w:val="00FB2FDE"/>
    <w:rsid w:val="00FB3109"/>
    <w:rsid w:val="00FB32DB"/>
    <w:rsid w:val="00FB37F1"/>
    <w:rsid w:val="00FB3EE6"/>
    <w:rsid w:val="00FB433B"/>
    <w:rsid w:val="00FB573D"/>
    <w:rsid w:val="00FB5A2F"/>
    <w:rsid w:val="00FB73C6"/>
    <w:rsid w:val="00FB7AE4"/>
    <w:rsid w:val="00FB7AFD"/>
    <w:rsid w:val="00FB7E0C"/>
    <w:rsid w:val="00FC08AA"/>
    <w:rsid w:val="00FC0E47"/>
    <w:rsid w:val="00FC2999"/>
    <w:rsid w:val="00FC359F"/>
    <w:rsid w:val="00FC366E"/>
    <w:rsid w:val="00FC3CE6"/>
    <w:rsid w:val="00FC3E56"/>
    <w:rsid w:val="00FC4154"/>
    <w:rsid w:val="00FC41CC"/>
    <w:rsid w:val="00FC4384"/>
    <w:rsid w:val="00FC5063"/>
    <w:rsid w:val="00FC6C0A"/>
    <w:rsid w:val="00FC70C2"/>
    <w:rsid w:val="00FC7631"/>
    <w:rsid w:val="00FC775E"/>
    <w:rsid w:val="00FC7CDB"/>
    <w:rsid w:val="00FD07AB"/>
    <w:rsid w:val="00FD0AD1"/>
    <w:rsid w:val="00FD0BB8"/>
    <w:rsid w:val="00FD1696"/>
    <w:rsid w:val="00FD33BF"/>
    <w:rsid w:val="00FD36A1"/>
    <w:rsid w:val="00FD3954"/>
    <w:rsid w:val="00FD3B48"/>
    <w:rsid w:val="00FD48F8"/>
    <w:rsid w:val="00FD4C28"/>
    <w:rsid w:val="00FD5311"/>
    <w:rsid w:val="00FD5C40"/>
    <w:rsid w:val="00FD649A"/>
    <w:rsid w:val="00FD65C6"/>
    <w:rsid w:val="00FD6893"/>
    <w:rsid w:val="00FD707E"/>
    <w:rsid w:val="00FD783B"/>
    <w:rsid w:val="00FE10C4"/>
    <w:rsid w:val="00FE23EB"/>
    <w:rsid w:val="00FE4543"/>
    <w:rsid w:val="00FE4747"/>
    <w:rsid w:val="00FE48FE"/>
    <w:rsid w:val="00FE4FA5"/>
    <w:rsid w:val="00FE594C"/>
    <w:rsid w:val="00FE7B0E"/>
    <w:rsid w:val="00FF0073"/>
    <w:rsid w:val="00FF08E0"/>
    <w:rsid w:val="00FF0ADE"/>
    <w:rsid w:val="00FF21A1"/>
    <w:rsid w:val="00FF2F20"/>
    <w:rsid w:val="00FF3D77"/>
    <w:rsid w:val="00FF4043"/>
    <w:rsid w:val="00FF46F5"/>
    <w:rsid w:val="00FF497C"/>
    <w:rsid w:val="00FF49BE"/>
    <w:rsid w:val="00FF4F15"/>
    <w:rsid w:val="00FF5D8D"/>
    <w:rsid w:val="00FF6131"/>
    <w:rsid w:val="00FF6A72"/>
    <w:rsid w:val="00FF6B5A"/>
    <w:rsid w:val="00FF77A4"/>
    <w:rsid w:val="00FF7C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D2B11"/>
  <w15:docId w15:val="{779685A3-30D5-4386-9431-2A760F4A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7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2FC9"/>
    <w:pPr>
      <w:keepNext/>
      <w:keepLines/>
      <w:spacing w:before="240"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D2FC9"/>
    <w:pPr>
      <w:keepNext/>
      <w:keepLines/>
      <w:spacing w:before="240" w:after="240"/>
      <w:outlineLvl w:val="1"/>
    </w:pPr>
    <w:rPr>
      <w:rFonts w:eastAsiaTheme="majorEastAsia" w:cstheme="majorBidi"/>
      <w:bCs/>
      <w:i/>
      <w:szCs w:val="26"/>
    </w:rPr>
  </w:style>
  <w:style w:type="paragraph" w:styleId="Heading3">
    <w:name w:val="heading 3"/>
    <w:basedOn w:val="Normal"/>
    <w:next w:val="Normal"/>
    <w:link w:val="Heading3Char"/>
    <w:uiPriority w:val="9"/>
    <w:qFormat/>
    <w:rsid w:val="001D2FC9"/>
    <w:pPr>
      <w:keepNext/>
      <w:spacing w:before="240" w:after="240"/>
      <w:outlineLvl w:val="2"/>
    </w:pPr>
    <w:rPr>
      <w:bCs/>
      <w:i/>
      <w:szCs w:val="26"/>
    </w:rPr>
  </w:style>
  <w:style w:type="paragraph" w:styleId="Heading4">
    <w:name w:val="heading 4"/>
    <w:basedOn w:val="Normal"/>
    <w:next w:val="Normal"/>
    <w:link w:val="Heading4Char"/>
    <w:qFormat/>
    <w:rsid w:val="00565A7D"/>
    <w:pPr>
      <w:keepNext/>
      <w:outlineLvl w:val="3"/>
    </w:pPr>
    <w:rPr>
      <w:rFonts w:eastAsia="Arial Unicode MS"/>
      <w:b/>
      <w:szCs w:val="20"/>
    </w:rPr>
  </w:style>
  <w:style w:type="paragraph" w:styleId="Heading7">
    <w:name w:val="heading 7"/>
    <w:basedOn w:val="Normal"/>
    <w:next w:val="Normal"/>
    <w:link w:val="Heading7Char"/>
    <w:qFormat/>
    <w:rsid w:val="00565A7D"/>
    <w:pPr>
      <w:keepNext/>
      <w:jc w:val="center"/>
      <w:outlineLvl w:val="6"/>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65A7D"/>
    <w:rPr>
      <w:rFonts w:ascii="Times New Roman" w:eastAsia="Arial Unicode MS" w:hAnsi="Times New Roman" w:cs="Times New Roman"/>
      <w:b/>
      <w:sz w:val="24"/>
      <w:szCs w:val="20"/>
    </w:rPr>
  </w:style>
  <w:style w:type="character" w:customStyle="1" w:styleId="Heading7Char">
    <w:name w:val="Heading 7 Char"/>
    <w:basedOn w:val="DefaultParagraphFont"/>
    <w:link w:val="Heading7"/>
    <w:rsid w:val="00565A7D"/>
    <w:rPr>
      <w:rFonts w:ascii="Times New Roman" w:eastAsia="Times New Roman" w:hAnsi="Times New Roman" w:cs="Times New Roman"/>
      <w:b/>
      <w:bCs/>
      <w:sz w:val="32"/>
      <w:szCs w:val="20"/>
    </w:rPr>
  </w:style>
  <w:style w:type="paragraph" w:styleId="FootnoteText">
    <w:name w:val="footnote text"/>
    <w:basedOn w:val="Normal"/>
    <w:link w:val="FootnoteTextChar"/>
    <w:uiPriority w:val="99"/>
    <w:rsid w:val="00565A7D"/>
    <w:rPr>
      <w:sz w:val="20"/>
      <w:szCs w:val="20"/>
    </w:rPr>
  </w:style>
  <w:style w:type="character" w:customStyle="1" w:styleId="FootnoteTextChar">
    <w:name w:val="Footnote Text Char"/>
    <w:basedOn w:val="DefaultParagraphFont"/>
    <w:link w:val="FootnoteText"/>
    <w:uiPriority w:val="99"/>
    <w:rsid w:val="00565A7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65A7D"/>
    <w:rPr>
      <w:vertAlign w:val="superscript"/>
    </w:rPr>
  </w:style>
  <w:style w:type="character" w:styleId="Hyperlink">
    <w:name w:val="Hyperlink"/>
    <w:basedOn w:val="DefaultParagraphFont"/>
    <w:uiPriority w:val="99"/>
    <w:unhideWhenUsed/>
    <w:rsid w:val="00565A7D"/>
    <w:rPr>
      <w:color w:val="0000FF"/>
      <w:u w:val="single"/>
    </w:rPr>
  </w:style>
  <w:style w:type="paragraph" w:styleId="BodyText">
    <w:name w:val="Body Text"/>
    <w:basedOn w:val="Normal"/>
    <w:link w:val="BodyTextChar"/>
    <w:rsid w:val="00565A7D"/>
    <w:pPr>
      <w:jc w:val="center"/>
    </w:pPr>
    <w:rPr>
      <w:b/>
      <w:szCs w:val="20"/>
    </w:rPr>
  </w:style>
  <w:style w:type="character" w:customStyle="1" w:styleId="BodyTextChar">
    <w:name w:val="Body Text Char"/>
    <w:basedOn w:val="DefaultParagraphFont"/>
    <w:link w:val="BodyText"/>
    <w:rsid w:val="00565A7D"/>
    <w:rPr>
      <w:rFonts w:ascii="Times New Roman" w:eastAsia="Times New Roman" w:hAnsi="Times New Roman" w:cs="Times New Roman"/>
      <w:b/>
      <w:sz w:val="24"/>
      <w:szCs w:val="20"/>
    </w:rPr>
  </w:style>
  <w:style w:type="paragraph" w:styleId="ListParagraph">
    <w:name w:val="List Paragraph"/>
    <w:basedOn w:val="Normal"/>
    <w:uiPriority w:val="34"/>
    <w:qFormat/>
    <w:rsid w:val="00E00588"/>
    <w:pPr>
      <w:ind w:left="720"/>
      <w:contextualSpacing/>
    </w:pPr>
  </w:style>
  <w:style w:type="paragraph" w:styleId="BodyTextIndent">
    <w:name w:val="Body Text Indent"/>
    <w:basedOn w:val="Normal"/>
    <w:link w:val="BodyTextIndentChar"/>
    <w:uiPriority w:val="99"/>
    <w:unhideWhenUsed/>
    <w:rsid w:val="00F2754E"/>
    <w:pPr>
      <w:spacing w:after="120"/>
      <w:ind w:left="283"/>
    </w:pPr>
  </w:style>
  <w:style w:type="character" w:customStyle="1" w:styleId="BodyTextIndentChar">
    <w:name w:val="Body Text Indent Char"/>
    <w:basedOn w:val="DefaultParagraphFont"/>
    <w:link w:val="BodyTextIndent"/>
    <w:uiPriority w:val="99"/>
    <w:rsid w:val="00F2754E"/>
    <w:rPr>
      <w:rFonts w:ascii="Times New Roman" w:eastAsia="Times New Roman" w:hAnsi="Times New Roman" w:cs="Times New Roman"/>
      <w:sz w:val="24"/>
      <w:szCs w:val="24"/>
    </w:rPr>
  </w:style>
  <w:style w:type="table" w:styleId="TableGrid">
    <w:name w:val="Table Grid"/>
    <w:basedOn w:val="TableNormal"/>
    <w:uiPriority w:val="59"/>
    <w:rsid w:val="007F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824"/>
    <w:rPr>
      <w:color w:val="808080"/>
    </w:rPr>
  </w:style>
  <w:style w:type="paragraph" w:styleId="BalloonText">
    <w:name w:val="Balloon Text"/>
    <w:basedOn w:val="Normal"/>
    <w:link w:val="BalloonTextChar"/>
    <w:uiPriority w:val="99"/>
    <w:semiHidden/>
    <w:unhideWhenUsed/>
    <w:rsid w:val="00E86824"/>
    <w:rPr>
      <w:rFonts w:ascii="Tahoma" w:hAnsi="Tahoma" w:cs="Tahoma"/>
      <w:sz w:val="16"/>
      <w:szCs w:val="16"/>
    </w:rPr>
  </w:style>
  <w:style w:type="character" w:customStyle="1" w:styleId="BalloonTextChar">
    <w:name w:val="Balloon Text Char"/>
    <w:basedOn w:val="DefaultParagraphFont"/>
    <w:link w:val="BalloonText"/>
    <w:uiPriority w:val="99"/>
    <w:semiHidden/>
    <w:rsid w:val="00E86824"/>
    <w:rPr>
      <w:rFonts w:ascii="Tahoma" w:eastAsia="Times New Roman" w:hAnsi="Tahoma" w:cs="Tahoma"/>
      <w:sz w:val="16"/>
      <w:szCs w:val="16"/>
    </w:rPr>
  </w:style>
  <w:style w:type="paragraph" w:styleId="Header">
    <w:name w:val="header"/>
    <w:basedOn w:val="Normal"/>
    <w:link w:val="HeaderChar"/>
    <w:uiPriority w:val="99"/>
    <w:unhideWhenUsed/>
    <w:rsid w:val="00C5336E"/>
    <w:pPr>
      <w:tabs>
        <w:tab w:val="center" w:pos="4513"/>
        <w:tab w:val="right" w:pos="9026"/>
      </w:tabs>
    </w:pPr>
  </w:style>
  <w:style w:type="character" w:customStyle="1" w:styleId="HeaderChar">
    <w:name w:val="Header Char"/>
    <w:basedOn w:val="DefaultParagraphFont"/>
    <w:link w:val="Header"/>
    <w:uiPriority w:val="99"/>
    <w:rsid w:val="00C53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336E"/>
    <w:pPr>
      <w:tabs>
        <w:tab w:val="center" w:pos="4513"/>
        <w:tab w:val="right" w:pos="9026"/>
      </w:tabs>
    </w:pPr>
  </w:style>
  <w:style w:type="character" w:customStyle="1" w:styleId="FooterChar">
    <w:name w:val="Footer Char"/>
    <w:basedOn w:val="DefaultParagraphFont"/>
    <w:link w:val="Footer"/>
    <w:uiPriority w:val="99"/>
    <w:rsid w:val="00C5336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1C8B"/>
    <w:rPr>
      <w:sz w:val="16"/>
      <w:szCs w:val="16"/>
    </w:rPr>
  </w:style>
  <w:style w:type="paragraph" w:styleId="CommentText">
    <w:name w:val="annotation text"/>
    <w:basedOn w:val="Normal"/>
    <w:link w:val="CommentTextChar"/>
    <w:uiPriority w:val="99"/>
    <w:unhideWhenUsed/>
    <w:rsid w:val="00E51C8B"/>
    <w:rPr>
      <w:sz w:val="20"/>
      <w:szCs w:val="20"/>
    </w:rPr>
  </w:style>
  <w:style w:type="character" w:customStyle="1" w:styleId="CommentTextChar">
    <w:name w:val="Comment Text Char"/>
    <w:basedOn w:val="DefaultParagraphFont"/>
    <w:link w:val="CommentText"/>
    <w:uiPriority w:val="99"/>
    <w:rsid w:val="00E51C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C8B"/>
    <w:rPr>
      <w:b/>
      <w:bCs/>
    </w:rPr>
  </w:style>
  <w:style w:type="character" w:customStyle="1" w:styleId="CommentSubjectChar">
    <w:name w:val="Comment Subject Char"/>
    <w:basedOn w:val="CommentTextChar"/>
    <w:link w:val="CommentSubject"/>
    <w:uiPriority w:val="99"/>
    <w:semiHidden/>
    <w:rsid w:val="00E51C8B"/>
    <w:rPr>
      <w:rFonts w:ascii="Times New Roman" w:eastAsia="Times New Roman" w:hAnsi="Times New Roman" w:cs="Times New Roman"/>
      <w:b/>
      <w:bCs/>
      <w:sz w:val="20"/>
      <w:szCs w:val="20"/>
    </w:rPr>
  </w:style>
  <w:style w:type="character" w:customStyle="1" w:styleId="st1">
    <w:name w:val="st1"/>
    <w:basedOn w:val="DefaultParagraphFont"/>
    <w:rsid w:val="00366994"/>
  </w:style>
  <w:style w:type="paragraph" w:styleId="Revision">
    <w:name w:val="Revision"/>
    <w:hidden/>
    <w:uiPriority w:val="99"/>
    <w:semiHidden/>
    <w:rsid w:val="004B0FD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79AC"/>
    <w:rPr>
      <w:color w:val="800080" w:themeColor="followedHyperlink"/>
      <w:u w:val="single"/>
    </w:rPr>
  </w:style>
  <w:style w:type="character" w:customStyle="1" w:styleId="Heading1Char">
    <w:name w:val="Heading 1 Char"/>
    <w:basedOn w:val="DefaultParagraphFont"/>
    <w:link w:val="Heading1"/>
    <w:uiPriority w:val="9"/>
    <w:rsid w:val="001D2FC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D2FC9"/>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1D2FC9"/>
    <w:rPr>
      <w:rFonts w:ascii="Times New Roman" w:eastAsia="Times New Roman" w:hAnsi="Times New Roman" w:cs="Times New Roman"/>
      <w:bCs/>
      <w:i/>
      <w:sz w:val="24"/>
      <w:szCs w:val="26"/>
    </w:rPr>
  </w:style>
  <w:style w:type="paragraph" w:styleId="TOCHeading">
    <w:name w:val="TOC Heading"/>
    <w:basedOn w:val="Heading1"/>
    <w:next w:val="Normal"/>
    <w:uiPriority w:val="39"/>
    <w:qFormat/>
    <w:rsid w:val="00D3776C"/>
    <w:pPr>
      <w:spacing w:line="276" w:lineRule="auto"/>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unhideWhenUsed/>
    <w:rsid w:val="00D3776C"/>
    <w:pPr>
      <w:spacing w:after="200" w:line="276" w:lineRule="auto"/>
    </w:pPr>
    <w:rPr>
      <w:rFonts w:ascii="Calibri" w:eastAsia="Calibri" w:hAnsi="Calibri"/>
      <w:sz w:val="22"/>
      <w:szCs w:val="22"/>
    </w:rPr>
  </w:style>
  <w:style w:type="paragraph" w:styleId="TOC2">
    <w:name w:val="toc 2"/>
    <w:basedOn w:val="Normal"/>
    <w:next w:val="Normal"/>
    <w:autoRedefine/>
    <w:uiPriority w:val="39"/>
    <w:unhideWhenUsed/>
    <w:rsid w:val="00D3776C"/>
    <w:pPr>
      <w:spacing w:after="2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D3776C"/>
    <w:pPr>
      <w:spacing w:after="200" w:line="276" w:lineRule="auto"/>
      <w:ind w:left="440"/>
    </w:pPr>
    <w:rPr>
      <w:rFonts w:ascii="Calibri" w:eastAsia="Calibri" w:hAnsi="Calibri"/>
      <w:sz w:val="22"/>
      <w:szCs w:val="22"/>
    </w:rPr>
  </w:style>
  <w:style w:type="character" w:customStyle="1" w:styleId="addmd">
    <w:name w:val="addmd"/>
    <w:rsid w:val="00D3776C"/>
  </w:style>
  <w:style w:type="character" w:customStyle="1" w:styleId="apple-converted-space">
    <w:name w:val="apple-converted-space"/>
    <w:rsid w:val="00D3776C"/>
  </w:style>
  <w:style w:type="character" w:styleId="Emphasis">
    <w:name w:val="Emphasis"/>
    <w:uiPriority w:val="20"/>
    <w:qFormat/>
    <w:rsid w:val="00D3776C"/>
    <w:rPr>
      <w:i/>
      <w:iCs/>
    </w:rPr>
  </w:style>
  <w:style w:type="character" w:styleId="Strong">
    <w:name w:val="Strong"/>
    <w:basedOn w:val="DefaultParagraphFont"/>
    <w:uiPriority w:val="22"/>
    <w:qFormat/>
    <w:rsid w:val="002D2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938">
      <w:bodyDiv w:val="1"/>
      <w:marLeft w:val="0"/>
      <w:marRight w:val="0"/>
      <w:marTop w:val="0"/>
      <w:marBottom w:val="0"/>
      <w:divBdr>
        <w:top w:val="none" w:sz="0" w:space="0" w:color="auto"/>
        <w:left w:val="none" w:sz="0" w:space="0" w:color="auto"/>
        <w:bottom w:val="none" w:sz="0" w:space="0" w:color="auto"/>
        <w:right w:val="none" w:sz="0" w:space="0" w:color="auto"/>
      </w:divBdr>
      <w:divsChild>
        <w:div w:id="2098360408">
          <w:marLeft w:val="1166"/>
          <w:marRight w:val="0"/>
          <w:marTop w:val="77"/>
          <w:marBottom w:val="0"/>
          <w:divBdr>
            <w:top w:val="none" w:sz="0" w:space="0" w:color="auto"/>
            <w:left w:val="none" w:sz="0" w:space="0" w:color="auto"/>
            <w:bottom w:val="none" w:sz="0" w:space="0" w:color="auto"/>
            <w:right w:val="none" w:sz="0" w:space="0" w:color="auto"/>
          </w:divBdr>
        </w:div>
      </w:divsChild>
    </w:div>
    <w:div w:id="21371829">
      <w:bodyDiv w:val="1"/>
      <w:marLeft w:val="0"/>
      <w:marRight w:val="0"/>
      <w:marTop w:val="0"/>
      <w:marBottom w:val="0"/>
      <w:divBdr>
        <w:top w:val="none" w:sz="0" w:space="0" w:color="auto"/>
        <w:left w:val="none" w:sz="0" w:space="0" w:color="auto"/>
        <w:bottom w:val="none" w:sz="0" w:space="0" w:color="auto"/>
        <w:right w:val="none" w:sz="0" w:space="0" w:color="auto"/>
      </w:divBdr>
    </w:div>
    <w:div w:id="63068464">
      <w:bodyDiv w:val="1"/>
      <w:marLeft w:val="0"/>
      <w:marRight w:val="0"/>
      <w:marTop w:val="0"/>
      <w:marBottom w:val="0"/>
      <w:divBdr>
        <w:top w:val="none" w:sz="0" w:space="0" w:color="auto"/>
        <w:left w:val="none" w:sz="0" w:space="0" w:color="auto"/>
        <w:bottom w:val="none" w:sz="0" w:space="0" w:color="auto"/>
        <w:right w:val="none" w:sz="0" w:space="0" w:color="auto"/>
      </w:divBdr>
    </w:div>
    <w:div w:id="83497849">
      <w:bodyDiv w:val="1"/>
      <w:marLeft w:val="0"/>
      <w:marRight w:val="0"/>
      <w:marTop w:val="0"/>
      <w:marBottom w:val="0"/>
      <w:divBdr>
        <w:top w:val="none" w:sz="0" w:space="0" w:color="auto"/>
        <w:left w:val="none" w:sz="0" w:space="0" w:color="auto"/>
        <w:bottom w:val="none" w:sz="0" w:space="0" w:color="auto"/>
        <w:right w:val="none" w:sz="0" w:space="0" w:color="auto"/>
      </w:divBdr>
    </w:div>
    <w:div w:id="98646896">
      <w:bodyDiv w:val="1"/>
      <w:marLeft w:val="0"/>
      <w:marRight w:val="0"/>
      <w:marTop w:val="0"/>
      <w:marBottom w:val="0"/>
      <w:divBdr>
        <w:top w:val="none" w:sz="0" w:space="0" w:color="auto"/>
        <w:left w:val="none" w:sz="0" w:space="0" w:color="auto"/>
        <w:bottom w:val="none" w:sz="0" w:space="0" w:color="auto"/>
        <w:right w:val="none" w:sz="0" w:space="0" w:color="auto"/>
      </w:divBdr>
    </w:div>
    <w:div w:id="120535293">
      <w:bodyDiv w:val="1"/>
      <w:marLeft w:val="0"/>
      <w:marRight w:val="0"/>
      <w:marTop w:val="0"/>
      <w:marBottom w:val="0"/>
      <w:divBdr>
        <w:top w:val="none" w:sz="0" w:space="0" w:color="auto"/>
        <w:left w:val="none" w:sz="0" w:space="0" w:color="auto"/>
        <w:bottom w:val="none" w:sz="0" w:space="0" w:color="auto"/>
        <w:right w:val="none" w:sz="0" w:space="0" w:color="auto"/>
      </w:divBdr>
    </w:div>
    <w:div w:id="187371984">
      <w:bodyDiv w:val="1"/>
      <w:marLeft w:val="0"/>
      <w:marRight w:val="0"/>
      <w:marTop w:val="0"/>
      <w:marBottom w:val="0"/>
      <w:divBdr>
        <w:top w:val="none" w:sz="0" w:space="0" w:color="auto"/>
        <w:left w:val="none" w:sz="0" w:space="0" w:color="auto"/>
        <w:bottom w:val="none" w:sz="0" w:space="0" w:color="auto"/>
        <w:right w:val="none" w:sz="0" w:space="0" w:color="auto"/>
      </w:divBdr>
    </w:div>
    <w:div w:id="220135652">
      <w:bodyDiv w:val="1"/>
      <w:marLeft w:val="0"/>
      <w:marRight w:val="0"/>
      <w:marTop w:val="0"/>
      <w:marBottom w:val="0"/>
      <w:divBdr>
        <w:top w:val="none" w:sz="0" w:space="0" w:color="auto"/>
        <w:left w:val="none" w:sz="0" w:space="0" w:color="auto"/>
        <w:bottom w:val="none" w:sz="0" w:space="0" w:color="auto"/>
        <w:right w:val="none" w:sz="0" w:space="0" w:color="auto"/>
      </w:divBdr>
    </w:div>
    <w:div w:id="245573027">
      <w:bodyDiv w:val="1"/>
      <w:marLeft w:val="0"/>
      <w:marRight w:val="0"/>
      <w:marTop w:val="0"/>
      <w:marBottom w:val="0"/>
      <w:divBdr>
        <w:top w:val="none" w:sz="0" w:space="0" w:color="auto"/>
        <w:left w:val="none" w:sz="0" w:space="0" w:color="auto"/>
        <w:bottom w:val="none" w:sz="0" w:space="0" w:color="auto"/>
        <w:right w:val="none" w:sz="0" w:space="0" w:color="auto"/>
      </w:divBdr>
    </w:div>
    <w:div w:id="262350073">
      <w:bodyDiv w:val="1"/>
      <w:marLeft w:val="0"/>
      <w:marRight w:val="0"/>
      <w:marTop w:val="0"/>
      <w:marBottom w:val="0"/>
      <w:divBdr>
        <w:top w:val="none" w:sz="0" w:space="0" w:color="auto"/>
        <w:left w:val="none" w:sz="0" w:space="0" w:color="auto"/>
        <w:bottom w:val="none" w:sz="0" w:space="0" w:color="auto"/>
        <w:right w:val="none" w:sz="0" w:space="0" w:color="auto"/>
      </w:divBdr>
    </w:div>
    <w:div w:id="277571604">
      <w:bodyDiv w:val="1"/>
      <w:marLeft w:val="0"/>
      <w:marRight w:val="0"/>
      <w:marTop w:val="0"/>
      <w:marBottom w:val="0"/>
      <w:divBdr>
        <w:top w:val="none" w:sz="0" w:space="0" w:color="auto"/>
        <w:left w:val="none" w:sz="0" w:space="0" w:color="auto"/>
        <w:bottom w:val="none" w:sz="0" w:space="0" w:color="auto"/>
        <w:right w:val="none" w:sz="0" w:space="0" w:color="auto"/>
      </w:divBdr>
    </w:div>
    <w:div w:id="287854451">
      <w:bodyDiv w:val="1"/>
      <w:marLeft w:val="0"/>
      <w:marRight w:val="0"/>
      <w:marTop w:val="0"/>
      <w:marBottom w:val="0"/>
      <w:divBdr>
        <w:top w:val="none" w:sz="0" w:space="0" w:color="auto"/>
        <w:left w:val="none" w:sz="0" w:space="0" w:color="auto"/>
        <w:bottom w:val="none" w:sz="0" w:space="0" w:color="auto"/>
        <w:right w:val="none" w:sz="0" w:space="0" w:color="auto"/>
      </w:divBdr>
    </w:div>
    <w:div w:id="295457831">
      <w:bodyDiv w:val="1"/>
      <w:marLeft w:val="0"/>
      <w:marRight w:val="0"/>
      <w:marTop w:val="0"/>
      <w:marBottom w:val="0"/>
      <w:divBdr>
        <w:top w:val="none" w:sz="0" w:space="0" w:color="auto"/>
        <w:left w:val="none" w:sz="0" w:space="0" w:color="auto"/>
        <w:bottom w:val="none" w:sz="0" w:space="0" w:color="auto"/>
        <w:right w:val="none" w:sz="0" w:space="0" w:color="auto"/>
      </w:divBdr>
      <w:divsChild>
        <w:div w:id="1335111510">
          <w:marLeft w:val="0"/>
          <w:marRight w:val="0"/>
          <w:marTop w:val="0"/>
          <w:marBottom w:val="0"/>
          <w:divBdr>
            <w:top w:val="none" w:sz="0" w:space="0" w:color="auto"/>
            <w:left w:val="none" w:sz="0" w:space="0" w:color="auto"/>
            <w:bottom w:val="none" w:sz="0" w:space="0" w:color="auto"/>
            <w:right w:val="none" w:sz="0" w:space="0" w:color="auto"/>
          </w:divBdr>
          <w:divsChild>
            <w:div w:id="1026255338">
              <w:marLeft w:val="0"/>
              <w:marRight w:val="0"/>
              <w:marTop w:val="0"/>
              <w:marBottom w:val="0"/>
              <w:divBdr>
                <w:top w:val="none" w:sz="0" w:space="0" w:color="auto"/>
                <w:left w:val="none" w:sz="0" w:space="0" w:color="auto"/>
                <w:bottom w:val="none" w:sz="0" w:space="0" w:color="auto"/>
                <w:right w:val="none" w:sz="0" w:space="0" w:color="auto"/>
              </w:divBdr>
            </w:div>
          </w:divsChild>
        </w:div>
        <w:div w:id="95254994">
          <w:marLeft w:val="0"/>
          <w:marRight w:val="0"/>
          <w:marTop w:val="0"/>
          <w:marBottom w:val="0"/>
          <w:divBdr>
            <w:top w:val="none" w:sz="0" w:space="0" w:color="auto"/>
            <w:left w:val="none" w:sz="0" w:space="0" w:color="auto"/>
            <w:bottom w:val="none" w:sz="0" w:space="0" w:color="auto"/>
            <w:right w:val="none" w:sz="0" w:space="0" w:color="auto"/>
          </w:divBdr>
        </w:div>
      </w:divsChild>
    </w:div>
    <w:div w:id="359598456">
      <w:bodyDiv w:val="1"/>
      <w:marLeft w:val="0"/>
      <w:marRight w:val="0"/>
      <w:marTop w:val="0"/>
      <w:marBottom w:val="0"/>
      <w:divBdr>
        <w:top w:val="none" w:sz="0" w:space="0" w:color="auto"/>
        <w:left w:val="none" w:sz="0" w:space="0" w:color="auto"/>
        <w:bottom w:val="none" w:sz="0" w:space="0" w:color="auto"/>
        <w:right w:val="none" w:sz="0" w:space="0" w:color="auto"/>
      </w:divBdr>
    </w:div>
    <w:div w:id="388722567">
      <w:bodyDiv w:val="1"/>
      <w:marLeft w:val="0"/>
      <w:marRight w:val="0"/>
      <w:marTop w:val="0"/>
      <w:marBottom w:val="0"/>
      <w:divBdr>
        <w:top w:val="none" w:sz="0" w:space="0" w:color="auto"/>
        <w:left w:val="none" w:sz="0" w:space="0" w:color="auto"/>
        <w:bottom w:val="none" w:sz="0" w:space="0" w:color="auto"/>
        <w:right w:val="none" w:sz="0" w:space="0" w:color="auto"/>
      </w:divBdr>
    </w:div>
    <w:div w:id="427317182">
      <w:bodyDiv w:val="1"/>
      <w:marLeft w:val="0"/>
      <w:marRight w:val="0"/>
      <w:marTop w:val="0"/>
      <w:marBottom w:val="0"/>
      <w:divBdr>
        <w:top w:val="none" w:sz="0" w:space="0" w:color="auto"/>
        <w:left w:val="none" w:sz="0" w:space="0" w:color="auto"/>
        <w:bottom w:val="none" w:sz="0" w:space="0" w:color="auto"/>
        <w:right w:val="none" w:sz="0" w:space="0" w:color="auto"/>
      </w:divBdr>
    </w:div>
    <w:div w:id="448472809">
      <w:bodyDiv w:val="1"/>
      <w:marLeft w:val="0"/>
      <w:marRight w:val="0"/>
      <w:marTop w:val="0"/>
      <w:marBottom w:val="0"/>
      <w:divBdr>
        <w:top w:val="none" w:sz="0" w:space="0" w:color="auto"/>
        <w:left w:val="none" w:sz="0" w:space="0" w:color="auto"/>
        <w:bottom w:val="none" w:sz="0" w:space="0" w:color="auto"/>
        <w:right w:val="none" w:sz="0" w:space="0" w:color="auto"/>
      </w:divBdr>
    </w:div>
    <w:div w:id="493449160">
      <w:bodyDiv w:val="1"/>
      <w:marLeft w:val="0"/>
      <w:marRight w:val="0"/>
      <w:marTop w:val="0"/>
      <w:marBottom w:val="0"/>
      <w:divBdr>
        <w:top w:val="none" w:sz="0" w:space="0" w:color="auto"/>
        <w:left w:val="none" w:sz="0" w:space="0" w:color="auto"/>
        <w:bottom w:val="none" w:sz="0" w:space="0" w:color="auto"/>
        <w:right w:val="none" w:sz="0" w:space="0" w:color="auto"/>
      </w:divBdr>
    </w:div>
    <w:div w:id="529296155">
      <w:bodyDiv w:val="1"/>
      <w:marLeft w:val="0"/>
      <w:marRight w:val="0"/>
      <w:marTop w:val="0"/>
      <w:marBottom w:val="0"/>
      <w:divBdr>
        <w:top w:val="none" w:sz="0" w:space="0" w:color="auto"/>
        <w:left w:val="none" w:sz="0" w:space="0" w:color="auto"/>
        <w:bottom w:val="none" w:sz="0" w:space="0" w:color="auto"/>
        <w:right w:val="none" w:sz="0" w:space="0" w:color="auto"/>
      </w:divBdr>
      <w:divsChild>
        <w:div w:id="1751151498">
          <w:marLeft w:val="1166"/>
          <w:marRight w:val="0"/>
          <w:marTop w:val="58"/>
          <w:marBottom w:val="0"/>
          <w:divBdr>
            <w:top w:val="none" w:sz="0" w:space="0" w:color="auto"/>
            <w:left w:val="none" w:sz="0" w:space="0" w:color="auto"/>
            <w:bottom w:val="none" w:sz="0" w:space="0" w:color="auto"/>
            <w:right w:val="none" w:sz="0" w:space="0" w:color="auto"/>
          </w:divBdr>
        </w:div>
      </w:divsChild>
    </w:div>
    <w:div w:id="552694999">
      <w:bodyDiv w:val="1"/>
      <w:marLeft w:val="0"/>
      <w:marRight w:val="0"/>
      <w:marTop w:val="0"/>
      <w:marBottom w:val="0"/>
      <w:divBdr>
        <w:top w:val="none" w:sz="0" w:space="0" w:color="auto"/>
        <w:left w:val="none" w:sz="0" w:space="0" w:color="auto"/>
        <w:bottom w:val="none" w:sz="0" w:space="0" w:color="auto"/>
        <w:right w:val="none" w:sz="0" w:space="0" w:color="auto"/>
      </w:divBdr>
    </w:div>
    <w:div w:id="600648191">
      <w:bodyDiv w:val="1"/>
      <w:marLeft w:val="0"/>
      <w:marRight w:val="0"/>
      <w:marTop w:val="0"/>
      <w:marBottom w:val="0"/>
      <w:divBdr>
        <w:top w:val="none" w:sz="0" w:space="0" w:color="auto"/>
        <w:left w:val="none" w:sz="0" w:space="0" w:color="auto"/>
        <w:bottom w:val="none" w:sz="0" w:space="0" w:color="auto"/>
        <w:right w:val="none" w:sz="0" w:space="0" w:color="auto"/>
      </w:divBdr>
    </w:div>
    <w:div w:id="608395881">
      <w:bodyDiv w:val="1"/>
      <w:marLeft w:val="0"/>
      <w:marRight w:val="0"/>
      <w:marTop w:val="0"/>
      <w:marBottom w:val="0"/>
      <w:divBdr>
        <w:top w:val="none" w:sz="0" w:space="0" w:color="auto"/>
        <w:left w:val="none" w:sz="0" w:space="0" w:color="auto"/>
        <w:bottom w:val="none" w:sz="0" w:space="0" w:color="auto"/>
        <w:right w:val="none" w:sz="0" w:space="0" w:color="auto"/>
      </w:divBdr>
    </w:div>
    <w:div w:id="625045090">
      <w:bodyDiv w:val="1"/>
      <w:marLeft w:val="0"/>
      <w:marRight w:val="0"/>
      <w:marTop w:val="0"/>
      <w:marBottom w:val="0"/>
      <w:divBdr>
        <w:top w:val="none" w:sz="0" w:space="0" w:color="auto"/>
        <w:left w:val="none" w:sz="0" w:space="0" w:color="auto"/>
        <w:bottom w:val="none" w:sz="0" w:space="0" w:color="auto"/>
        <w:right w:val="none" w:sz="0" w:space="0" w:color="auto"/>
      </w:divBdr>
    </w:div>
    <w:div w:id="666901708">
      <w:bodyDiv w:val="1"/>
      <w:marLeft w:val="0"/>
      <w:marRight w:val="0"/>
      <w:marTop w:val="0"/>
      <w:marBottom w:val="0"/>
      <w:divBdr>
        <w:top w:val="none" w:sz="0" w:space="0" w:color="auto"/>
        <w:left w:val="none" w:sz="0" w:space="0" w:color="auto"/>
        <w:bottom w:val="none" w:sz="0" w:space="0" w:color="auto"/>
        <w:right w:val="none" w:sz="0" w:space="0" w:color="auto"/>
      </w:divBdr>
    </w:div>
    <w:div w:id="691103909">
      <w:bodyDiv w:val="1"/>
      <w:marLeft w:val="0"/>
      <w:marRight w:val="0"/>
      <w:marTop w:val="0"/>
      <w:marBottom w:val="0"/>
      <w:divBdr>
        <w:top w:val="none" w:sz="0" w:space="0" w:color="auto"/>
        <w:left w:val="none" w:sz="0" w:space="0" w:color="auto"/>
        <w:bottom w:val="none" w:sz="0" w:space="0" w:color="auto"/>
        <w:right w:val="none" w:sz="0" w:space="0" w:color="auto"/>
      </w:divBdr>
    </w:div>
    <w:div w:id="695348292">
      <w:bodyDiv w:val="1"/>
      <w:marLeft w:val="0"/>
      <w:marRight w:val="0"/>
      <w:marTop w:val="0"/>
      <w:marBottom w:val="0"/>
      <w:divBdr>
        <w:top w:val="none" w:sz="0" w:space="0" w:color="auto"/>
        <w:left w:val="none" w:sz="0" w:space="0" w:color="auto"/>
        <w:bottom w:val="none" w:sz="0" w:space="0" w:color="auto"/>
        <w:right w:val="none" w:sz="0" w:space="0" w:color="auto"/>
      </w:divBdr>
    </w:div>
    <w:div w:id="710769384">
      <w:bodyDiv w:val="1"/>
      <w:marLeft w:val="0"/>
      <w:marRight w:val="0"/>
      <w:marTop w:val="0"/>
      <w:marBottom w:val="0"/>
      <w:divBdr>
        <w:top w:val="none" w:sz="0" w:space="0" w:color="auto"/>
        <w:left w:val="none" w:sz="0" w:space="0" w:color="auto"/>
        <w:bottom w:val="none" w:sz="0" w:space="0" w:color="auto"/>
        <w:right w:val="none" w:sz="0" w:space="0" w:color="auto"/>
      </w:divBdr>
    </w:div>
    <w:div w:id="727218856">
      <w:bodyDiv w:val="1"/>
      <w:marLeft w:val="0"/>
      <w:marRight w:val="0"/>
      <w:marTop w:val="0"/>
      <w:marBottom w:val="0"/>
      <w:divBdr>
        <w:top w:val="none" w:sz="0" w:space="0" w:color="auto"/>
        <w:left w:val="none" w:sz="0" w:space="0" w:color="auto"/>
        <w:bottom w:val="none" w:sz="0" w:space="0" w:color="auto"/>
        <w:right w:val="none" w:sz="0" w:space="0" w:color="auto"/>
      </w:divBdr>
    </w:div>
    <w:div w:id="774521249">
      <w:bodyDiv w:val="1"/>
      <w:marLeft w:val="0"/>
      <w:marRight w:val="0"/>
      <w:marTop w:val="0"/>
      <w:marBottom w:val="0"/>
      <w:divBdr>
        <w:top w:val="none" w:sz="0" w:space="0" w:color="auto"/>
        <w:left w:val="none" w:sz="0" w:space="0" w:color="auto"/>
        <w:bottom w:val="none" w:sz="0" w:space="0" w:color="auto"/>
        <w:right w:val="none" w:sz="0" w:space="0" w:color="auto"/>
      </w:divBdr>
    </w:div>
    <w:div w:id="801462406">
      <w:bodyDiv w:val="1"/>
      <w:marLeft w:val="0"/>
      <w:marRight w:val="0"/>
      <w:marTop w:val="0"/>
      <w:marBottom w:val="0"/>
      <w:divBdr>
        <w:top w:val="none" w:sz="0" w:space="0" w:color="auto"/>
        <w:left w:val="none" w:sz="0" w:space="0" w:color="auto"/>
        <w:bottom w:val="none" w:sz="0" w:space="0" w:color="auto"/>
        <w:right w:val="none" w:sz="0" w:space="0" w:color="auto"/>
      </w:divBdr>
    </w:div>
    <w:div w:id="813715471">
      <w:bodyDiv w:val="1"/>
      <w:marLeft w:val="0"/>
      <w:marRight w:val="0"/>
      <w:marTop w:val="0"/>
      <w:marBottom w:val="0"/>
      <w:divBdr>
        <w:top w:val="none" w:sz="0" w:space="0" w:color="auto"/>
        <w:left w:val="none" w:sz="0" w:space="0" w:color="auto"/>
        <w:bottom w:val="none" w:sz="0" w:space="0" w:color="auto"/>
        <w:right w:val="none" w:sz="0" w:space="0" w:color="auto"/>
      </w:divBdr>
    </w:div>
    <w:div w:id="816185662">
      <w:bodyDiv w:val="1"/>
      <w:marLeft w:val="0"/>
      <w:marRight w:val="0"/>
      <w:marTop w:val="0"/>
      <w:marBottom w:val="0"/>
      <w:divBdr>
        <w:top w:val="none" w:sz="0" w:space="0" w:color="auto"/>
        <w:left w:val="none" w:sz="0" w:space="0" w:color="auto"/>
        <w:bottom w:val="none" w:sz="0" w:space="0" w:color="auto"/>
        <w:right w:val="none" w:sz="0" w:space="0" w:color="auto"/>
      </w:divBdr>
    </w:div>
    <w:div w:id="828517550">
      <w:bodyDiv w:val="1"/>
      <w:marLeft w:val="0"/>
      <w:marRight w:val="0"/>
      <w:marTop w:val="0"/>
      <w:marBottom w:val="0"/>
      <w:divBdr>
        <w:top w:val="none" w:sz="0" w:space="0" w:color="auto"/>
        <w:left w:val="none" w:sz="0" w:space="0" w:color="auto"/>
        <w:bottom w:val="none" w:sz="0" w:space="0" w:color="auto"/>
        <w:right w:val="none" w:sz="0" w:space="0" w:color="auto"/>
      </w:divBdr>
    </w:div>
    <w:div w:id="835072251">
      <w:bodyDiv w:val="1"/>
      <w:marLeft w:val="0"/>
      <w:marRight w:val="0"/>
      <w:marTop w:val="0"/>
      <w:marBottom w:val="0"/>
      <w:divBdr>
        <w:top w:val="none" w:sz="0" w:space="0" w:color="auto"/>
        <w:left w:val="none" w:sz="0" w:space="0" w:color="auto"/>
        <w:bottom w:val="none" w:sz="0" w:space="0" w:color="auto"/>
        <w:right w:val="none" w:sz="0" w:space="0" w:color="auto"/>
      </w:divBdr>
    </w:div>
    <w:div w:id="860050178">
      <w:bodyDiv w:val="1"/>
      <w:marLeft w:val="0"/>
      <w:marRight w:val="0"/>
      <w:marTop w:val="0"/>
      <w:marBottom w:val="0"/>
      <w:divBdr>
        <w:top w:val="none" w:sz="0" w:space="0" w:color="auto"/>
        <w:left w:val="none" w:sz="0" w:space="0" w:color="auto"/>
        <w:bottom w:val="none" w:sz="0" w:space="0" w:color="auto"/>
        <w:right w:val="none" w:sz="0" w:space="0" w:color="auto"/>
      </w:divBdr>
    </w:div>
    <w:div w:id="877427362">
      <w:bodyDiv w:val="1"/>
      <w:marLeft w:val="0"/>
      <w:marRight w:val="0"/>
      <w:marTop w:val="0"/>
      <w:marBottom w:val="0"/>
      <w:divBdr>
        <w:top w:val="none" w:sz="0" w:space="0" w:color="auto"/>
        <w:left w:val="none" w:sz="0" w:space="0" w:color="auto"/>
        <w:bottom w:val="none" w:sz="0" w:space="0" w:color="auto"/>
        <w:right w:val="none" w:sz="0" w:space="0" w:color="auto"/>
      </w:divBdr>
    </w:div>
    <w:div w:id="904533563">
      <w:bodyDiv w:val="1"/>
      <w:marLeft w:val="0"/>
      <w:marRight w:val="0"/>
      <w:marTop w:val="0"/>
      <w:marBottom w:val="0"/>
      <w:divBdr>
        <w:top w:val="none" w:sz="0" w:space="0" w:color="auto"/>
        <w:left w:val="none" w:sz="0" w:space="0" w:color="auto"/>
        <w:bottom w:val="none" w:sz="0" w:space="0" w:color="auto"/>
        <w:right w:val="none" w:sz="0" w:space="0" w:color="auto"/>
      </w:divBdr>
    </w:div>
    <w:div w:id="912084606">
      <w:bodyDiv w:val="1"/>
      <w:marLeft w:val="0"/>
      <w:marRight w:val="0"/>
      <w:marTop w:val="0"/>
      <w:marBottom w:val="0"/>
      <w:divBdr>
        <w:top w:val="none" w:sz="0" w:space="0" w:color="auto"/>
        <w:left w:val="none" w:sz="0" w:space="0" w:color="auto"/>
        <w:bottom w:val="none" w:sz="0" w:space="0" w:color="auto"/>
        <w:right w:val="none" w:sz="0" w:space="0" w:color="auto"/>
      </w:divBdr>
      <w:divsChild>
        <w:div w:id="135922549">
          <w:marLeft w:val="0"/>
          <w:marRight w:val="0"/>
          <w:marTop w:val="0"/>
          <w:marBottom w:val="0"/>
          <w:divBdr>
            <w:top w:val="none" w:sz="0" w:space="0" w:color="auto"/>
            <w:left w:val="none" w:sz="0" w:space="0" w:color="auto"/>
            <w:bottom w:val="none" w:sz="0" w:space="0" w:color="auto"/>
            <w:right w:val="none" w:sz="0" w:space="0" w:color="auto"/>
          </w:divBdr>
        </w:div>
      </w:divsChild>
    </w:div>
    <w:div w:id="925455429">
      <w:bodyDiv w:val="1"/>
      <w:marLeft w:val="0"/>
      <w:marRight w:val="0"/>
      <w:marTop w:val="0"/>
      <w:marBottom w:val="0"/>
      <w:divBdr>
        <w:top w:val="none" w:sz="0" w:space="0" w:color="auto"/>
        <w:left w:val="none" w:sz="0" w:space="0" w:color="auto"/>
        <w:bottom w:val="none" w:sz="0" w:space="0" w:color="auto"/>
        <w:right w:val="none" w:sz="0" w:space="0" w:color="auto"/>
      </w:divBdr>
    </w:div>
    <w:div w:id="942224314">
      <w:bodyDiv w:val="1"/>
      <w:marLeft w:val="0"/>
      <w:marRight w:val="0"/>
      <w:marTop w:val="0"/>
      <w:marBottom w:val="0"/>
      <w:divBdr>
        <w:top w:val="none" w:sz="0" w:space="0" w:color="auto"/>
        <w:left w:val="none" w:sz="0" w:space="0" w:color="auto"/>
        <w:bottom w:val="none" w:sz="0" w:space="0" w:color="auto"/>
        <w:right w:val="none" w:sz="0" w:space="0" w:color="auto"/>
      </w:divBdr>
    </w:div>
    <w:div w:id="970787211">
      <w:bodyDiv w:val="1"/>
      <w:marLeft w:val="0"/>
      <w:marRight w:val="0"/>
      <w:marTop w:val="0"/>
      <w:marBottom w:val="0"/>
      <w:divBdr>
        <w:top w:val="none" w:sz="0" w:space="0" w:color="auto"/>
        <w:left w:val="none" w:sz="0" w:space="0" w:color="auto"/>
        <w:bottom w:val="none" w:sz="0" w:space="0" w:color="auto"/>
        <w:right w:val="none" w:sz="0" w:space="0" w:color="auto"/>
      </w:divBdr>
    </w:div>
    <w:div w:id="974678497">
      <w:bodyDiv w:val="1"/>
      <w:marLeft w:val="0"/>
      <w:marRight w:val="0"/>
      <w:marTop w:val="0"/>
      <w:marBottom w:val="0"/>
      <w:divBdr>
        <w:top w:val="none" w:sz="0" w:space="0" w:color="auto"/>
        <w:left w:val="none" w:sz="0" w:space="0" w:color="auto"/>
        <w:bottom w:val="none" w:sz="0" w:space="0" w:color="auto"/>
        <w:right w:val="none" w:sz="0" w:space="0" w:color="auto"/>
      </w:divBdr>
    </w:div>
    <w:div w:id="987051240">
      <w:bodyDiv w:val="1"/>
      <w:marLeft w:val="0"/>
      <w:marRight w:val="0"/>
      <w:marTop w:val="0"/>
      <w:marBottom w:val="0"/>
      <w:divBdr>
        <w:top w:val="none" w:sz="0" w:space="0" w:color="auto"/>
        <w:left w:val="none" w:sz="0" w:space="0" w:color="auto"/>
        <w:bottom w:val="none" w:sz="0" w:space="0" w:color="auto"/>
        <w:right w:val="none" w:sz="0" w:space="0" w:color="auto"/>
      </w:divBdr>
    </w:div>
    <w:div w:id="998265308">
      <w:bodyDiv w:val="1"/>
      <w:marLeft w:val="0"/>
      <w:marRight w:val="0"/>
      <w:marTop w:val="0"/>
      <w:marBottom w:val="0"/>
      <w:divBdr>
        <w:top w:val="none" w:sz="0" w:space="0" w:color="auto"/>
        <w:left w:val="none" w:sz="0" w:space="0" w:color="auto"/>
        <w:bottom w:val="none" w:sz="0" w:space="0" w:color="auto"/>
        <w:right w:val="none" w:sz="0" w:space="0" w:color="auto"/>
      </w:divBdr>
    </w:div>
    <w:div w:id="1022322980">
      <w:bodyDiv w:val="1"/>
      <w:marLeft w:val="0"/>
      <w:marRight w:val="0"/>
      <w:marTop w:val="0"/>
      <w:marBottom w:val="0"/>
      <w:divBdr>
        <w:top w:val="none" w:sz="0" w:space="0" w:color="auto"/>
        <w:left w:val="none" w:sz="0" w:space="0" w:color="auto"/>
        <w:bottom w:val="none" w:sz="0" w:space="0" w:color="auto"/>
        <w:right w:val="none" w:sz="0" w:space="0" w:color="auto"/>
      </w:divBdr>
    </w:div>
    <w:div w:id="1028684153">
      <w:bodyDiv w:val="1"/>
      <w:marLeft w:val="0"/>
      <w:marRight w:val="0"/>
      <w:marTop w:val="0"/>
      <w:marBottom w:val="0"/>
      <w:divBdr>
        <w:top w:val="none" w:sz="0" w:space="0" w:color="auto"/>
        <w:left w:val="none" w:sz="0" w:space="0" w:color="auto"/>
        <w:bottom w:val="none" w:sz="0" w:space="0" w:color="auto"/>
        <w:right w:val="none" w:sz="0" w:space="0" w:color="auto"/>
      </w:divBdr>
    </w:div>
    <w:div w:id="1081875305">
      <w:bodyDiv w:val="1"/>
      <w:marLeft w:val="0"/>
      <w:marRight w:val="0"/>
      <w:marTop w:val="0"/>
      <w:marBottom w:val="0"/>
      <w:divBdr>
        <w:top w:val="none" w:sz="0" w:space="0" w:color="auto"/>
        <w:left w:val="none" w:sz="0" w:space="0" w:color="auto"/>
        <w:bottom w:val="none" w:sz="0" w:space="0" w:color="auto"/>
        <w:right w:val="none" w:sz="0" w:space="0" w:color="auto"/>
      </w:divBdr>
    </w:div>
    <w:div w:id="1084456578">
      <w:bodyDiv w:val="1"/>
      <w:marLeft w:val="0"/>
      <w:marRight w:val="0"/>
      <w:marTop w:val="0"/>
      <w:marBottom w:val="0"/>
      <w:divBdr>
        <w:top w:val="none" w:sz="0" w:space="0" w:color="auto"/>
        <w:left w:val="none" w:sz="0" w:space="0" w:color="auto"/>
        <w:bottom w:val="none" w:sz="0" w:space="0" w:color="auto"/>
        <w:right w:val="none" w:sz="0" w:space="0" w:color="auto"/>
      </w:divBdr>
    </w:div>
    <w:div w:id="1098060192">
      <w:bodyDiv w:val="1"/>
      <w:marLeft w:val="0"/>
      <w:marRight w:val="0"/>
      <w:marTop w:val="0"/>
      <w:marBottom w:val="0"/>
      <w:divBdr>
        <w:top w:val="none" w:sz="0" w:space="0" w:color="auto"/>
        <w:left w:val="none" w:sz="0" w:space="0" w:color="auto"/>
        <w:bottom w:val="none" w:sz="0" w:space="0" w:color="auto"/>
        <w:right w:val="none" w:sz="0" w:space="0" w:color="auto"/>
      </w:divBdr>
    </w:div>
    <w:div w:id="1144083331">
      <w:bodyDiv w:val="1"/>
      <w:marLeft w:val="0"/>
      <w:marRight w:val="0"/>
      <w:marTop w:val="0"/>
      <w:marBottom w:val="0"/>
      <w:divBdr>
        <w:top w:val="none" w:sz="0" w:space="0" w:color="auto"/>
        <w:left w:val="none" w:sz="0" w:space="0" w:color="auto"/>
        <w:bottom w:val="none" w:sz="0" w:space="0" w:color="auto"/>
        <w:right w:val="none" w:sz="0" w:space="0" w:color="auto"/>
      </w:divBdr>
    </w:div>
    <w:div w:id="1145001936">
      <w:bodyDiv w:val="1"/>
      <w:marLeft w:val="0"/>
      <w:marRight w:val="0"/>
      <w:marTop w:val="0"/>
      <w:marBottom w:val="0"/>
      <w:divBdr>
        <w:top w:val="none" w:sz="0" w:space="0" w:color="auto"/>
        <w:left w:val="none" w:sz="0" w:space="0" w:color="auto"/>
        <w:bottom w:val="none" w:sz="0" w:space="0" w:color="auto"/>
        <w:right w:val="none" w:sz="0" w:space="0" w:color="auto"/>
      </w:divBdr>
    </w:div>
    <w:div w:id="1145858783">
      <w:bodyDiv w:val="1"/>
      <w:marLeft w:val="0"/>
      <w:marRight w:val="0"/>
      <w:marTop w:val="0"/>
      <w:marBottom w:val="0"/>
      <w:divBdr>
        <w:top w:val="none" w:sz="0" w:space="0" w:color="auto"/>
        <w:left w:val="none" w:sz="0" w:space="0" w:color="auto"/>
        <w:bottom w:val="none" w:sz="0" w:space="0" w:color="auto"/>
        <w:right w:val="none" w:sz="0" w:space="0" w:color="auto"/>
      </w:divBdr>
    </w:div>
    <w:div w:id="1150709717">
      <w:bodyDiv w:val="1"/>
      <w:marLeft w:val="0"/>
      <w:marRight w:val="0"/>
      <w:marTop w:val="0"/>
      <w:marBottom w:val="0"/>
      <w:divBdr>
        <w:top w:val="none" w:sz="0" w:space="0" w:color="auto"/>
        <w:left w:val="none" w:sz="0" w:space="0" w:color="auto"/>
        <w:bottom w:val="none" w:sz="0" w:space="0" w:color="auto"/>
        <w:right w:val="none" w:sz="0" w:space="0" w:color="auto"/>
      </w:divBdr>
    </w:div>
    <w:div w:id="1152061671">
      <w:bodyDiv w:val="1"/>
      <w:marLeft w:val="0"/>
      <w:marRight w:val="0"/>
      <w:marTop w:val="0"/>
      <w:marBottom w:val="0"/>
      <w:divBdr>
        <w:top w:val="none" w:sz="0" w:space="0" w:color="auto"/>
        <w:left w:val="none" w:sz="0" w:space="0" w:color="auto"/>
        <w:bottom w:val="none" w:sz="0" w:space="0" w:color="auto"/>
        <w:right w:val="none" w:sz="0" w:space="0" w:color="auto"/>
      </w:divBdr>
    </w:div>
    <w:div w:id="1162281347">
      <w:bodyDiv w:val="1"/>
      <w:marLeft w:val="0"/>
      <w:marRight w:val="0"/>
      <w:marTop w:val="0"/>
      <w:marBottom w:val="0"/>
      <w:divBdr>
        <w:top w:val="none" w:sz="0" w:space="0" w:color="auto"/>
        <w:left w:val="none" w:sz="0" w:space="0" w:color="auto"/>
        <w:bottom w:val="none" w:sz="0" w:space="0" w:color="auto"/>
        <w:right w:val="none" w:sz="0" w:space="0" w:color="auto"/>
      </w:divBdr>
    </w:div>
    <w:div w:id="1272709985">
      <w:bodyDiv w:val="1"/>
      <w:marLeft w:val="0"/>
      <w:marRight w:val="0"/>
      <w:marTop w:val="0"/>
      <w:marBottom w:val="0"/>
      <w:divBdr>
        <w:top w:val="none" w:sz="0" w:space="0" w:color="auto"/>
        <w:left w:val="none" w:sz="0" w:space="0" w:color="auto"/>
        <w:bottom w:val="none" w:sz="0" w:space="0" w:color="auto"/>
        <w:right w:val="none" w:sz="0" w:space="0" w:color="auto"/>
      </w:divBdr>
    </w:div>
    <w:div w:id="1274246812">
      <w:bodyDiv w:val="1"/>
      <w:marLeft w:val="0"/>
      <w:marRight w:val="0"/>
      <w:marTop w:val="0"/>
      <w:marBottom w:val="0"/>
      <w:divBdr>
        <w:top w:val="none" w:sz="0" w:space="0" w:color="auto"/>
        <w:left w:val="none" w:sz="0" w:space="0" w:color="auto"/>
        <w:bottom w:val="none" w:sz="0" w:space="0" w:color="auto"/>
        <w:right w:val="none" w:sz="0" w:space="0" w:color="auto"/>
      </w:divBdr>
    </w:div>
    <w:div w:id="1307933863">
      <w:bodyDiv w:val="1"/>
      <w:marLeft w:val="0"/>
      <w:marRight w:val="0"/>
      <w:marTop w:val="0"/>
      <w:marBottom w:val="0"/>
      <w:divBdr>
        <w:top w:val="none" w:sz="0" w:space="0" w:color="auto"/>
        <w:left w:val="none" w:sz="0" w:space="0" w:color="auto"/>
        <w:bottom w:val="none" w:sz="0" w:space="0" w:color="auto"/>
        <w:right w:val="none" w:sz="0" w:space="0" w:color="auto"/>
      </w:divBdr>
    </w:div>
    <w:div w:id="1315722550">
      <w:bodyDiv w:val="1"/>
      <w:marLeft w:val="0"/>
      <w:marRight w:val="0"/>
      <w:marTop w:val="0"/>
      <w:marBottom w:val="0"/>
      <w:divBdr>
        <w:top w:val="none" w:sz="0" w:space="0" w:color="auto"/>
        <w:left w:val="none" w:sz="0" w:space="0" w:color="auto"/>
        <w:bottom w:val="none" w:sz="0" w:space="0" w:color="auto"/>
        <w:right w:val="none" w:sz="0" w:space="0" w:color="auto"/>
      </w:divBdr>
    </w:div>
    <w:div w:id="1323585496">
      <w:bodyDiv w:val="1"/>
      <w:marLeft w:val="0"/>
      <w:marRight w:val="0"/>
      <w:marTop w:val="0"/>
      <w:marBottom w:val="0"/>
      <w:divBdr>
        <w:top w:val="none" w:sz="0" w:space="0" w:color="auto"/>
        <w:left w:val="none" w:sz="0" w:space="0" w:color="auto"/>
        <w:bottom w:val="none" w:sz="0" w:space="0" w:color="auto"/>
        <w:right w:val="none" w:sz="0" w:space="0" w:color="auto"/>
      </w:divBdr>
    </w:div>
    <w:div w:id="1338924820">
      <w:bodyDiv w:val="1"/>
      <w:marLeft w:val="0"/>
      <w:marRight w:val="0"/>
      <w:marTop w:val="0"/>
      <w:marBottom w:val="0"/>
      <w:divBdr>
        <w:top w:val="none" w:sz="0" w:space="0" w:color="auto"/>
        <w:left w:val="none" w:sz="0" w:space="0" w:color="auto"/>
        <w:bottom w:val="none" w:sz="0" w:space="0" w:color="auto"/>
        <w:right w:val="none" w:sz="0" w:space="0" w:color="auto"/>
      </w:divBdr>
    </w:div>
    <w:div w:id="1343439004">
      <w:bodyDiv w:val="1"/>
      <w:marLeft w:val="0"/>
      <w:marRight w:val="0"/>
      <w:marTop w:val="0"/>
      <w:marBottom w:val="0"/>
      <w:divBdr>
        <w:top w:val="none" w:sz="0" w:space="0" w:color="auto"/>
        <w:left w:val="none" w:sz="0" w:space="0" w:color="auto"/>
        <w:bottom w:val="none" w:sz="0" w:space="0" w:color="auto"/>
        <w:right w:val="none" w:sz="0" w:space="0" w:color="auto"/>
      </w:divBdr>
    </w:div>
    <w:div w:id="1352221571">
      <w:bodyDiv w:val="1"/>
      <w:marLeft w:val="0"/>
      <w:marRight w:val="0"/>
      <w:marTop w:val="0"/>
      <w:marBottom w:val="0"/>
      <w:divBdr>
        <w:top w:val="none" w:sz="0" w:space="0" w:color="auto"/>
        <w:left w:val="none" w:sz="0" w:space="0" w:color="auto"/>
        <w:bottom w:val="none" w:sz="0" w:space="0" w:color="auto"/>
        <w:right w:val="none" w:sz="0" w:space="0" w:color="auto"/>
      </w:divBdr>
    </w:div>
    <w:div w:id="1359308082">
      <w:bodyDiv w:val="1"/>
      <w:marLeft w:val="0"/>
      <w:marRight w:val="0"/>
      <w:marTop w:val="0"/>
      <w:marBottom w:val="0"/>
      <w:divBdr>
        <w:top w:val="none" w:sz="0" w:space="0" w:color="auto"/>
        <w:left w:val="none" w:sz="0" w:space="0" w:color="auto"/>
        <w:bottom w:val="none" w:sz="0" w:space="0" w:color="auto"/>
        <w:right w:val="none" w:sz="0" w:space="0" w:color="auto"/>
      </w:divBdr>
    </w:div>
    <w:div w:id="1377389892">
      <w:bodyDiv w:val="1"/>
      <w:marLeft w:val="0"/>
      <w:marRight w:val="0"/>
      <w:marTop w:val="0"/>
      <w:marBottom w:val="0"/>
      <w:divBdr>
        <w:top w:val="none" w:sz="0" w:space="0" w:color="auto"/>
        <w:left w:val="none" w:sz="0" w:space="0" w:color="auto"/>
        <w:bottom w:val="none" w:sz="0" w:space="0" w:color="auto"/>
        <w:right w:val="none" w:sz="0" w:space="0" w:color="auto"/>
      </w:divBdr>
    </w:div>
    <w:div w:id="1404108933">
      <w:bodyDiv w:val="1"/>
      <w:marLeft w:val="0"/>
      <w:marRight w:val="0"/>
      <w:marTop w:val="0"/>
      <w:marBottom w:val="0"/>
      <w:divBdr>
        <w:top w:val="none" w:sz="0" w:space="0" w:color="auto"/>
        <w:left w:val="none" w:sz="0" w:space="0" w:color="auto"/>
        <w:bottom w:val="none" w:sz="0" w:space="0" w:color="auto"/>
        <w:right w:val="none" w:sz="0" w:space="0" w:color="auto"/>
      </w:divBdr>
    </w:div>
    <w:div w:id="1426456651">
      <w:bodyDiv w:val="1"/>
      <w:marLeft w:val="0"/>
      <w:marRight w:val="0"/>
      <w:marTop w:val="0"/>
      <w:marBottom w:val="0"/>
      <w:divBdr>
        <w:top w:val="none" w:sz="0" w:space="0" w:color="auto"/>
        <w:left w:val="none" w:sz="0" w:space="0" w:color="auto"/>
        <w:bottom w:val="none" w:sz="0" w:space="0" w:color="auto"/>
        <w:right w:val="none" w:sz="0" w:space="0" w:color="auto"/>
      </w:divBdr>
    </w:div>
    <w:div w:id="1470368048">
      <w:bodyDiv w:val="1"/>
      <w:marLeft w:val="0"/>
      <w:marRight w:val="0"/>
      <w:marTop w:val="0"/>
      <w:marBottom w:val="0"/>
      <w:divBdr>
        <w:top w:val="none" w:sz="0" w:space="0" w:color="auto"/>
        <w:left w:val="none" w:sz="0" w:space="0" w:color="auto"/>
        <w:bottom w:val="none" w:sz="0" w:space="0" w:color="auto"/>
        <w:right w:val="none" w:sz="0" w:space="0" w:color="auto"/>
      </w:divBdr>
    </w:div>
    <w:div w:id="1483932489">
      <w:bodyDiv w:val="1"/>
      <w:marLeft w:val="0"/>
      <w:marRight w:val="0"/>
      <w:marTop w:val="0"/>
      <w:marBottom w:val="0"/>
      <w:divBdr>
        <w:top w:val="none" w:sz="0" w:space="0" w:color="auto"/>
        <w:left w:val="none" w:sz="0" w:space="0" w:color="auto"/>
        <w:bottom w:val="none" w:sz="0" w:space="0" w:color="auto"/>
        <w:right w:val="none" w:sz="0" w:space="0" w:color="auto"/>
      </w:divBdr>
    </w:div>
    <w:div w:id="1541552251">
      <w:bodyDiv w:val="1"/>
      <w:marLeft w:val="0"/>
      <w:marRight w:val="0"/>
      <w:marTop w:val="0"/>
      <w:marBottom w:val="0"/>
      <w:divBdr>
        <w:top w:val="none" w:sz="0" w:space="0" w:color="auto"/>
        <w:left w:val="none" w:sz="0" w:space="0" w:color="auto"/>
        <w:bottom w:val="none" w:sz="0" w:space="0" w:color="auto"/>
        <w:right w:val="none" w:sz="0" w:space="0" w:color="auto"/>
      </w:divBdr>
    </w:div>
    <w:div w:id="1543320951">
      <w:bodyDiv w:val="1"/>
      <w:marLeft w:val="0"/>
      <w:marRight w:val="0"/>
      <w:marTop w:val="0"/>
      <w:marBottom w:val="0"/>
      <w:divBdr>
        <w:top w:val="none" w:sz="0" w:space="0" w:color="auto"/>
        <w:left w:val="none" w:sz="0" w:space="0" w:color="auto"/>
        <w:bottom w:val="none" w:sz="0" w:space="0" w:color="auto"/>
        <w:right w:val="none" w:sz="0" w:space="0" w:color="auto"/>
      </w:divBdr>
    </w:div>
    <w:div w:id="1575243651">
      <w:bodyDiv w:val="1"/>
      <w:marLeft w:val="0"/>
      <w:marRight w:val="0"/>
      <w:marTop w:val="0"/>
      <w:marBottom w:val="0"/>
      <w:divBdr>
        <w:top w:val="none" w:sz="0" w:space="0" w:color="auto"/>
        <w:left w:val="none" w:sz="0" w:space="0" w:color="auto"/>
        <w:bottom w:val="none" w:sz="0" w:space="0" w:color="auto"/>
        <w:right w:val="none" w:sz="0" w:space="0" w:color="auto"/>
      </w:divBdr>
    </w:div>
    <w:div w:id="1642151257">
      <w:bodyDiv w:val="1"/>
      <w:marLeft w:val="0"/>
      <w:marRight w:val="0"/>
      <w:marTop w:val="0"/>
      <w:marBottom w:val="0"/>
      <w:divBdr>
        <w:top w:val="none" w:sz="0" w:space="0" w:color="auto"/>
        <w:left w:val="none" w:sz="0" w:space="0" w:color="auto"/>
        <w:bottom w:val="none" w:sz="0" w:space="0" w:color="auto"/>
        <w:right w:val="none" w:sz="0" w:space="0" w:color="auto"/>
      </w:divBdr>
    </w:div>
    <w:div w:id="1686900737">
      <w:bodyDiv w:val="1"/>
      <w:marLeft w:val="0"/>
      <w:marRight w:val="0"/>
      <w:marTop w:val="0"/>
      <w:marBottom w:val="0"/>
      <w:divBdr>
        <w:top w:val="none" w:sz="0" w:space="0" w:color="auto"/>
        <w:left w:val="none" w:sz="0" w:space="0" w:color="auto"/>
        <w:bottom w:val="none" w:sz="0" w:space="0" w:color="auto"/>
        <w:right w:val="none" w:sz="0" w:space="0" w:color="auto"/>
      </w:divBdr>
    </w:div>
    <w:div w:id="1693874191">
      <w:bodyDiv w:val="1"/>
      <w:marLeft w:val="0"/>
      <w:marRight w:val="0"/>
      <w:marTop w:val="0"/>
      <w:marBottom w:val="0"/>
      <w:divBdr>
        <w:top w:val="none" w:sz="0" w:space="0" w:color="auto"/>
        <w:left w:val="none" w:sz="0" w:space="0" w:color="auto"/>
        <w:bottom w:val="none" w:sz="0" w:space="0" w:color="auto"/>
        <w:right w:val="none" w:sz="0" w:space="0" w:color="auto"/>
      </w:divBdr>
    </w:div>
    <w:div w:id="1724716899">
      <w:bodyDiv w:val="1"/>
      <w:marLeft w:val="0"/>
      <w:marRight w:val="0"/>
      <w:marTop w:val="0"/>
      <w:marBottom w:val="0"/>
      <w:divBdr>
        <w:top w:val="none" w:sz="0" w:space="0" w:color="auto"/>
        <w:left w:val="none" w:sz="0" w:space="0" w:color="auto"/>
        <w:bottom w:val="none" w:sz="0" w:space="0" w:color="auto"/>
        <w:right w:val="none" w:sz="0" w:space="0" w:color="auto"/>
      </w:divBdr>
    </w:div>
    <w:div w:id="1740901453">
      <w:bodyDiv w:val="1"/>
      <w:marLeft w:val="0"/>
      <w:marRight w:val="0"/>
      <w:marTop w:val="0"/>
      <w:marBottom w:val="0"/>
      <w:divBdr>
        <w:top w:val="none" w:sz="0" w:space="0" w:color="auto"/>
        <w:left w:val="none" w:sz="0" w:space="0" w:color="auto"/>
        <w:bottom w:val="none" w:sz="0" w:space="0" w:color="auto"/>
        <w:right w:val="none" w:sz="0" w:space="0" w:color="auto"/>
      </w:divBdr>
    </w:div>
    <w:div w:id="1774278847">
      <w:bodyDiv w:val="1"/>
      <w:marLeft w:val="0"/>
      <w:marRight w:val="0"/>
      <w:marTop w:val="0"/>
      <w:marBottom w:val="0"/>
      <w:divBdr>
        <w:top w:val="none" w:sz="0" w:space="0" w:color="auto"/>
        <w:left w:val="none" w:sz="0" w:space="0" w:color="auto"/>
        <w:bottom w:val="none" w:sz="0" w:space="0" w:color="auto"/>
        <w:right w:val="none" w:sz="0" w:space="0" w:color="auto"/>
      </w:divBdr>
    </w:div>
    <w:div w:id="1789591608">
      <w:bodyDiv w:val="1"/>
      <w:marLeft w:val="0"/>
      <w:marRight w:val="0"/>
      <w:marTop w:val="0"/>
      <w:marBottom w:val="0"/>
      <w:divBdr>
        <w:top w:val="none" w:sz="0" w:space="0" w:color="auto"/>
        <w:left w:val="none" w:sz="0" w:space="0" w:color="auto"/>
        <w:bottom w:val="none" w:sz="0" w:space="0" w:color="auto"/>
        <w:right w:val="none" w:sz="0" w:space="0" w:color="auto"/>
      </w:divBdr>
    </w:div>
    <w:div w:id="1796437823">
      <w:bodyDiv w:val="1"/>
      <w:marLeft w:val="0"/>
      <w:marRight w:val="0"/>
      <w:marTop w:val="0"/>
      <w:marBottom w:val="0"/>
      <w:divBdr>
        <w:top w:val="none" w:sz="0" w:space="0" w:color="auto"/>
        <w:left w:val="none" w:sz="0" w:space="0" w:color="auto"/>
        <w:bottom w:val="none" w:sz="0" w:space="0" w:color="auto"/>
        <w:right w:val="none" w:sz="0" w:space="0" w:color="auto"/>
      </w:divBdr>
      <w:divsChild>
        <w:div w:id="986012519">
          <w:marLeft w:val="0"/>
          <w:marRight w:val="0"/>
          <w:marTop w:val="0"/>
          <w:marBottom w:val="0"/>
          <w:divBdr>
            <w:top w:val="none" w:sz="0" w:space="0" w:color="auto"/>
            <w:left w:val="none" w:sz="0" w:space="0" w:color="auto"/>
            <w:bottom w:val="none" w:sz="0" w:space="0" w:color="auto"/>
            <w:right w:val="none" w:sz="0" w:space="0" w:color="auto"/>
          </w:divBdr>
          <w:divsChild>
            <w:div w:id="949438907">
              <w:marLeft w:val="0"/>
              <w:marRight w:val="0"/>
              <w:marTop w:val="0"/>
              <w:marBottom w:val="0"/>
              <w:divBdr>
                <w:top w:val="none" w:sz="0" w:space="0" w:color="auto"/>
                <w:left w:val="none" w:sz="0" w:space="0" w:color="auto"/>
                <w:bottom w:val="none" w:sz="0" w:space="0" w:color="auto"/>
                <w:right w:val="none" w:sz="0" w:space="0" w:color="auto"/>
              </w:divBdr>
            </w:div>
          </w:divsChild>
        </w:div>
        <w:div w:id="270820572">
          <w:marLeft w:val="0"/>
          <w:marRight w:val="0"/>
          <w:marTop w:val="0"/>
          <w:marBottom w:val="0"/>
          <w:divBdr>
            <w:top w:val="none" w:sz="0" w:space="0" w:color="auto"/>
            <w:left w:val="none" w:sz="0" w:space="0" w:color="auto"/>
            <w:bottom w:val="none" w:sz="0" w:space="0" w:color="auto"/>
            <w:right w:val="none" w:sz="0" w:space="0" w:color="auto"/>
          </w:divBdr>
        </w:div>
      </w:divsChild>
    </w:div>
    <w:div w:id="1801537595">
      <w:bodyDiv w:val="1"/>
      <w:marLeft w:val="0"/>
      <w:marRight w:val="0"/>
      <w:marTop w:val="0"/>
      <w:marBottom w:val="0"/>
      <w:divBdr>
        <w:top w:val="none" w:sz="0" w:space="0" w:color="auto"/>
        <w:left w:val="none" w:sz="0" w:space="0" w:color="auto"/>
        <w:bottom w:val="none" w:sz="0" w:space="0" w:color="auto"/>
        <w:right w:val="none" w:sz="0" w:space="0" w:color="auto"/>
      </w:divBdr>
    </w:div>
    <w:div w:id="1818450838">
      <w:bodyDiv w:val="1"/>
      <w:marLeft w:val="0"/>
      <w:marRight w:val="0"/>
      <w:marTop w:val="0"/>
      <w:marBottom w:val="0"/>
      <w:divBdr>
        <w:top w:val="none" w:sz="0" w:space="0" w:color="auto"/>
        <w:left w:val="none" w:sz="0" w:space="0" w:color="auto"/>
        <w:bottom w:val="none" w:sz="0" w:space="0" w:color="auto"/>
        <w:right w:val="none" w:sz="0" w:space="0" w:color="auto"/>
      </w:divBdr>
    </w:div>
    <w:div w:id="1853030417">
      <w:bodyDiv w:val="1"/>
      <w:marLeft w:val="0"/>
      <w:marRight w:val="0"/>
      <w:marTop w:val="0"/>
      <w:marBottom w:val="0"/>
      <w:divBdr>
        <w:top w:val="none" w:sz="0" w:space="0" w:color="auto"/>
        <w:left w:val="none" w:sz="0" w:space="0" w:color="auto"/>
        <w:bottom w:val="none" w:sz="0" w:space="0" w:color="auto"/>
        <w:right w:val="none" w:sz="0" w:space="0" w:color="auto"/>
      </w:divBdr>
    </w:div>
    <w:div w:id="1862746210">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78615628">
      <w:bodyDiv w:val="1"/>
      <w:marLeft w:val="0"/>
      <w:marRight w:val="0"/>
      <w:marTop w:val="0"/>
      <w:marBottom w:val="0"/>
      <w:divBdr>
        <w:top w:val="none" w:sz="0" w:space="0" w:color="auto"/>
        <w:left w:val="none" w:sz="0" w:space="0" w:color="auto"/>
        <w:bottom w:val="none" w:sz="0" w:space="0" w:color="auto"/>
        <w:right w:val="none" w:sz="0" w:space="0" w:color="auto"/>
      </w:divBdr>
    </w:div>
    <w:div w:id="1902016115">
      <w:bodyDiv w:val="1"/>
      <w:marLeft w:val="0"/>
      <w:marRight w:val="0"/>
      <w:marTop w:val="0"/>
      <w:marBottom w:val="0"/>
      <w:divBdr>
        <w:top w:val="none" w:sz="0" w:space="0" w:color="auto"/>
        <w:left w:val="none" w:sz="0" w:space="0" w:color="auto"/>
        <w:bottom w:val="none" w:sz="0" w:space="0" w:color="auto"/>
        <w:right w:val="none" w:sz="0" w:space="0" w:color="auto"/>
      </w:divBdr>
    </w:div>
    <w:div w:id="2009483186">
      <w:bodyDiv w:val="1"/>
      <w:marLeft w:val="0"/>
      <w:marRight w:val="0"/>
      <w:marTop w:val="0"/>
      <w:marBottom w:val="0"/>
      <w:divBdr>
        <w:top w:val="none" w:sz="0" w:space="0" w:color="auto"/>
        <w:left w:val="none" w:sz="0" w:space="0" w:color="auto"/>
        <w:bottom w:val="none" w:sz="0" w:space="0" w:color="auto"/>
        <w:right w:val="none" w:sz="0" w:space="0" w:color="auto"/>
      </w:divBdr>
    </w:div>
    <w:div w:id="2033409731">
      <w:bodyDiv w:val="1"/>
      <w:marLeft w:val="0"/>
      <w:marRight w:val="0"/>
      <w:marTop w:val="0"/>
      <w:marBottom w:val="0"/>
      <w:divBdr>
        <w:top w:val="none" w:sz="0" w:space="0" w:color="auto"/>
        <w:left w:val="none" w:sz="0" w:space="0" w:color="auto"/>
        <w:bottom w:val="none" w:sz="0" w:space="0" w:color="auto"/>
        <w:right w:val="none" w:sz="0" w:space="0" w:color="auto"/>
      </w:divBdr>
      <w:divsChild>
        <w:div w:id="569584425">
          <w:marLeft w:val="720"/>
          <w:marRight w:val="0"/>
          <w:marTop w:val="0"/>
          <w:marBottom w:val="0"/>
          <w:divBdr>
            <w:top w:val="none" w:sz="0" w:space="0" w:color="auto"/>
            <w:left w:val="none" w:sz="0" w:space="0" w:color="auto"/>
            <w:bottom w:val="none" w:sz="0" w:space="0" w:color="auto"/>
            <w:right w:val="none" w:sz="0" w:space="0" w:color="auto"/>
          </w:divBdr>
        </w:div>
        <w:div w:id="641931350">
          <w:marLeft w:val="720"/>
          <w:marRight w:val="0"/>
          <w:marTop w:val="0"/>
          <w:marBottom w:val="0"/>
          <w:divBdr>
            <w:top w:val="none" w:sz="0" w:space="0" w:color="auto"/>
            <w:left w:val="none" w:sz="0" w:space="0" w:color="auto"/>
            <w:bottom w:val="none" w:sz="0" w:space="0" w:color="auto"/>
            <w:right w:val="none" w:sz="0" w:space="0" w:color="auto"/>
          </w:divBdr>
        </w:div>
        <w:div w:id="1196767693">
          <w:marLeft w:val="720"/>
          <w:marRight w:val="0"/>
          <w:marTop w:val="0"/>
          <w:marBottom w:val="0"/>
          <w:divBdr>
            <w:top w:val="none" w:sz="0" w:space="0" w:color="auto"/>
            <w:left w:val="none" w:sz="0" w:space="0" w:color="auto"/>
            <w:bottom w:val="none" w:sz="0" w:space="0" w:color="auto"/>
            <w:right w:val="none" w:sz="0" w:space="0" w:color="auto"/>
          </w:divBdr>
        </w:div>
      </w:divsChild>
    </w:div>
    <w:div w:id="2055110462">
      <w:bodyDiv w:val="1"/>
      <w:marLeft w:val="0"/>
      <w:marRight w:val="0"/>
      <w:marTop w:val="0"/>
      <w:marBottom w:val="0"/>
      <w:divBdr>
        <w:top w:val="none" w:sz="0" w:space="0" w:color="auto"/>
        <w:left w:val="none" w:sz="0" w:space="0" w:color="auto"/>
        <w:bottom w:val="none" w:sz="0" w:space="0" w:color="auto"/>
        <w:right w:val="none" w:sz="0" w:space="0" w:color="auto"/>
      </w:divBdr>
    </w:div>
    <w:div w:id="2087654314">
      <w:bodyDiv w:val="1"/>
      <w:marLeft w:val="0"/>
      <w:marRight w:val="0"/>
      <w:marTop w:val="0"/>
      <w:marBottom w:val="0"/>
      <w:divBdr>
        <w:top w:val="none" w:sz="0" w:space="0" w:color="auto"/>
        <w:left w:val="none" w:sz="0" w:space="0" w:color="auto"/>
        <w:bottom w:val="none" w:sz="0" w:space="0" w:color="auto"/>
        <w:right w:val="none" w:sz="0" w:space="0" w:color="auto"/>
      </w:divBdr>
    </w:div>
    <w:div w:id="2107264195">
      <w:bodyDiv w:val="1"/>
      <w:marLeft w:val="0"/>
      <w:marRight w:val="0"/>
      <w:marTop w:val="0"/>
      <w:marBottom w:val="0"/>
      <w:divBdr>
        <w:top w:val="none" w:sz="0" w:space="0" w:color="auto"/>
        <w:left w:val="none" w:sz="0" w:space="0" w:color="auto"/>
        <w:bottom w:val="none" w:sz="0" w:space="0" w:color="auto"/>
        <w:right w:val="none" w:sz="0" w:space="0" w:color="auto"/>
      </w:divBdr>
    </w:div>
    <w:div w:id="2121752386">
      <w:bodyDiv w:val="1"/>
      <w:marLeft w:val="0"/>
      <w:marRight w:val="0"/>
      <w:marTop w:val="0"/>
      <w:marBottom w:val="0"/>
      <w:divBdr>
        <w:top w:val="none" w:sz="0" w:space="0" w:color="auto"/>
        <w:left w:val="none" w:sz="0" w:space="0" w:color="auto"/>
        <w:bottom w:val="none" w:sz="0" w:space="0" w:color="auto"/>
        <w:right w:val="none" w:sz="0" w:space="0" w:color="auto"/>
      </w:divBdr>
    </w:div>
    <w:div w:id="21379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943432" TargetMode="External"/><Relationship Id="rId13" Type="http://schemas.openxmlformats.org/officeDocument/2006/relationships/hyperlink" Target="https://www.ecb.europa.eu/pub/pdf/scpwps/ecbwp1912.en.pdf?523f20d72f5358fec238d5ec7d06b12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bresearch.com/PROD/RPS_EN-PROD/PROD0000000000444503/Corporate_bond_issuance_in_Europe%3A_Where_do_we_sta.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magroup.org/assets/documents/Regulatory/Secondary-markets/The-state-of-the-European-investment-grade-corporate-bond-secondary-market_ICMA-SMPC_Report-251114-Final3.pdf" TargetMode="External"/><Relationship Id="rId5" Type="http://schemas.openxmlformats.org/officeDocument/2006/relationships/webSettings" Target="webSettings.xml"/><Relationship Id="rId15" Type="http://schemas.openxmlformats.org/officeDocument/2006/relationships/hyperlink" Target="http://www.oliverwyman.com/content/dam/oliver-wyman/global/en/2016/mar/Wholesale_Banks_and_Asset_Managers_2016.fv.pdf" TargetMode="External"/><Relationship Id="rId10" Type="http://schemas.openxmlformats.org/officeDocument/2006/relationships/hyperlink" Target="http://www.eurofi.net/wp-content/uploads/2014/09/Stimulating-EU-corporate-bond-We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pmorgan.com/tss/General/E-mail_Market_Updates/1320514322055" TargetMode="External"/><Relationship Id="rId14" Type="http://schemas.openxmlformats.org/officeDocument/2006/relationships/hyperlink" Target="https://www.globalcapital.com/article/b16bdlcwc3fwb9/corporate-debt-how-many-investment-banks-does-it-take-to-sell-a-b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42631-CBF2-4744-9E0E-97063B24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15269</Words>
  <Characters>87034</Characters>
  <Application>Microsoft Office Word</Application>
  <DocSecurity>0</DocSecurity>
  <Lines>725</Lines>
  <Paragraphs>204</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1. Introduction</vt:lpstr>
      <vt:lpstr>2. Bookrunner syndicate determinants </vt:lpstr>
      <vt:lpstr>    2.1. Bookrunner syndicate formation and their roles</vt:lpstr>
      <vt:lpstr>    2.2. Bookrunner syndicate geography and the quality of their service </vt:lpstr>
      <vt:lpstr>    2.3. Impact of crises (global financial and the eurozone)</vt:lpstr>
      <vt:lpstr>3. Sample construction, dependent variable, and empirical determinants</vt:lpstr>
      <vt:lpstr>    3.1. Sample construction </vt:lpstr>
      <vt:lpstr>    3.2. At-issue credit spread as a measure of the quality of bookrunner services</vt:lpstr>
      <vt:lpstr>    3.3. Bookrunner geography and other syndicate decision criteria </vt:lpstr>
      <vt:lpstr>    3.4. Model specification and instrumental variable</vt:lpstr>
      <vt:lpstr>    3.5. Control variables</vt:lpstr>
      <vt:lpstr>4. Empirical analysis</vt:lpstr>
      <vt:lpstr>    4.1. Summary statistics by issuer country</vt:lpstr>
      <vt:lpstr>    4.2. The impact of bookrunner geography on the quality of service</vt:lpstr>
      <vt:lpstr>        4.2.1. Active bookrunners</vt:lpstr>
      <vt:lpstr>        4.2.2. Size of investor network</vt:lpstr>
      <vt:lpstr>        4.2.3. Investor allocation and bond demand</vt:lpstr>
      <vt:lpstr>    4.3. Impact of the crises on bookrunner syndicates and at-issue credit spreads</vt:lpstr>
      <vt:lpstr>    4.4. Estimating the economic effect of syndicate geography on at-issue credit sp</vt:lpstr>
      <vt:lpstr>    4.5. Robustness tests</vt:lpstr>
      <vt:lpstr>        4.5.1. Sample exclusions </vt:lpstr>
      <vt:lpstr>        4.5.2. Bookrunner lending commitments in the domestic economy </vt:lpstr>
      <vt:lpstr>        4.5.3. Alternative instrumental variables</vt:lpstr>
      <vt:lpstr>5. Conclusions</vt:lpstr>
      <vt:lpstr>References</vt:lpstr>
      <vt:lpstr>    Table 1 </vt:lpstr>
      <vt:lpstr>    Variable definitions and data sources.</vt:lpstr>
      <vt:lpstr>    Variable definitions and data sources.</vt:lpstr>
      <vt:lpstr>    Table 2</vt:lpstr>
      <vt:lpstr>    Summary statistics of bookrunner characteristics and control factors.</vt:lpstr>
      <vt:lpstr>    </vt:lpstr>
      <vt:lpstr>    Table 3</vt:lpstr>
      <vt:lpstr>    Regression analysis of impact of bookrunner syndicate geography on at-issue cred</vt:lpstr>
      <vt:lpstr>    The table reports the results of an instrumental variable two-stage least square</vt:lpstr>
      <vt:lpstr>    Alternative definitions of non-domestic bookrunners.</vt:lpstr>
      <vt:lpstr>    Impact of bookrunner geography on domestic allocations and oversubscription</vt:lpstr>
      <vt:lpstr>    Univariate comparison of tranche and issuer characteristics for pre- and post-fi</vt:lpstr>
      <vt:lpstr>    Impact of bookrunner geography on at-issue credit spread surrounding financial c</vt:lpstr>
      <vt:lpstr>    Economic impact of majority non-domestic bookrunner syndicate on at-issue credit</vt:lpstr>
      <vt:lpstr>    Robustness tests for country exclusions</vt:lpstr>
    </vt:vector>
  </TitlesOfParts>
  <Company>Microsoft</Company>
  <LinksUpToDate>false</LinksUpToDate>
  <CharactersWithSpaces>102099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McColgan</dc:creator>
  <cp:lastModifiedBy>Andrew Marshall</cp:lastModifiedBy>
  <cp:revision>5</cp:revision>
  <cp:lastPrinted>2020-03-12T14:09:00Z</cp:lastPrinted>
  <dcterms:created xsi:type="dcterms:W3CDTF">2021-09-10T09:41:00Z</dcterms:created>
  <dcterms:modified xsi:type="dcterms:W3CDTF">2021-09-10T09:46:00Z</dcterms:modified>
</cp:coreProperties>
</file>