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F6B" w:rsidRDefault="00316D3B" w:rsidP="009E0B8B">
      <w:pPr>
        <w:pStyle w:val="Title"/>
        <w:jc w:val="center"/>
      </w:pPr>
      <w:r>
        <w:t>Marketing Education in France</w:t>
      </w:r>
    </w:p>
    <w:p w:rsidR="00316D3B" w:rsidRPr="0025280A" w:rsidRDefault="000335F0" w:rsidP="0025280A">
      <w:pPr>
        <w:pStyle w:val="Heading3"/>
        <w:rPr>
          <w:rStyle w:val="Heading2Char"/>
          <w:rFonts w:asciiTheme="majorHAnsi" w:eastAsiaTheme="majorEastAsia" w:hAnsiTheme="majorHAnsi" w:cstheme="majorBidi"/>
          <w:b/>
          <w:bCs/>
          <w:i w:val="0"/>
          <w:iCs w:val="0"/>
          <w:sz w:val="24"/>
          <w:szCs w:val="24"/>
        </w:rPr>
      </w:pPr>
      <w:r w:rsidRPr="0025280A">
        <w:rPr>
          <w:rStyle w:val="Heading2Char"/>
          <w:rFonts w:asciiTheme="majorHAnsi" w:eastAsiaTheme="majorEastAsia" w:hAnsiTheme="majorHAnsi" w:cstheme="majorBidi"/>
          <w:b/>
          <w:bCs/>
          <w:i w:val="0"/>
          <w:iCs w:val="0"/>
          <w:sz w:val="24"/>
          <w:szCs w:val="24"/>
        </w:rPr>
        <w:t>Introduction</w:t>
      </w:r>
    </w:p>
    <w:p w:rsidR="000335F0" w:rsidRDefault="000335F0" w:rsidP="009E0B8B"/>
    <w:p w:rsidR="00316D3B" w:rsidRDefault="000335F0" w:rsidP="009E0B8B">
      <w:pPr>
        <w:jc w:val="both"/>
      </w:pPr>
      <w:r>
        <w:t>At first presenting a summary of literature on or around the topic of the philosophy and design of marketing education programmes generally, this paper then moves on to consider current practice in France</w:t>
      </w:r>
      <w:r w:rsidR="00045F4E">
        <w:t>, noting specific strengths emerging from a distinctive educational culture.</w:t>
      </w:r>
      <w:r>
        <w:t xml:space="preserve"> Data is presented on programme structure and coverage from a sample of 31 French HEIs alongside limited output from a small sample of informal interviews with stakeholders. The paper concludes by assessing and comparing current offerings between the UK and France and comments on how evolutionary pressures are </w:t>
      </w:r>
      <w:r w:rsidR="00045F4E">
        <w:t xml:space="preserve">possibly </w:t>
      </w:r>
      <w:r>
        <w:t xml:space="preserve">eroding the </w:t>
      </w:r>
      <w:r w:rsidR="00045F4E">
        <w:t>positive distinguishing</w:t>
      </w:r>
      <w:r>
        <w:t xml:space="preserve"> </w:t>
      </w:r>
      <w:r w:rsidR="006906FB">
        <w:t xml:space="preserve">features </w:t>
      </w:r>
      <w:r>
        <w:t>of French Marketing Education.</w:t>
      </w:r>
    </w:p>
    <w:p w:rsidR="000335F0" w:rsidRPr="009E0B8B" w:rsidRDefault="000335F0" w:rsidP="009E0B8B"/>
    <w:p w:rsidR="00446181" w:rsidRPr="0025280A" w:rsidRDefault="00446181" w:rsidP="0025280A">
      <w:pPr>
        <w:pStyle w:val="Heading3"/>
      </w:pPr>
      <w:proofErr w:type="gramStart"/>
      <w:r w:rsidRPr="0025280A">
        <w:rPr>
          <w:rStyle w:val="Heading2Char"/>
          <w:rFonts w:asciiTheme="majorHAnsi" w:eastAsiaTheme="majorEastAsia" w:hAnsiTheme="majorHAnsi" w:cstheme="majorBidi"/>
          <w:b/>
          <w:bCs/>
          <w:i w:val="0"/>
          <w:iCs w:val="0"/>
          <w:sz w:val="24"/>
          <w:szCs w:val="24"/>
        </w:rPr>
        <w:t>Reflections on Marketing Education</w:t>
      </w:r>
      <w:r w:rsidRPr="0025280A">
        <w:t>.</w:t>
      </w:r>
      <w:proofErr w:type="gramEnd"/>
    </w:p>
    <w:p w:rsidR="008A769C" w:rsidRDefault="008A769C" w:rsidP="002A354E">
      <w:pPr>
        <w:jc w:val="both"/>
      </w:pPr>
    </w:p>
    <w:p w:rsidR="008A769C" w:rsidRPr="00B1568A" w:rsidRDefault="00B1568A" w:rsidP="002A354E">
      <w:pPr>
        <w:jc w:val="both"/>
        <w:rPr>
          <w:color w:val="000000" w:themeColor="text1"/>
        </w:rPr>
      </w:pPr>
      <w:proofErr w:type="gramStart"/>
      <w:r w:rsidRPr="00B1568A">
        <w:rPr>
          <w:i/>
          <w:color w:val="000000" w:themeColor="text1"/>
        </w:rPr>
        <w:t>‘</w:t>
      </w:r>
      <w:r w:rsidR="008A769C" w:rsidRPr="00B1568A">
        <w:rPr>
          <w:i/>
          <w:color w:val="000000" w:themeColor="text1"/>
        </w:rPr>
        <w:t>Overall, in both research and education, marketing academics face a challenge that can be more easily stated than solved.</w:t>
      </w:r>
      <w:proofErr w:type="gramEnd"/>
      <w:r w:rsidR="008A769C" w:rsidRPr="00B1568A">
        <w:rPr>
          <w:i/>
          <w:color w:val="000000" w:themeColor="text1"/>
        </w:rPr>
        <w:t xml:space="preserve"> It is this: How can marketing academics get closer to, and contribute to, the world of marketing practice, and yet maintain sufficient independence and objectivity so as to retain the fundamental integrity that defines their unique contribution to knowledge production and dissemination? Too close, and research becomes consultancy, students become trainees. Too distant, and marketing education becomes irrelevant, students learn nothing of value to their future careers</w:t>
      </w:r>
      <w:r>
        <w:rPr>
          <w:i/>
          <w:color w:val="000000" w:themeColor="text1"/>
        </w:rPr>
        <w:t>’</w:t>
      </w:r>
      <w:r w:rsidR="008A769C" w:rsidRPr="00B1568A">
        <w:rPr>
          <w:i/>
          <w:color w:val="000000" w:themeColor="text1"/>
        </w:rPr>
        <w:t>.</w:t>
      </w:r>
      <w:r w:rsidR="008A769C" w:rsidRPr="00B1568A">
        <w:rPr>
          <w:color w:val="000000" w:themeColor="text1"/>
        </w:rPr>
        <w:t xml:space="preserve"> </w:t>
      </w:r>
      <w:r w:rsidRPr="00B1568A">
        <w:rPr>
          <w:color w:val="000000" w:themeColor="text1"/>
        </w:rPr>
        <w:t>(</w:t>
      </w:r>
      <w:proofErr w:type="spellStart"/>
      <w:r w:rsidRPr="00B1568A">
        <w:rPr>
          <w:color w:val="000000" w:themeColor="text1"/>
        </w:rPr>
        <w:t>Stringfellow</w:t>
      </w:r>
      <w:proofErr w:type="spellEnd"/>
      <w:r w:rsidRPr="00B1568A">
        <w:rPr>
          <w:color w:val="000000" w:themeColor="text1"/>
        </w:rPr>
        <w:t xml:space="preserve"> et al, 2006: 247)</w:t>
      </w:r>
    </w:p>
    <w:p w:rsidR="008A769C" w:rsidRDefault="008A769C" w:rsidP="002A354E">
      <w:pPr>
        <w:jc w:val="both"/>
      </w:pPr>
    </w:p>
    <w:p w:rsidR="00446181" w:rsidRDefault="00446181" w:rsidP="002A354E">
      <w:pPr>
        <w:jc w:val="both"/>
      </w:pPr>
      <w:r>
        <w:t>A great deal of previous literature exists that comments upon and investigates higher education – a sector of the global economy undergoing significant changes as a result of environmental pressures (</w:t>
      </w:r>
      <w:r w:rsidR="00704E23">
        <w:t xml:space="preserve">Prince and Stewart, 2000; </w:t>
      </w:r>
      <w:r>
        <w:t>Conway et al, 1994; Lomas, 1997). Unsurprisingly, a good proportion takes a tighter focus on business education generally (</w:t>
      </w:r>
      <w:proofErr w:type="spellStart"/>
      <w:r>
        <w:t>Hawawini</w:t>
      </w:r>
      <w:proofErr w:type="spellEnd"/>
      <w:r>
        <w:t xml:space="preserve">, 2005; </w:t>
      </w:r>
      <w:proofErr w:type="spellStart"/>
      <w:r>
        <w:t>Narayandas</w:t>
      </w:r>
      <w:proofErr w:type="spellEnd"/>
      <w:r>
        <w:t xml:space="preserve"> et al, 1998), and marketing education specifically. </w:t>
      </w:r>
    </w:p>
    <w:p w:rsidR="00446181" w:rsidRDefault="00446181" w:rsidP="002A354E">
      <w:pPr>
        <w:jc w:val="both"/>
      </w:pPr>
    </w:p>
    <w:p w:rsidR="00446181" w:rsidRDefault="00446181" w:rsidP="002A354E">
      <w:pPr>
        <w:jc w:val="both"/>
      </w:pPr>
      <w:r>
        <w:t xml:space="preserve">What are these environmental pressures? </w:t>
      </w:r>
      <w:r w:rsidR="002A354E">
        <w:t>At the macro/sector level t</w:t>
      </w:r>
      <w:r>
        <w:t>here are many, but recent examples of forces impacting on institutions include fees in England and Wales, order-of magnitude expansions in undergraduate capacity in China and India and the</w:t>
      </w:r>
      <w:r w:rsidR="002A354E">
        <w:t xml:space="preserve"> </w:t>
      </w:r>
      <w:r>
        <w:t xml:space="preserve">rapid improvements to perceived-quality levels of national HE brands in </w:t>
      </w:r>
      <w:r w:rsidR="002A354E">
        <w:t>[for example] Australia and New Zealand (</w:t>
      </w:r>
      <w:proofErr w:type="spellStart"/>
      <w:r w:rsidR="002A354E">
        <w:t>Mazzarol</w:t>
      </w:r>
      <w:proofErr w:type="spellEnd"/>
      <w:r w:rsidR="002A354E">
        <w:t xml:space="preserve"> and </w:t>
      </w:r>
      <w:proofErr w:type="spellStart"/>
      <w:r w:rsidR="002A354E">
        <w:t>Soutar</w:t>
      </w:r>
      <w:proofErr w:type="spellEnd"/>
      <w:r w:rsidR="002A354E">
        <w:t>, 2002; Danaher and Star, 1998)</w:t>
      </w:r>
      <w:r w:rsidR="008A5460">
        <w:t xml:space="preserve"> and of course the </w:t>
      </w:r>
      <w:r w:rsidR="0096161C">
        <w:t xml:space="preserve"> increasing value of accreditation by authorities such as AACSB, EQUIS and AMBA (Scherer et al., 2005)</w:t>
      </w:r>
      <w:r w:rsidR="008A5460">
        <w:t xml:space="preserve"> – increased value at least </w:t>
      </w:r>
      <w:r w:rsidR="003506C5">
        <w:t xml:space="preserve">[at most?] </w:t>
      </w:r>
      <w:r w:rsidR="008A5460">
        <w:t xml:space="preserve">in attracting students to programmes. </w:t>
      </w:r>
      <w:r w:rsidR="00045F4E">
        <w:t xml:space="preserve">Recent legislative changes have made student-entry to the UK more difficult for students </w:t>
      </w:r>
      <w:r w:rsidR="006906FB">
        <w:t>from</w:t>
      </w:r>
      <w:r w:rsidR="00045F4E">
        <w:t xml:space="preserve"> key markets - a significant issue for taught post-graduate programme managers</w:t>
      </w:r>
      <w:r w:rsidR="00793EBB">
        <w:t>, to the extent that insurance covering against visa-revocation and institutional chaos will shortly become available (Matthews, 2013)</w:t>
      </w:r>
      <w:r w:rsidR="00D25C36">
        <w:t xml:space="preserve">. </w:t>
      </w:r>
    </w:p>
    <w:p w:rsidR="00862ACF" w:rsidRDefault="00862ACF" w:rsidP="002A354E">
      <w:pPr>
        <w:jc w:val="both"/>
      </w:pPr>
    </w:p>
    <w:p w:rsidR="00D25C36" w:rsidRDefault="00E175B3" w:rsidP="002A354E">
      <w:pPr>
        <w:jc w:val="both"/>
      </w:pPr>
      <w:r>
        <w:t xml:space="preserve">At a tighter level of focus, there has been considerable recent discussion in respect of the tactics and strategy of marketing pedagogy. </w:t>
      </w:r>
      <w:r w:rsidR="00D25C36">
        <w:t xml:space="preserve">A good overview of this essentially reflective process is given by </w:t>
      </w:r>
      <w:proofErr w:type="spellStart"/>
      <w:r w:rsidR="00D25C36">
        <w:t>Tregear</w:t>
      </w:r>
      <w:proofErr w:type="spellEnd"/>
      <w:r w:rsidR="00D25C36">
        <w:t xml:space="preserve"> et al (2010) who investigated thoughts and opinions through a nationwide survey of UK marketing educators after a series of interviews. </w:t>
      </w:r>
      <w:r>
        <w:t xml:space="preserve">Foremost in this discussion has been the relevance of marketing education and literature to practice – </w:t>
      </w:r>
      <w:r w:rsidR="00F06663">
        <w:t xml:space="preserve">within that key questions are: </w:t>
      </w:r>
      <w:r w:rsidR="007B4A1E">
        <w:t>what constitutes</w:t>
      </w:r>
      <w:r w:rsidR="00F06663">
        <w:t xml:space="preserve"> key skills and knowledge for marketers and can marketing educators provide that (</w:t>
      </w:r>
      <w:proofErr w:type="spellStart"/>
      <w:r w:rsidR="00F06663">
        <w:t>Gray</w:t>
      </w:r>
      <w:proofErr w:type="spellEnd"/>
      <w:r w:rsidR="00F06663">
        <w:t xml:space="preserve"> et al, 2007)? Additionally, is academic research of </w:t>
      </w:r>
      <w:r w:rsidR="00F06663">
        <w:lastRenderedPageBreak/>
        <w:t xml:space="preserve">any relevance or value </w:t>
      </w:r>
      <w:r w:rsidR="007B4A1E">
        <w:t xml:space="preserve">(Aram and </w:t>
      </w:r>
      <w:proofErr w:type="spellStart"/>
      <w:r w:rsidR="007B4A1E">
        <w:t>Salipante</w:t>
      </w:r>
      <w:proofErr w:type="spellEnd"/>
      <w:r w:rsidR="007B4A1E">
        <w:t>, 2003</w:t>
      </w:r>
      <w:r w:rsidR="00182391">
        <w:t xml:space="preserve">; </w:t>
      </w:r>
      <w:proofErr w:type="spellStart"/>
      <w:r w:rsidR="00182391">
        <w:t>Hodgkinson</w:t>
      </w:r>
      <w:proofErr w:type="spellEnd"/>
      <w:r w:rsidR="00182391">
        <w:t xml:space="preserve"> et al, 2001)</w:t>
      </w:r>
      <w:r w:rsidR="007B4A1E">
        <w:t xml:space="preserve"> </w:t>
      </w:r>
      <w:r w:rsidR="00182391">
        <w:t xml:space="preserve">to practitioners and if not is it something to worry about (Brennan, 2004; Das, 2003)? </w:t>
      </w:r>
      <w:proofErr w:type="spellStart"/>
      <w:r w:rsidR="00182391">
        <w:t>O’Driscoll</w:t>
      </w:r>
      <w:proofErr w:type="spellEnd"/>
      <w:r w:rsidR="00182391">
        <w:t xml:space="preserve"> and Murray (1998) believe strongly that it is.</w:t>
      </w:r>
    </w:p>
    <w:p w:rsidR="00D25C36" w:rsidRDefault="00D25C36" w:rsidP="002A354E">
      <w:pPr>
        <w:jc w:val="both"/>
      </w:pPr>
    </w:p>
    <w:p w:rsidR="00E175B3" w:rsidRDefault="00D25C36" w:rsidP="00E175B3">
      <w:pPr>
        <w:jc w:val="both"/>
        <w:rPr>
          <w:color w:val="000000"/>
        </w:rPr>
      </w:pPr>
      <w:r>
        <w:t xml:space="preserve">On the former question, </w:t>
      </w:r>
      <w:proofErr w:type="spellStart"/>
      <w:r>
        <w:t>Tregear</w:t>
      </w:r>
      <w:proofErr w:type="spellEnd"/>
      <w:r>
        <w:t xml:space="preserve"> et al found divergent opinion about </w:t>
      </w:r>
      <w:r w:rsidRPr="00D25C36">
        <w:t>whether curricula should be driven by industry</w:t>
      </w:r>
      <w:r w:rsidR="006535B8">
        <w:t xml:space="preserve"> and Gibson-Sweet et al (2010) found using a small survey that marketing faculty were focused on very pragmatic/fire-fighting issues such as plagiarism and feedback rather than on grander issues such as integrated curriculum</w:t>
      </w:r>
      <w:r w:rsidR="00622DF7">
        <w:t xml:space="preserve"> design and engagement with pedagogic-technology</w:t>
      </w:r>
      <w:r w:rsidR="006535B8">
        <w:t>. F</w:t>
      </w:r>
      <w:r>
        <w:t xml:space="preserve">or the latter </w:t>
      </w:r>
      <w:proofErr w:type="spellStart"/>
      <w:r w:rsidR="00E175B3" w:rsidRPr="00996E5D">
        <w:t>Ankers</w:t>
      </w:r>
      <w:proofErr w:type="spellEnd"/>
      <w:r w:rsidR="00E175B3" w:rsidRPr="00996E5D">
        <w:t xml:space="preserve"> and Brennan (2002) </w:t>
      </w:r>
      <w:r w:rsidR="00E175B3">
        <w:t>reported that the set of managers they interviewed were both ignorant of, and disinterested in research outputs placed in even the most prestigious academic journals, a finding corroborated by Crosier (2004). So, if there is a gap b</w:t>
      </w:r>
      <w:r w:rsidR="00E40E4D">
        <w:t>etween marketing-practice and marketing</w:t>
      </w:r>
      <w:r w:rsidR="00E175B3">
        <w:t>-education, what is the latter for</w:t>
      </w:r>
      <w:r w:rsidR="00E40E4D">
        <w:t xml:space="preserve"> exactly? Perspectives on this and related issues were explored in a special issue </w:t>
      </w:r>
      <w:r w:rsidR="00E40E4D" w:rsidRPr="00996E5D">
        <w:rPr>
          <w:color w:val="000000"/>
        </w:rPr>
        <w:t xml:space="preserve">of </w:t>
      </w:r>
      <w:r w:rsidR="00E40E4D" w:rsidRPr="00996E5D">
        <w:rPr>
          <w:i/>
          <w:color w:val="000000"/>
        </w:rPr>
        <w:t>Marketing Intelligence and Planning</w:t>
      </w:r>
      <w:r w:rsidR="00E40E4D">
        <w:rPr>
          <w:color w:val="000000"/>
        </w:rPr>
        <w:t xml:space="preserve"> MIP (2005, No.5). </w:t>
      </w:r>
      <w:r w:rsidR="00CB2350">
        <w:t>McKenzie et al</w:t>
      </w:r>
      <w:r w:rsidR="006B1E11">
        <w:t xml:space="preserve">., </w:t>
      </w:r>
      <w:r w:rsidR="00CB2350">
        <w:t>(2002) also found that very few practitioners had heard of the traditional academic marketing journals, and even fewer expected to find anything of ‘practical use’ in them. If an institution prides itself on teaching informed by such research, is that pride justified?</w:t>
      </w:r>
      <w:r w:rsidR="00F06663">
        <w:t xml:space="preserve"> </w:t>
      </w:r>
    </w:p>
    <w:p w:rsidR="00E175B3" w:rsidRDefault="00E175B3" w:rsidP="002A354E">
      <w:pPr>
        <w:jc w:val="both"/>
      </w:pPr>
    </w:p>
    <w:p w:rsidR="004E2A2B" w:rsidRDefault="00E40E4D" w:rsidP="004E2A2B">
      <w:pPr>
        <w:jc w:val="both"/>
        <w:rPr>
          <w:color w:val="000000"/>
        </w:rPr>
      </w:pPr>
      <w:r>
        <w:t xml:space="preserve">At the most fundamental level, is marketing a subject that </w:t>
      </w:r>
      <w:r w:rsidRPr="00E40E4D">
        <w:rPr>
          <w:i/>
        </w:rPr>
        <w:t>can</w:t>
      </w:r>
      <w:r>
        <w:t xml:space="preserve"> be taught? Some (e.g. </w:t>
      </w:r>
      <w:r w:rsidRPr="00996E5D">
        <w:t>Conway et al</w:t>
      </w:r>
      <w:r>
        <w:t xml:space="preserve">, 1994 and Coates, </w:t>
      </w:r>
      <w:r w:rsidRPr="00996E5D">
        <w:t xml:space="preserve">1996) </w:t>
      </w:r>
      <w:r>
        <w:t>have q</w:t>
      </w:r>
      <w:r w:rsidRPr="00996E5D">
        <w:t xml:space="preserve">ueried </w:t>
      </w:r>
      <w:r w:rsidR="002F6049">
        <w:t xml:space="preserve">the </w:t>
      </w:r>
      <w:r>
        <w:t>basic value</w:t>
      </w:r>
      <w:r w:rsidRPr="00996E5D">
        <w:t xml:space="preserve"> of university provided business education. </w:t>
      </w:r>
      <w:r w:rsidR="004E2A2B">
        <w:t>Whether or not business school education should be designed with a broader scope allowing of general, liberal educational aims as well as a narrow ‘employability’ agenda is a continuing debate in</w:t>
      </w:r>
      <w:r w:rsidR="004E2A2B">
        <w:rPr>
          <w:color w:val="000000"/>
        </w:rPr>
        <w:t xml:space="preserve"> the USA </w:t>
      </w:r>
      <w:r w:rsidR="004E2A2B">
        <w:rPr>
          <w:color w:val="000000"/>
        </w:rPr>
        <w:fldChar w:fldCharType="begin"/>
      </w:r>
      <w:r w:rsidR="004E2A2B">
        <w:rPr>
          <w:color w:val="000000"/>
        </w:rPr>
        <w:instrText xml:space="preserve"> ADDIN EN.CITE &lt;EndNote&gt;&lt;Cite&gt;&lt;Author&gt;Narayandas&lt;/Author&gt;&lt;Year&gt;1998&lt;/Year&gt;&lt;RecNum&gt;313&lt;/RecNum&gt;&lt;MDL&gt;&lt;REFERENCE_TYPE&gt;0&lt;/REFERENCE_TYPE&gt;&lt;REFNUM&gt;313&lt;/REFNUM&gt;&lt;AUTHORS&gt;&lt;AUTHOR&gt;Narayandas, Narakessari&lt;/AUTHOR&gt;&lt;AUTHOR&gt;Rangan, V Kasturi&lt;/AUTHOR&gt;&lt;AUTHOR&gt;Zaltman, Gerald&lt;/AUTHOR&gt;&lt;/AUTHORS&gt;&lt;YEAR&gt;1998&lt;/YEAR&gt;&lt;TITLE&gt;The Pedagogy of Executive Education in Business Markets&lt;/TITLE&gt;&lt;SECONDARY_TITLE&gt;Journal of Business-to-Business Marketing&lt;/SECONDARY_TITLE&gt;&lt;VOLUME&gt;5&lt;/VOLUME&gt;&lt;NUMBER&gt;1,2&lt;/NUMBER&gt;&lt;PAGES&gt;41-64&lt;/PAGES&gt;&lt;KEYWORDS&gt;&lt;KEYWORD&gt;Marketing education&lt;/KEYWORD&gt;&lt;/KEYWORDS&gt;&lt;/MDL&gt;&lt;/Cite&gt;&lt;Cite&gt;&lt;Author&gt;Shuptrine&lt;/Author&gt;&lt;Year&gt;1998&lt;/Year&gt;&lt;RecNum&gt;316&lt;/RecNum&gt;&lt;MDL&gt;&lt;REFERENCE_TYPE&gt;0&lt;/REFERENCE_TYPE&gt;&lt;REFNUM&gt;316&lt;/REFNUM&gt;&lt;AUTHORS&gt;&lt;AUTHOR&gt;Shuptrine, F Kelly&lt;/AUTHOR&gt;&lt;AUTHOR&gt;Willenborg, John F&lt;/AUTHOR&gt;&lt;/AUTHORS&gt;&lt;YEAR&gt;1998&lt;/YEAR&gt;&lt;TITLE&gt;Job Experience for Marketing Graduates - Implications for University Education&lt;/TITLE&gt;&lt;SECONDARY_TITLE&gt;Marketing Education Review&lt;/SECONDARY_TITLE&gt;&lt;VOLUME&gt;8&lt;/VOLUME&gt;&lt;NUMBER&gt;1&lt;/NUMBER&gt;&lt;PAGES&gt;1-11&lt;/PAGES&gt;&lt;DATE&gt;Spring&lt;/DATE&gt;&lt;KEYWORDS&gt;&lt;KEYWORD&gt;Marketing education&lt;/KEYWORD&gt;&lt;/KEYWORDS&gt;&lt;/MDL&gt;&lt;/Cite&gt;&lt;Cite&gt;&lt;Author&gt;Wilson&lt;/Author&gt;&lt;Year&gt;1998&lt;/Year&gt;&lt;RecNum&gt;318&lt;/RecNum&gt;&lt;MDL&gt;&lt;REFERENCE_TYPE&gt;0&lt;/REFERENCE_TYPE&gt;&lt;REFNUM&gt;318&lt;/REFNUM&gt;&lt;AUTHORS&gt;&lt;AUTHOR&gt;Wilson, Elizabeth&lt;/AUTHOR&gt;&lt;/AUTHORS&gt;&lt;YEAR&gt;1998&lt;/YEAR&gt;&lt;TITLE&gt;Commentary on: &amp;apos;The Pedagogy of Executive Education in Business Markets&amp;apos;, by Narakessari Narayandas and Gerald Zaltman&lt;/TITLE&gt;&lt;SECONDARY_TITLE&gt;Journal of Business-to-Business Marketing&lt;/SECONDARY_TITLE&gt;&lt;VOLUME&gt;5&lt;/VOLUME&gt;&lt;NUMBER&gt;1,2&lt;/NUMBER&gt;&lt;PAGES&gt;65-70&lt;/PAGES&gt;&lt;KEYWORDS&gt;&lt;KEYWORD&gt;Marketing education&lt;/KEYWORD&gt;&lt;/KEYWORDS&gt;&lt;/MDL&gt;&lt;/Cite&gt;&lt;/EndNote&gt;</w:instrText>
      </w:r>
      <w:r w:rsidR="004E2A2B">
        <w:rPr>
          <w:color w:val="000000"/>
        </w:rPr>
        <w:fldChar w:fldCharType="separate"/>
      </w:r>
      <w:r w:rsidR="004E2A2B">
        <w:rPr>
          <w:color w:val="000000"/>
        </w:rPr>
        <w:t>(Narayandas, Rangan, &amp; Zaltman, 1998; Shuptrine &amp; Willenborg, 1998; Wilson, 1998)</w:t>
      </w:r>
      <w:r w:rsidR="004E2A2B">
        <w:rPr>
          <w:color w:val="000000"/>
        </w:rPr>
        <w:fldChar w:fldCharType="end"/>
      </w:r>
      <w:r w:rsidR="004E2A2B">
        <w:rPr>
          <w:color w:val="000000"/>
        </w:rPr>
        <w:t xml:space="preserve">, France </w:t>
      </w:r>
      <w:r w:rsidR="004E2A2B">
        <w:rPr>
          <w:color w:val="000000"/>
        </w:rPr>
        <w:fldChar w:fldCharType="begin"/>
      </w:r>
      <w:r w:rsidR="004E2A2B">
        <w:rPr>
          <w:color w:val="000000"/>
        </w:rPr>
        <w:instrText xml:space="preserve"> ADDIN EN.CITE &lt;EndNote&gt;&lt;Cite&gt;&lt;Author&gt;Kumar&lt;/Author&gt;&lt;Year&gt;2001&lt;/Year&gt;&lt;RecNum&gt;310&lt;/RecNum&gt;&lt;MDL&gt;&lt;REFERENCE_TYPE&gt;0&lt;/REFERENCE_TYPE&gt;&lt;REFNUM&gt;310&lt;/REFNUM&gt;&lt;AUTHORS&gt;&lt;AUTHOR&gt;Kumar, Rajesh&lt;/AUTHOR&gt;&lt;AUTHOR&gt;Usunier, Jean-Claude&lt;/AUTHOR&gt;&lt;/AUTHORS&gt;&lt;YEAR&gt;2001&lt;/YEAR&gt;&lt;TITLE&gt;Management Education in a Globalizing World. Lessons from French Experience.&lt;/TITLE&gt;&lt;SECONDARY_TITLE&gt;Management Learning&lt;/SECONDARY_TITLE&gt;&lt;VOLUME&gt;32&lt;/VOLUME&gt;&lt;NUMBER&gt;3&lt;/NUMBER&gt;&lt;PAGES&gt;363-391&lt;/PAGES&gt;&lt;DATE&gt;September&lt;/DATE&gt;&lt;KEYWORDS&gt;&lt;KEYWORD&gt;Marketing education&lt;/KEYWORD&gt;&lt;/KEYWORDS&gt;&lt;/MDL&gt;&lt;/Cite&gt;&lt;/EndNote&gt;</w:instrText>
      </w:r>
      <w:r w:rsidR="004E2A2B">
        <w:rPr>
          <w:color w:val="000000"/>
        </w:rPr>
        <w:fldChar w:fldCharType="separate"/>
      </w:r>
      <w:r w:rsidR="004E2A2B">
        <w:rPr>
          <w:color w:val="000000"/>
        </w:rPr>
        <w:t>(Kumar &amp; Usunier, 2001)</w:t>
      </w:r>
      <w:r w:rsidR="004E2A2B">
        <w:rPr>
          <w:color w:val="000000"/>
        </w:rPr>
        <w:fldChar w:fldCharType="end"/>
      </w:r>
      <w:r w:rsidR="004E2A2B">
        <w:rPr>
          <w:color w:val="000000"/>
        </w:rPr>
        <w:t xml:space="preserve">, the UK </w:t>
      </w:r>
      <w:r w:rsidR="004E2A2B">
        <w:rPr>
          <w:color w:val="000000"/>
        </w:rPr>
        <w:fldChar w:fldCharType="begin"/>
      </w:r>
      <w:r w:rsidR="004E2A2B">
        <w:rPr>
          <w:color w:val="000000"/>
        </w:rPr>
        <w:instrText xml:space="preserve"> ADDIN EN.CITE &lt;EndNote&gt;&lt;Cite&gt;&lt;Author&gt;Garneau&lt;/Author&gt;&lt;Year&gt;1999&lt;/Year&gt;&lt;RecNum&gt;306&lt;/RecNum&gt;&lt;MDL&gt;&lt;REFERENCE_TYPE&gt;3&lt;/REFERENCE_TYPE&gt;&lt;REFNUM&gt;306&lt;/REFNUM&gt;&lt;AUTHORS&gt;&lt;AUTHOR&gt;Garneau, J. Paul&lt;/AUTHOR&gt;&lt;AUTHOR&gt;Brennan, Ross&lt;/AUTHOR&gt;&lt;/AUTHORS&gt;&lt;YEAR&gt;1999&lt;/YEAR&gt;&lt;TITLE&gt;New Relevance in the Marketing Curriculum: Stakeholder Perceptions of the Effectiveness of Marketing Education&lt;/TITLE&gt;&lt;SECONDARY_AUTHORS&gt;&lt;SECONDARY_AUTHOR&gt;McAuley, Andrew&lt;/SECONDARY_AUTHOR&gt;&lt;SECONDARY_AUTHOR&gt;Sparks, Leigh&lt;/SECONDARY_AUTHOR&gt;&lt;/SECONDARY_AUTHORS&gt;&lt;SECONDARY_TITLE&gt;Academy of Marketing Annual Conference&lt;/SECONDARY_TITLE&gt;&lt;PLACE_PUBLISHED&gt;Stirling&lt;/PLACE_PUBLISHED&gt;&lt;PUBLISHER&gt;University of Stirling&lt;/PUBLISHER&gt;&lt;KEYWORDS&gt;&lt;KEYWORD&gt;Marketing education&lt;/KEYWORD&gt;&lt;/KEYWORDS&gt;&lt;/MDL&gt;&lt;/Cite&gt;&lt;/EndNote&gt;</w:instrText>
      </w:r>
      <w:r w:rsidR="004E2A2B">
        <w:rPr>
          <w:color w:val="000000"/>
        </w:rPr>
        <w:fldChar w:fldCharType="separate"/>
      </w:r>
      <w:r w:rsidR="004E2A2B">
        <w:rPr>
          <w:color w:val="000000"/>
        </w:rPr>
        <w:t>(Garneau &amp; Brennan, 1999)</w:t>
      </w:r>
      <w:r w:rsidR="004E2A2B">
        <w:rPr>
          <w:color w:val="000000"/>
        </w:rPr>
        <w:fldChar w:fldCharType="end"/>
      </w:r>
      <w:r w:rsidR="004E2A2B">
        <w:rPr>
          <w:color w:val="000000"/>
        </w:rPr>
        <w:t xml:space="preserve">, </w:t>
      </w:r>
      <w:r w:rsidR="004E2A2B">
        <w:t xml:space="preserve">and across other countries and regions </w:t>
      </w:r>
      <w:r w:rsidR="004E2A2B">
        <w:fldChar w:fldCharType="begin"/>
      </w:r>
      <w:r w:rsidR="004E2A2B">
        <w:instrText xml:space="preserve"> ADDIN EN.CITE &lt;EndNote&gt;&lt;Cite&gt;&lt;Author&gt;Howard&lt;/Author&gt;&lt;Year&gt;1993&lt;/Year&gt;&lt;RecNum&gt;307&lt;/RecNum&gt;&lt;MDL&gt;&lt;REFERENCE_TYPE&gt;0&lt;/REFERENCE_TYPE&gt;&lt;REFNUM&gt;307&lt;/REFNUM&gt;&lt;AUTHORS&gt;&lt;AUTHOR&gt;Howard, Donald G&lt;/AUTHOR&gt;&lt;AUTHOR&gt;Ryans, John K Jr.&lt;/AUTHOR&gt;&lt;/AUTHORS&gt;&lt;YEAR&gt;1993&lt;/YEAR&gt;&lt;TITLE&gt;What role should marketing theory play in marketing education: A cross-national comparison of marketing educators&lt;/TITLE&gt;&lt;SECONDARY_TITLE&gt;Asia Pacific Journal of Marketing and Logistics&lt;/SECONDARY_TITLE&gt;&lt;VOLUME&gt;5&lt;/VOLUME&gt;&lt;NUMBER&gt;2&lt;/NUMBER&gt;&lt;PAGES&gt;29-43&lt;/PAGES&gt;&lt;DATE&gt;July&lt;/DATE&gt;&lt;KEYWORDS&gt;&lt;KEYWORD&gt;Marketing education&lt;/KEYWORD&gt;&lt;/KEYWORDS&gt;&lt;/MDL&gt;&lt;/Cite&gt;&lt;Cite&gt;&lt;Author&gt;Howard&lt;/Author&gt;&lt;Year&gt;1991&lt;/Year&gt;&lt;RecNum&gt;308&lt;/RecNum&gt;&lt;MDL&gt;&lt;REFERENCE_TYPE&gt;0&lt;/REFERENCE_TYPE&gt;&lt;REFNUM&gt;308&lt;/REFNUM&gt;&lt;AUTHORS&gt;&lt;AUTHOR&gt;Howard, Donald G&lt;/AUTHOR&gt;&lt;AUTHOR&gt;Savins, David M&lt;/AUTHOR&gt;&lt;AUTHOR&gt;Howell, William&lt;/AUTHOR&gt;&lt;AUTHOR&gt;Ryans, John K Jr.&lt;/AUTHOR&gt;&lt;/AUTHORS&gt;&lt;YEAR&gt;1991&lt;/YEAR&gt;&lt;TITLE&gt;The Evolution of Marketing Theory in the United States and Europe&lt;/TITLE&gt;&lt;SECONDARY_TITLE&gt;European Journal of Marketing&lt;/SECONDARY_TITLE&gt;&lt;VOLUME&gt;25&lt;/VOLUME&gt;&lt;NUMBER&gt;2&lt;/NUMBER&gt;&lt;PAGES&gt;7-16&lt;/PAGES&gt;&lt;DATE&gt;February&lt;/DATE&gt;&lt;KEYWORDS&gt;&lt;KEYWORD&gt;Marketing education&lt;/KEYWORD&gt;&lt;/KEYWORDS&gt;&lt;/MDL&gt;&lt;/Cite&gt;&lt;/EndNote&gt;</w:instrText>
      </w:r>
      <w:r w:rsidR="004E2A2B">
        <w:fldChar w:fldCharType="separate"/>
      </w:r>
      <w:r w:rsidR="004E2A2B">
        <w:t>(Howard &amp; Ryans, 1993; Howard, Savins, Howell, &amp; Ryans, 1991)</w:t>
      </w:r>
      <w:r w:rsidR="004E2A2B">
        <w:fldChar w:fldCharType="end"/>
      </w:r>
      <w:r w:rsidR="004E2A2B">
        <w:rPr>
          <w:color w:val="000000"/>
        </w:rPr>
        <w:t>.</w:t>
      </w:r>
    </w:p>
    <w:p w:rsidR="004E2A2B" w:rsidRDefault="004E2A2B" w:rsidP="004E2A2B">
      <w:pPr>
        <w:jc w:val="both"/>
      </w:pPr>
    </w:p>
    <w:p w:rsidR="003A01CD" w:rsidRDefault="00E40E4D" w:rsidP="00E34C08">
      <w:pPr>
        <w:jc w:val="both"/>
        <w:rPr>
          <w:color w:val="000000"/>
          <w:lang w:val="en-US"/>
        </w:rPr>
      </w:pPr>
      <w:proofErr w:type="spellStart"/>
      <w:r w:rsidRPr="00996E5D">
        <w:t>Küster</w:t>
      </w:r>
      <w:proofErr w:type="spellEnd"/>
      <w:r w:rsidRPr="00996E5D">
        <w:t xml:space="preserve"> and Vila (2006)</w:t>
      </w:r>
      <w:r>
        <w:t xml:space="preserve"> have</w:t>
      </w:r>
      <w:r w:rsidRPr="00996E5D">
        <w:t xml:space="preserve"> </w:t>
      </w:r>
      <w:r>
        <w:t>highlighted the troubling fact that teaching and learning methods in commercial/organisational training bore little to no resemblance to business school pedagogy.</w:t>
      </w:r>
      <w:r w:rsidRPr="00996E5D">
        <w:t xml:space="preserve"> </w:t>
      </w:r>
      <w:proofErr w:type="spellStart"/>
      <w:r w:rsidR="00E34C08" w:rsidRPr="00766F31">
        <w:rPr>
          <w:color w:val="000000"/>
        </w:rPr>
        <w:t>Garneau</w:t>
      </w:r>
      <w:proofErr w:type="spellEnd"/>
      <w:r w:rsidR="00E34C08" w:rsidRPr="00766F31">
        <w:rPr>
          <w:color w:val="000000"/>
        </w:rPr>
        <w:t xml:space="preserve"> and Brennan (1999) </w:t>
      </w:r>
      <w:r w:rsidR="006906FB">
        <w:rPr>
          <w:color w:val="000000"/>
        </w:rPr>
        <w:t xml:space="preserve">outlined </w:t>
      </w:r>
      <w:r w:rsidR="00E34C08">
        <w:rPr>
          <w:color w:val="000000"/>
        </w:rPr>
        <w:t xml:space="preserve">the perspective of employers in respect of desired attributes of graduate-recruits, with a focus on basic literacy and numeracy and attitudes (e.g. punctuality) and little to no requirement for </w:t>
      </w:r>
      <w:r w:rsidR="00E34C08" w:rsidRPr="00766F31">
        <w:rPr>
          <w:color w:val="000000"/>
        </w:rPr>
        <w:t>scientific and general knowledge. Academic staff</w:t>
      </w:r>
      <w:r w:rsidR="00E34C08">
        <w:rPr>
          <w:color w:val="000000"/>
        </w:rPr>
        <w:t xml:space="preserve">, attempting to develop young minds emphasised and worked towards </w:t>
      </w:r>
      <w:r w:rsidR="00E34C08" w:rsidRPr="00766F31">
        <w:rPr>
          <w:color w:val="000000"/>
        </w:rPr>
        <w:t xml:space="preserve">an </w:t>
      </w:r>
      <w:r w:rsidR="00E34C08" w:rsidRPr="00881977">
        <w:rPr>
          <w:i/>
          <w:color w:val="000000"/>
        </w:rPr>
        <w:t>‘edu</w:t>
      </w:r>
      <w:r w:rsidR="00E34C08" w:rsidRPr="00881977">
        <w:rPr>
          <w:i/>
          <w:color w:val="000000"/>
        </w:rPr>
        <w:softHyphen/>
        <w:t>ca</w:t>
      </w:r>
      <w:r w:rsidR="00E34C08" w:rsidRPr="00881977">
        <w:rPr>
          <w:i/>
          <w:color w:val="000000"/>
        </w:rPr>
        <w:softHyphen/>
        <w:t>tion for life’</w:t>
      </w:r>
      <w:r w:rsidR="00E34C08">
        <w:rPr>
          <w:i/>
          <w:color w:val="000000"/>
        </w:rPr>
        <w:t xml:space="preserve">, </w:t>
      </w:r>
      <w:r w:rsidR="00E34C08" w:rsidRPr="00E34C08">
        <w:rPr>
          <w:color w:val="000000"/>
        </w:rPr>
        <w:t>considering an</w:t>
      </w:r>
      <w:r w:rsidR="00E34C08" w:rsidRPr="00766F31">
        <w:rPr>
          <w:color w:val="000000"/>
        </w:rPr>
        <w:t xml:space="preserve"> </w:t>
      </w:r>
      <w:r w:rsidR="00E34C08" w:rsidRPr="00881977">
        <w:rPr>
          <w:i/>
          <w:color w:val="000000"/>
        </w:rPr>
        <w:t>‘education for work’</w:t>
      </w:r>
      <w:r w:rsidR="00E34C08">
        <w:rPr>
          <w:color w:val="000000"/>
        </w:rPr>
        <w:t xml:space="preserve"> to be a very limited objective. </w:t>
      </w:r>
      <w:r w:rsidR="00DB349F">
        <w:rPr>
          <w:color w:val="000000"/>
        </w:rPr>
        <w:t xml:space="preserve">Indeed, there has been a chorus </w:t>
      </w:r>
      <w:r w:rsidR="00DB349F">
        <w:rPr>
          <w:color w:val="000000"/>
          <w:lang w:val="en-US"/>
        </w:rPr>
        <w:t xml:space="preserve">arguing against </w:t>
      </w:r>
      <w:r w:rsidR="0031693D">
        <w:rPr>
          <w:color w:val="000000"/>
          <w:lang w:val="en-US"/>
        </w:rPr>
        <w:t xml:space="preserve">a </w:t>
      </w:r>
      <w:r w:rsidR="00DB349F">
        <w:rPr>
          <w:color w:val="000000"/>
          <w:lang w:val="en-US"/>
        </w:rPr>
        <w:t>too narrow</w:t>
      </w:r>
      <w:r w:rsidR="0031693D">
        <w:rPr>
          <w:color w:val="000000"/>
          <w:lang w:val="en-US"/>
        </w:rPr>
        <w:t>/vocational</w:t>
      </w:r>
      <w:r w:rsidR="00DB349F">
        <w:rPr>
          <w:color w:val="000000"/>
          <w:lang w:val="en-US"/>
        </w:rPr>
        <w:t xml:space="preserve"> definition of the university marketing curriculum </w:t>
      </w:r>
      <w:r w:rsidR="00DB349F">
        <w:rPr>
          <w:color w:val="000000"/>
          <w:lang w:val="en-US"/>
        </w:rPr>
        <w:fldChar w:fldCharType="begin"/>
      </w:r>
      <w:r w:rsidR="00DB349F">
        <w:rPr>
          <w:color w:val="000000"/>
          <w:lang w:val="en-US"/>
        </w:rPr>
        <w:instrText xml:space="preserve"> ADDIN EN.CITE &lt;EndNote&gt;&lt;Cite&gt;&lt;Author&gt;Celuch&lt;/Author&gt;&lt;Year&gt;1998&lt;/Year&gt;&lt;RecNum&gt;304&lt;/RecNum&gt;&lt;MDL&gt;&lt;REFERENCE_TYPE&gt;0&lt;/REFERENCE_TYPE&gt;&lt;REFNUM&gt;304&lt;/REFNUM&gt;&lt;AUTHORS&gt;&lt;AUTHOR&gt;Celuch, Kevin&lt;/AUTHOR&gt;&lt;AUTHOR&gt;Slama, Mark&lt;/AUTHOR&gt;&lt;/AUTHORS&gt;&lt;YEAR&gt;1998&lt;/YEAR&gt;&lt;TITLE&gt;Critical Thinking as an Integrative Theme for Teaching Lifelong Learning Skills in Marketing&lt;/TITLE&gt;&lt;SECONDARY_TITLE&gt;Marketing Education Review&lt;/SECONDARY_TITLE&gt;&lt;VOLUME&gt;8&lt;/VOLUME&gt;&lt;NUMBER&gt;3&lt;/NUMBER&gt;&lt;PAGES&gt;1-12&lt;/PAGES&gt;&lt;DATE&gt;Fall&lt;/DATE&gt;&lt;KEYWORDS&gt;&lt;KEYWORD&gt;Marketing education&lt;/KEYWORD&gt;&lt;/KEYWORDS&gt;&lt;/MDL&gt;&lt;/Cite&gt;&lt;Cite&gt;&lt;Author&gt;Kennedy&lt;/Author&gt;&lt;Year&gt;2001&lt;/Year&gt;&lt;RecNum&gt;309&lt;/RecNum&gt;&lt;MDL&gt;&lt;REFERENCE_TYPE&gt;0&lt;/REFERENCE_TYPE&gt;&lt;REFNUM&gt;309&lt;/REFNUM&gt;&lt;AUTHORS&gt;&lt;AUTHOR&gt;Kennedy, Ellen J&lt;/AUTHOR&gt;&lt;AUTHOR&gt;Lawton, Leigh&lt;/AUTHOR&gt;&lt;AUTHOR&gt;Walker, Erika&lt;/AUTHOR&gt;&lt;/AUTHORS&gt;&lt;YEAR&gt;2001&lt;/YEAR&gt;&lt;TITLE&gt;The Case for Using Live Case Studies: Shifting the Paradigm in Marketing Education&lt;/TITLE&gt;&lt;SECONDARY_TITLE&gt;Journal of Marketing Education&lt;/SECONDARY_TITLE&gt;&lt;VOLUME&gt;23&lt;/VOLUME&gt;&lt;NUMBER&gt;2&lt;/NUMBER&gt;&lt;PAGES&gt;145-151&lt;/PAGES&gt;&lt;DATE&gt;August&lt;/DATE&gt;&lt;KEYWORDS&gt;&lt;KEYWORD&gt;Marketing education&lt;/KEYWORD&gt;&lt;/KEYWORDS&gt;&lt;/MDL&gt;&lt;/Cite&gt;&lt;Cite&gt;&lt;Author&gt;Ramocki&lt;/Author&gt;&lt;Year&gt;1996&lt;/Year&gt;&lt;RecNum&gt;315&lt;/RecNum&gt;&lt;MDL&gt;&lt;REFERENCE_TYPE&gt;0&lt;/REFERENCE_TYPE&gt;&lt;REFNUM&gt;315&lt;/REFNUM&gt;&lt;AUTHORS&gt;&lt;AUTHOR&gt;Ramocki, Stephen P&lt;/AUTHOR&gt;&lt;/AUTHORS&gt;&lt;YEAR&gt;1996&lt;/YEAR&gt;&lt;TITLE&gt;Developing Creative Marketing Graduates&lt;/TITLE&gt;&lt;SECONDARY_TITLE&gt;Marketing Education Review&lt;/SECONDARY_TITLE&gt;&lt;VOLUME&gt;6&lt;/VOLUME&gt;&lt;NUMBER&gt;1&lt;/NUMBER&gt;&lt;PAGES&gt;47-53&lt;/PAGES&gt;&lt;DATE&gt;Spring&lt;/DATE&gt;&lt;KEYWORDS&gt;&lt;KEYWORD&gt;Marketing education&lt;/KEYWORD&gt;&lt;/KEYWORDS&gt;&lt;/MDL&gt;&lt;/Cite&gt;&lt;Cite&gt;&lt;Author&gt;Titus&lt;/Author&gt;&lt;Year&gt;2000&lt;/Year&gt;&lt;RecNum&gt;317&lt;/RecNum&gt;&lt;MDL&gt;&lt;REFERENCE_TYPE&gt;0&lt;/REFERENCE_TYPE&gt;&lt;REFNUM&gt;317&lt;/REFNUM&gt;&lt;AUTHORS&gt;&lt;AUTHOR&gt;Titus, Philip A&lt;/AUTHOR&gt;&lt;/AUTHORS&gt;&lt;YEAR&gt;2000&lt;/YEAR&gt;&lt;TITLE&gt;Marketing and the Creative Problem-Solving Process&lt;/TITLE&gt;&lt;SECONDARY_TITLE&gt;Journal of Marketing Education&lt;/SECONDARY_TITLE&gt;&lt;VOLUME&gt;22&lt;/VOLUME&gt;&lt;NUMBER&gt;3&lt;/NUMBER&gt;&lt;PAGES&gt;225-235&lt;/PAGES&gt;&lt;DATE&gt;December&lt;/DATE&gt;&lt;KEYWORDS&gt;&lt;KEYWORD&gt;Marketing education&lt;/KEYWORD&gt;&lt;/KEYWORDS&gt;&lt;/MDL&gt;&lt;/Cite&gt;&lt;/EndNote&gt;</w:instrText>
      </w:r>
      <w:r w:rsidR="00DB349F">
        <w:rPr>
          <w:color w:val="000000"/>
          <w:lang w:val="en-US"/>
        </w:rPr>
        <w:fldChar w:fldCharType="separate"/>
      </w:r>
      <w:r w:rsidR="00DB349F">
        <w:rPr>
          <w:color w:val="000000"/>
          <w:lang w:val="en-US"/>
        </w:rPr>
        <w:t xml:space="preserve">(Celuch </w:t>
      </w:r>
      <w:r w:rsidR="0031693D">
        <w:rPr>
          <w:color w:val="000000"/>
          <w:lang w:val="en-US"/>
        </w:rPr>
        <w:t>and Slama, 1998; Kennedy, Lawton and</w:t>
      </w:r>
      <w:r w:rsidR="00DB349F">
        <w:rPr>
          <w:color w:val="000000"/>
          <w:lang w:val="en-US"/>
        </w:rPr>
        <w:t xml:space="preserve"> Walker, 2001; Ramocki, 1996; Titus, 2000)</w:t>
      </w:r>
      <w:r w:rsidR="00DB349F">
        <w:rPr>
          <w:color w:val="000000"/>
          <w:lang w:val="en-US"/>
        </w:rPr>
        <w:fldChar w:fldCharType="end"/>
      </w:r>
      <w:r w:rsidR="0031693D">
        <w:rPr>
          <w:color w:val="000000"/>
          <w:lang w:val="en-US"/>
        </w:rPr>
        <w:t>.</w:t>
      </w:r>
      <w:r w:rsidR="003A01CD">
        <w:rPr>
          <w:color w:val="000000"/>
          <w:lang w:val="en-US"/>
        </w:rPr>
        <w:t xml:space="preserve"> Coates and </w:t>
      </w:r>
      <w:proofErr w:type="spellStart"/>
      <w:r w:rsidR="003A01CD">
        <w:rPr>
          <w:color w:val="000000"/>
          <w:lang w:val="en-US"/>
        </w:rPr>
        <w:t>Koerner</w:t>
      </w:r>
      <w:proofErr w:type="spellEnd"/>
      <w:r w:rsidR="003A01CD">
        <w:rPr>
          <w:color w:val="000000"/>
          <w:lang w:val="en-US"/>
        </w:rPr>
        <w:t xml:space="preserve"> </w:t>
      </w:r>
      <w:r w:rsidR="003A01CD">
        <w:rPr>
          <w:color w:val="000000"/>
          <w:lang w:val="en-US"/>
        </w:rPr>
        <w:fldChar w:fldCharType="begin"/>
      </w:r>
      <w:r w:rsidR="003A01CD">
        <w:rPr>
          <w:color w:val="000000"/>
          <w:lang w:val="en-US"/>
        </w:rPr>
        <w:instrText xml:space="preserve"> ADDIN EN.CITE &lt;EndNote&gt;&lt;Cite ExcludeAuth="1"&gt;&lt;Author&gt;Coates&lt;/Author&gt;&lt;Year&gt;1996&lt;/Year&gt;&lt;RecNum&gt;305&lt;/RecNum&gt;&lt;MDL&gt;&lt;REFERENCE_TYPE&gt;0&lt;/REFERENCE_TYPE&gt;&lt;REFNUM&gt;305&lt;/REFNUM&gt;&lt;AUTHORS&gt;&lt;AUTHOR&gt;Coates, Nigel F&lt;/AUTHOR&gt;&lt;AUTHOR&gt;Koerner, Roy E&lt;/AUTHOR&gt;&lt;/AUTHORS&gt;&lt;YEAR&gt;1996&lt;/YEAR&gt;&lt;TITLE&gt;How Market Oriented are Business Studies Degrees?&lt;/TITLE&gt;&lt;SECONDARY_TITLE&gt;Journal of Marketing Management&lt;/SECONDARY_TITLE&gt;&lt;VOLUME&gt;12&lt;/VOLUME&gt;&lt;NUMBER&gt;5&lt;/NUMBER&gt;&lt;PAGES&gt;455-475&lt;/PAGES&gt;&lt;KEYWORDS&gt;&lt;KEYWORD&gt;Marketing education&lt;/KEYWORD&gt;&lt;/KEYWORDS&gt;&lt;/MDL&gt;&lt;/Cite&gt;&lt;/EndNote&gt;</w:instrText>
      </w:r>
      <w:r w:rsidR="003A01CD">
        <w:rPr>
          <w:color w:val="000000"/>
          <w:lang w:val="en-US"/>
        </w:rPr>
        <w:fldChar w:fldCharType="separate"/>
      </w:r>
      <w:r w:rsidR="003A01CD">
        <w:rPr>
          <w:color w:val="000000"/>
          <w:lang w:val="en-US"/>
        </w:rPr>
        <w:t>(1996)</w:t>
      </w:r>
      <w:r w:rsidR="003A01CD">
        <w:rPr>
          <w:color w:val="000000"/>
          <w:lang w:val="en-US"/>
        </w:rPr>
        <w:fldChar w:fldCharType="end"/>
      </w:r>
      <w:r w:rsidR="003A01CD">
        <w:rPr>
          <w:color w:val="000000"/>
          <w:lang w:val="en-US"/>
        </w:rPr>
        <w:t xml:space="preserve"> spoke to graduates of a UK Business Studies </w:t>
      </w:r>
      <w:proofErr w:type="spellStart"/>
      <w:r w:rsidR="003A01CD">
        <w:rPr>
          <w:color w:val="000000"/>
          <w:lang w:val="en-US"/>
        </w:rPr>
        <w:t>programme</w:t>
      </w:r>
      <w:proofErr w:type="spellEnd"/>
      <w:r w:rsidR="003A01CD">
        <w:rPr>
          <w:color w:val="000000"/>
          <w:lang w:val="en-US"/>
        </w:rPr>
        <w:t xml:space="preserve">, asking them to reflect upon what and how current students should study. Their respondents argued that too much time was devoted to marketing as social science, rather than marketing as practice, findings echoed in Palmer and </w:t>
      </w:r>
      <w:proofErr w:type="spellStart"/>
      <w:r w:rsidR="003A01CD">
        <w:rPr>
          <w:color w:val="000000"/>
          <w:lang w:val="en-US"/>
        </w:rPr>
        <w:t>Millier</w:t>
      </w:r>
      <w:proofErr w:type="spellEnd"/>
      <w:r w:rsidR="003A01CD">
        <w:rPr>
          <w:color w:val="000000"/>
          <w:lang w:val="en-US"/>
        </w:rPr>
        <w:t xml:space="preserve"> </w:t>
      </w:r>
      <w:r w:rsidR="003A01CD">
        <w:rPr>
          <w:color w:val="000000"/>
          <w:lang w:val="en-US"/>
        </w:rPr>
        <w:fldChar w:fldCharType="begin"/>
      </w:r>
      <w:r w:rsidR="003A01CD">
        <w:rPr>
          <w:color w:val="000000"/>
          <w:lang w:val="en-US"/>
        </w:rPr>
        <w:instrText xml:space="preserve"> ADDIN EN.CITE &lt;EndNote&gt;&lt;Cite ExcludeAuth="1"&gt;&lt;Author&gt;Palmer&lt;/Author&gt;&lt;Year&gt;2000&lt;/Year&gt;&lt;RecNum&gt;314&lt;/RecNum&gt;&lt;MDL&gt;&lt;REFERENCE_TYPE&gt;3&lt;/REFERENCE_TYPE&gt;&lt;REFNUM&gt;314&lt;/REFNUM&gt;&lt;AUTHORS&gt;&lt;AUTHOR&gt;Palmer, Roger&lt;/AUTHOR&gt;&lt;AUTHOR&gt;Millier, Paul&lt;/AUTHOR&gt;&lt;/AUTHORS&gt;&lt;YEAR&gt;2000&lt;/YEAR&gt;&lt;TITLE&gt;A European Perspective of the Needs of Business to Business Marketers&lt;/TITLE&gt;&lt;SECONDARY_TITLE&gt;2000 Business Marketing Faculty Consortium&lt;/SECONDARY_TITLE&gt;&lt;PLACE_PUBLISHED&gt;Evanston IL&lt;/PLACE_PUBLISHED&gt;&lt;PUBLISHER&gt;Northwestern University&lt;/PUBLISHER&gt;&lt;KEYWORDS&gt;&lt;KEYWORD&gt;Marketing education&lt;/KEYWORD&gt;&lt;/KEYWORDS&gt;&lt;/MDL&gt;&lt;/Cite&gt;&lt;/EndNote&gt;</w:instrText>
      </w:r>
      <w:r w:rsidR="003A01CD">
        <w:rPr>
          <w:color w:val="000000"/>
          <w:lang w:val="en-US"/>
        </w:rPr>
        <w:fldChar w:fldCharType="separate"/>
      </w:r>
      <w:r w:rsidR="003A01CD">
        <w:rPr>
          <w:color w:val="000000"/>
          <w:lang w:val="en-US"/>
        </w:rPr>
        <w:t>(2000)</w:t>
      </w:r>
      <w:r w:rsidR="003A01CD">
        <w:rPr>
          <w:color w:val="000000"/>
          <w:lang w:val="en-US"/>
        </w:rPr>
        <w:fldChar w:fldCharType="end"/>
      </w:r>
      <w:r w:rsidR="003A01CD">
        <w:rPr>
          <w:color w:val="000000"/>
          <w:lang w:val="en-US"/>
        </w:rPr>
        <w:t>, who interviewed a</w:t>
      </w:r>
      <w:r w:rsidR="001F1AAD">
        <w:rPr>
          <w:color w:val="000000"/>
          <w:lang w:val="en-US"/>
        </w:rPr>
        <w:t xml:space="preserve"> large sample of practitioners.</w:t>
      </w:r>
    </w:p>
    <w:p w:rsidR="00B1568A" w:rsidRDefault="00B1568A" w:rsidP="00E34C08">
      <w:pPr>
        <w:jc w:val="both"/>
        <w:rPr>
          <w:color w:val="000000"/>
          <w:lang w:val="en-US"/>
        </w:rPr>
      </w:pPr>
    </w:p>
    <w:p w:rsidR="00B1568A" w:rsidRPr="00B1568A" w:rsidRDefault="00B1568A" w:rsidP="00B1568A">
      <w:pPr>
        <w:pStyle w:val="BodyText3"/>
        <w:spacing w:line="240" w:lineRule="auto"/>
        <w:rPr>
          <w:color w:val="000000" w:themeColor="text1"/>
          <w:szCs w:val="24"/>
          <w:lang w:val="en-US"/>
        </w:rPr>
      </w:pPr>
      <w:r w:rsidRPr="00B1568A">
        <w:rPr>
          <w:color w:val="000000" w:themeColor="text1"/>
          <w:szCs w:val="24"/>
          <w:lang w:val="en-US"/>
        </w:rPr>
        <w:t xml:space="preserve">Other researchers have sounded a note of caution. Mason </w:t>
      </w:r>
      <w:r w:rsidRPr="00B1568A">
        <w:rPr>
          <w:color w:val="000000" w:themeColor="text1"/>
          <w:szCs w:val="24"/>
          <w:lang w:val="en-US"/>
        </w:rPr>
        <w:fldChar w:fldCharType="begin"/>
      </w:r>
      <w:r w:rsidRPr="00B1568A">
        <w:rPr>
          <w:color w:val="000000" w:themeColor="text1"/>
          <w:szCs w:val="24"/>
          <w:lang w:val="en-US"/>
        </w:rPr>
        <w:instrText xml:space="preserve"> ADDIN EN.CITE &lt;EndNote&gt;&lt;Cite ExcludeAuth="1"&gt;&lt;Author&gt;Mason&lt;/Author&gt;&lt;Year&gt;1990&lt;/Year&gt;&lt;RecNum&gt;311&lt;/RecNum&gt;&lt;MDL&gt;&lt;REFERENCE_TYPE&gt;0&lt;/REFERENCE_TYPE&gt;&lt;REFNUM&gt;311&lt;/REFNUM&gt;&lt;AUTHORS&gt;&lt;AUTHOR&gt;Mason, J Barry&lt;/AUTHOR&gt;&lt;/AUTHORS&gt;&lt;YEAR&gt;1990&lt;/YEAR&gt;&lt;TITLE&gt;Improving Marketing Education in the 1990s - A Dean&amp;apos;s Perspective&lt;/TITLE&gt;&lt;SECONDARY_TITLE&gt;Marketing Education Review&lt;/SECONDARY_TITLE&gt;&lt;VOLUME&gt;1&lt;/VOLUME&gt;&lt;NUMBER&gt;November&lt;/NUMBER&gt;&lt;PAGES&gt;10-22&lt;/PAGES&gt;&lt;KEYWORDS&gt;&lt;KEYWORD&gt;Marketing education&lt;/KEYWORD&gt;&lt;/KEYWORDS&gt;&lt;/MDL&gt;&lt;/Cite&gt;&lt;/EndNote&gt;</w:instrText>
      </w:r>
      <w:r w:rsidRPr="00B1568A">
        <w:rPr>
          <w:color w:val="000000" w:themeColor="text1"/>
          <w:szCs w:val="24"/>
          <w:lang w:val="en-US"/>
        </w:rPr>
        <w:fldChar w:fldCharType="separate"/>
      </w:r>
      <w:r w:rsidRPr="00B1568A">
        <w:rPr>
          <w:color w:val="000000" w:themeColor="text1"/>
          <w:szCs w:val="24"/>
          <w:lang w:val="en-US"/>
        </w:rPr>
        <w:t>(1990)</w:t>
      </w:r>
      <w:r w:rsidRPr="00B1568A">
        <w:rPr>
          <w:color w:val="000000" w:themeColor="text1"/>
          <w:szCs w:val="24"/>
          <w:lang w:val="en-US"/>
        </w:rPr>
        <w:fldChar w:fldCharType="end"/>
      </w:r>
      <w:r w:rsidRPr="00B1568A">
        <w:rPr>
          <w:color w:val="000000" w:themeColor="text1"/>
          <w:szCs w:val="24"/>
          <w:lang w:val="en-US"/>
        </w:rPr>
        <w:t xml:space="preserve"> argued for more liberal marketing education, to include more attention to alternative ways of looking at the world, learning how to solve problems creatively, considering the theory and practice of ethics and qualitative appraisal of issues. Mason </w:t>
      </w:r>
      <w:r w:rsidRPr="00B1568A">
        <w:rPr>
          <w:color w:val="000000" w:themeColor="text1"/>
          <w:szCs w:val="24"/>
          <w:lang w:val="en-US"/>
        </w:rPr>
        <w:fldChar w:fldCharType="begin"/>
      </w:r>
      <w:r w:rsidRPr="00B1568A">
        <w:rPr>
          <w:color w:val="000000" w:themeColor="text1"/>
          <w:szCs w:val="24"/>
          <w:lang w:val="en-US"/>
        </w:rPr>
        <w:instrText xml:space="preserve"> ADDIN EN.CITE &lt;EndNote&gt;&lt;Cite ExcludeAuth="1"&gt;&lt;Author&gt;Mason&lt;/Author&gt;&lt;Year&gt;1990&lt;/Year&gt;&lt;RecNum&gt;311&lt;/RecNum&gt;&lt;Suffix&gt;, p15&lt;/Suffix&gt;&lt;MDL&gt;&lt;REFERENCE_TYPE&gt;0&lt;/REFERENCE_TYPE&gt;&lt;REFNUM&gt;311&lt;/REFNUM&gt;&lt;AUTHORS&gt;&lt;AUTHOR&gt;Mason, J Barry&lt;/AUTHOR&gt;&lt;/AUTHORS&gt;&lt;YEAR&gt;1990&lt;/YEAR&gt;&lt;TITLE&gt;Improving Marketing Education in the 1990s - A Dean&amp;apos;s Perspective&lt;/TITLE&gt;&lt;SECONDARY_TITLE&gt;Marketing Education Review&lt;/SECONDARY_TITLE&gt;&lt;VOLUME&gt;1&lt;/VOLUME&gt;&lt;NUMBER&gt;November&lt;/NUMBER&gt;&lt;PAGES&gt;10-22&lt;/PAGES&gt;&lt;KEYWORDS&gt;&lt;KEYWORD&gt;Marketing education&lt;/KEYWORD&gt;&lt;/KEYWORDS&gt;&lt;/MDL&gt;&lt;/Cite&gt;&lt;/EndNote&gt;</w:instrText>
      </w:r>
      <w:r w:rsidRPr="00B1568A">
        <w:rPr>
          <w:color w:val="000000" w:themeColor="text1"/>
          <w:szCs w:val="24"/>
          <w:lang w:val="en-US"/>
        </w:rPr>
        <w:fldChar w:fldCharType="separate"/>
      </w:r>
      <w:r w:rsidRPr="00B1568A">
        <w:rPr>
          <w:color w:val="000000" w:themeColor="text1"/>
          <w:szCs w:val="24"/>
          <w:lang w:val="en-US"/>
        </w:rPr>
        <w:t>(1990, pg. 15)</w:t>
      </w:r>
      <w:r w:rsidRPr="00B1568A">
        <w:rPr>
          <w:color w:val="000000" w:themeColor="text1"/>
          <w:szCs w:val="24"/>
          <w:lang w:val="en-US"/>
        </w:rPr>
        <w:fldChar w:fldCharType="end"/>
      </w:r>
      <w:r w:rsidRPr="00B1568A">
        <w:rPr>
          <w:color w:val="000000" w:themeColor="text1"/>
          <w:szCs w:val="24"/>
          <w:lang w:val="en-US"/>
        </w:rPr>
        <w:t xml:space="preserve"> noted that </w:t>
      </w:r>
      <w:r w:rsidRPr="002F6049">
        <w:rPr>
          <w:i/>
          <w:color w:val="000000" w:themeColor="text1"/>
          <w:szCs w:val="24"/>
          <w:lang w:val="en-US"/>
        </w:rPr>
        <w:t>“as people climb the corporate ladder, qualitative analysis becomes more important while quantitative analysis remains the same”</w:t>
      </w:r>
      <w:r w:rsidRPr="00B1568A">
        <w:rPr>
          <w:color w:val="000000" w:themeColor="text1"/>
          <w:szCs w:val="24"/>
          <w:lang w:val="en-US"/>
        </w:rPr>
        <w:t xml:space="preserve">. </w:t>
      </w:r>
    </w:p>
    <w:p w:rsidR="001F1AAD" w:rsidRDefault="001F1AAD" w:rsidP="00E34C08">
      <w:pPr>
        <w:jc w:val="both"/>
        <w:rPr>
          <w:color w:val="000000"/>
          <w:lang w:val="en-US"/>
        </w:rPr>
      </w:pPr>
    </w:p>
    <w:p w:rsidR="001F1AAD" w:rsidRPr="008A769C" w:rsidRDefault="00B1568A" w:rsidP="001F1AAD">
      <w:pPr>
        <w:jc w:val="both"/>
        <w:rPr>
          <w:color w:val="000000" w:themeColor="text1"/>
        </w:rPr>
      </w:pPr>
      <w:r>
        <w:rPr>
          <w:color w:val="000000" w:themeColor="text1"/>
        </w:rPr>
        <w:lastRenderedPageBreak/>
        <w:t xml:space="preserve">Further </w:t>
      </w:r>
      <w:r w:rsidR="001F1AAD" w:rsidRPr="008A769C">
        <w:rPr>
          <w:color w:val="000000" w:themeColor="text1"/>
        </w:rPr>
        <w:t>papers have focussed upon specific aspects or issue</w:t>
      </w:r>
      <w:r w:rsidR="008A769C" w:rsidRPr="008A769C">
        <w:rPr>
          <w:color w:val="000000" w:themeColor="text1"/>
        </w:rPr>
        <w:t>s or levels</w:t>
      </w:r>
      <w:r w:rsidR="001F1AAD" w:rsidRPr="008A769C">
        <w:rPr>
          <w:color w:val="000000" w:themeColor="text1"/>
        </w:rPr>
        <w:t xml:space="preserve"> of marketing education provisio</w:t>
      </w:r>
      <w:r w:rsidR="008A769C" w:rsidRPr="008A769C">
        <w:rPr>
          <w:color w:val="000000" w:themeColor="text1"/>
        </w:rPr>
        <w:t>n</w:t>
      </w:r>
      <w:r w:rsidR="001F1AAD" w:rsidRPr="008A769C">
        <w:rPr>
          <w:color w:val="000000" w:themeColor="text1"/>
        </w:rPr>
        <w:t xml:space="preserve">, including the curriculum at the postgraduate level, or applicable evolutions in pedagogy (Monks and Walsh, 2001; Kennedy et al, 2001). </w:t>
      </w:r>
      <w:proofErr w:type="spellStart"/>
      <w:r w:rsidR="00EA13E6">
        <w:rPr>
          <w:color w:val="000000" w:themeColor="text1"/>
        </w:rPr>
        <w:t>Resnick</w:t>
      </w:r>
      <w:proofErr w:type="spellEnd"/>
      <w:r w:rsidR="00EA13E6">
        <w:rPr>
          <w:color w:val="000000" w:themeColor="text1"/>
        </w:rPr>
        <w:t xml:space="preserve"> et al (2011) discuss the potential inherent in incorporating elements of practice into the teaching and learning of SME marketing. </w:t>
      </w:r>
      <w:proofErr w:type="spellStart"/>
      <w:r w:rsidR="001F1AAD" w:rsidRPr="008A769C">
        <w:rPr>
          <w:color w:val="000000" w:themeColor="text1"/>
        </w:rPr>
        <w:t>Monye</w:t>
      </w:r>
      <w:proofErr w:type="spellEnd"/>
      <w:r w:rsidR="001F1AAD" w:rsidRPr="008A769C">
        <w:rPr>
          <w:color w:val="000000" w:themeColor="text1"/>
        </w:rPr>
        <w:t xml:space="preserve"> (1995) debates the need for ‘specialist’ education in international marketing, and reviews the arguments for and against its separation from mainstream marketing education. </w:t>
      </w:r>
      <w:proofErr w:type="spellStart"/>
      <w:r w:rsidR="001F1AAD" w:rsidRPr="008A769C">
        <w:rPr>
          <w:color w:val="000000" w:themeColor="text1"/>
        </w:rPr>
        <w:t>Vignali</w:t>
      </w:r>
      <w:proofErr w:type="spellEnd"/>
      <w:r w:rsidR="001F1AAD" w:rsidRPr="008A769C">
        <w:rPr>
          <w:color w:val="000000" w:themeColor="text1"/>
        </w:rPr>
        <w:t xml:space="preserve"> and Jones (1995) examined how sales was taught, and discovered that this highly practical and relevant area was not commonly taught and where it was </w:t>
      </w:r>
      <w:proofErr w:type="spellStart"/>
      <w:r w:rsidR="001F1AAD" w:rsidRPr="008A769C">
        <w:rPr>
          <w:color w:val="000000" w:themeColor="text1"/>
        </w:rPr>
        <w:t>was</w:t>
      </w:r>
      <w:proofErr w:type="spellEnd"/>
      <w:r w:rsidR="001F1AAD" w:rsidRPr="008A769C">
        <w:rPr>
          <w:color w:val="000000" w:themeColor="text1"/>
        </w:rPr>
        <w:t xml:space="preserve"> often taught poorly and by staff with little to no relevant experience. Christopher et al (1998) lamented the decline of classes with a logistics/supply chain management focus and noted that such activities received more attention from programmes </w:t>
      </w:r>
      <w:proofErr w:type="spellStart"/>
      <w:r w:rsidR="001F1AAD" w:rsidRPr="008A769C">
        <w:rPr>
          <w:color w:val="000000" w:themeColor="text1"/>
        </w:rPr>
        <w:t>outwith</w:t>
      </w:r>
      <w:proofErr w:type="spellEnd"/>
      <w:r w:rsidR="001F1AAD" w:rsidRPr="008A769C">
        <w:rPr>
          <w:color w:val="000000" w:themeColor="text1"/>
        </w:rPr>
        <w:t xml:space="preserve"> marketing – such as Operations Research and even Economics. </w:t>
      </w:r>
      <w:r w:rsidR="00182391">
        <w:rPr>
          <w:color w:val="000000" w:themeColor="text1"/>
        </w:rPr>
        <w:t>Harker et al (2007) considered how RM might be built into the wider curriculum.</w:t>
      </w:r>
    </w:p>
    <w:p w:rsidR="00E40E4D" w:rsidRDefault="00E40E4D" w:rsidP="002A354E">
      <w:pPr>
        <w:jc w:val="both"/>
      </w:pPr>
      <w:r>
        <w:t xml:space="preserve"> </w:t>
      </w:r>
    </w:p>
    <w:p w:rsidR="0031693D" w:rsidRDefault="00524656" w:rsidP="002A354E">
      <w:pPr>
        <w:jc w:val="both"/>
        <w:rPr>
          <w:color w:val="000000"/>
        </w:rPr>
      </w:pPr>
      <w:r>
        <w:t>The majority of</w:t>
      </w:r>
      <w:r w:rsidR="00DB349F">
        <w:t xml:space="preserve"> the work that has examined th</w:t>
      </w:r>
      <w:r w:rsidR="002F6049">
        <w:t>ese</w:t>
      </w:r>
      <w:r w:rsidR="00DB349F">
        <w:t xml:space="preserve"> issue</w:t>
      </w:r>
      <w:r w:rsidR="002F6049">
        <w:t>s</w:t>
      </w:r>
      <w:r w:rsidR="00DB349F">
        <w:t xml:space="preserve"> has been based on data collected from the US (e.g. </w:t>
      </w:r>
      <w:proofErr w:type="spellStart"/>
      <w:r w:rsidR="00DB349F">
        <w:rPr>
          <w:color w:val="000000"/>
        </w:rPr>
        <w:t>Shuptrine</w:t>
      </w:r>
      <w:proofErr w:type="spellEnd"/>
      <w:r w:rsidR="00DB349F">
        <w:rPr>
          <w:color w:val="000000"/>
        </w:rPr>
        <w:t xml:space="preserve"> and </w:t>
      </w:r>
      <w:proofErr w:type="spellStart"/>
      <w:r w:rsidR="00DB349F">
        <w:rPr>
          <w:color w:val="000000"/>
        </w:rPr>
        <w:t>Willenborg</w:t>
      </w:r>
      <w:proofErr w:type="spellEnd"/>
      <w:r w:rsidR="00DB349F">
        <w:rPr>
          <w:color w:val="000000"/>
        </w:rPr>
        <w:t xml:space="preserve">, 1998) and other English speaking nations with academic and business school cultures and structures heavily influenced by the US and UK </w:t>
      </w:r>
      <w:r w:rsidR="00DB349F" w:rsidRPr="00DE2820">
        <w:rPr>
          <w:color w:val="000000"/>
        </w:rPr>
        <w:fldChar w:fldCharType="begin"/>
      </w:r>
      <w:r w:rsidR="00DB349F" w:rsidRPr="00DE2820">
        <w:rPr>
          <w:color w:val="000000"/>
        </w:rPr>
        <w:instrText xml:space="preserve"> ADDIN EN.CITE &lt;EndNote&gt;&lt;Cite&gt;&lt;Author&gt;Howard&lt;/Author&gt;&lt;Year&gt;1993&lt;/Year&gt;&lt;RecNum&gt;307&lt;/RecNum&gt;&lt;MDL&gt;&lt;REFERENCE_TYPE&gt;0&lt;/REFERENCE_TYPE&gt;&lt;REFNUM&gt;307&lt;/REFNUM&gt;&lt;AUTHORS&gt;&lt;AUTHOR&gt;Howard, Donald G&lt;/AUTHOR&gt;&lt;AUTHOR&gt;Ryans, John K Jr.&lt;/AUTHOR&gt;&lt;/AUTHORS&gt;&lt;YEAR&gt;1993&lt;/YEAR&gt;&lt;TITLE&gt;What role should marketing theory play in marketing education: A cross-national comparison of marketing educators&lt;/TITLE&gt;&lt;SECONDARY_TITLE&gt;Asia Pacific Journal of Marketing and Logistics&lt;/SECONDARY_TITLE&gt;&lt;VOLUME&gt;5&lt;/VOLUME&gt;&lt;NUMBER&gt;2&lt;/NUMBER&gt;&lt;PAGES&gt;29-43&lt;/PAGES&gt;&lt;DATE&gt;July&lt;/DATE&gt;&lt;KEYWORDS&gt;&lt;KEYWORD&gt;Marketing education&lt;/KEYWORD&gt;&lt;/KEYWORDS&gt;&lt;/MDL&gt;&lt;/Cite&gt;&lt;Cite&gt;&lt;Author&gt;Howard&lt;/Author&gt;&lt;Year&gt;1991&lt;/Year&gt;&lt;RecNum&gt;308&lt;/RecNum&gt;&lt;MDL&gt;&lt;REFERENCE_TYPE&gt;0&lt;/REFERENCE_TYPE&gt;&lt;REFNUM&gt;308&lt;/REFNUM&gt;&lt;AUTHORS&gt;&lt;AUTHOR&gt;Howard, Donald G&lt;/AUTHOR&gt;&lt;AUTHOR&gt;Savins, David M&lt;/AUTHOR&gt;&lt;AUTHOR&gt;Howell, William&lt;/AUTHOR&gt;&lt;AUTHOR&gt;Ryans, John K Jr.&lt;/AUTHOR&gt;&lt;/AUTHORS&gt;&lt;YEAR&gt;1991&lt;/YEAR&gt;&lt;TITLE&gt;The Evolution of Marketing Theory in the United States and Europe&lt;/TITLE&gt;&lt;SECONDARY_TITLE&gt;European Journal of Marketing&lt;/SECONDARY_TITLE&gt;&lt;VOLUME&gt;25&lt;/VOLUME&gt;&lt;NUMBER&gt;2&lt;/NUMBER&gt;&lt;PAGES&gt;7-16&lt;/PAGES&gt;&lt;DATE&gt;February&lt;/DATE&gt;&lt;KEYWORDS&gt;&lt;KEYWORD&gt;Marketing education&lt;/KEYWORD&gt;&lt;/KEYWORDS&gt;&lt;/MDL&gt;&lt;/Cite&gt;&lt;/EndNote&gt;</w:instrText>
      </w:r>
      <w:r w:rsidR="00DB349F" w:rsidRPr="00DE2820">
        <w:rPr>
          <w:color w:val="000000"/>
        </w:rPr>
        <w:fldChar w:fldCharType="separate"/>
      </w:r>
      <w:r w:rsidR="00DB349F" w:rsidRPr="00DE2820">
        <w:rPr>
          <w:color w:val="000000"/>
        </w:rPr>
        <w:t>(Howard and Ryans, 1993; Howard, Savins, Howell, and Ryans, 1991)</w:t>
      </w:r>
      <w:r w:rsidR="00DB349F" w:rsidRPr="00DE2820">
        <w:rPr>
          <w:color w:val="000000"/>
        </w:rPr>
        <w:fldChar w:fldCharType="end"/>
      </w:r>
      <w:r w:rsidR="00DB349F">
        <w:rPr>
          <w:color w:val="000000"/>
        </w:rPr>
        <w:t xml:space="preserve">. Research examining other contexts, </w:t>
      </w:r>
      <w:r w:rsidR="0031693D">
        <w:rPr>
          <w:color w:val="000000"/>
        </w:rPr>
        <w:t xml:space="preserve">or taking a strategic viewpoint, </w:t>
      </w:r>
      <w:r w:rsidR="00DB349F">
        <w:rPr>
          <w:color w:val="000000"/>
        </w:rPr>
        <w:t xml:space="preserve">or a cross-cultural perspective is rarer </w:t>
      </w:r>
      <w:r w:rsidR="00DB349F" w:rsidRPr="00DE2820">
        <w:rPr>
          <w:color w:val="000000"/>
        </w:rPr>
        <w:fldChar w:fldCharType="begin"/>
      </w:r>
      <w:r w:rsidR="00DB349F" w:rsidRPr="00DE2820">
        <w:rPr>
          <w:color w:val="000000"/>
        </w:rPr>
        <w:instrText xml:space="preserve"> ADDIN EN.CITE &lt;EndNote&gt;&lt;Cite&gt;&lt;Author&gt;Kumar&lt;/Author&gt;&lt;Year&gt;2001&lt;/Year&gt;&lt;RecNum&gt;310&lt;/RecNum&gt;&lt;MDL&gt;&lt;REFERENCE_TYPE&gt;0&lt;/REFERENCE_TYPE&gt;&lt;REFNUM&gt;310&lt;/REFNUM&gt;&lt;AUTHORS&gt;&lt;AUTHOR&gt;Kumar, Rajesh&lt;/AUTHOR&gt;&lt;AUTHOR&gt;Usunier, Jean-Claude&lt;/AUTHOR&gt;&lt;/AUTHORS&gt;&lt;YEAR&gt;2001&lt;/YEAR&gt;&lt;TITLE&gt;Management Education in a Globalizing World. Lessons from French Experience.&lt;/TITLE&gt;&lt;SECONDARY_TITLE&gt;Management Learning&lt;/SECONDARY_TITLE&gt;&lt;VOLUME&gt;32&lt;/VOLUME&gt;&lt;NUMBER&gt;3&lt;/NUMBER&gt;&lt;PAGES&gt;363-391&lt;/PAGES&gt;&lt;DATE&gt;September&lt;/DATE&gt;&lt;KEYWORDS&gt;&lt;KEYWORD&gt;Marketing education&lt;/KEYWORD&gt;&lt;/KEYWORDS&gt;&lt;/MDL&gt;&lt;/Cite&gt;&lt;/EndNote&gt;</w:instrText>
      </w:r>
      <w:r w:rsidR="00DB349F" w:rsidRPr="00DE2820">
        <w:rPr>
          <w:color w:val="000000"/>
        </w:rPr>
        <w:fldChar w:fldCharType="separate"/>
      </w:r>
      <w:r w:rsidR="00DB349F" w:rsidRPr="00866E9D">
        <w:rPr>
          <w:color w:val="000000"/>
        </w:rPr>
        <w:t>(Kumar and Usunier,</w:t>
      </w:r>
      <w:r w:rsidR="00DB349F" w:rsidRPr="00DE2820">
        <w:rPr>
          <w:color w:val="000000"/>
        </w:rPr>
        <w:t xml:space="preserve"> 2001)</w:t>
      </w:r>
      <w:r w:rsidR="00DB349F" w:rsidRPr="00DE2820">
        <w:rPr>
          <w:color w:val="000000"/>
        </w:rPr>
        <w:fldChar w:fldCharType="end"/>
      </w:r>
      <w:r w:rsidR="00DB349F">
        <w:rPr>
          <w:color w:val="000000"/>
        </w:rPr>
        <w:t xml:space="preserve">. </w:t>
      </w:r>
    </w:p>
    <w:p w:rsidR="0031693D" w:rsidRDefault="0031693D" w:rsidP="002A354E">
      <w:pPr>
        <w:jc w:val="both"/>
        <w:rPr>
          <w:color w:val="000000"/>
        </w:rPr>
      </w:pPr>
    </w:p>
    <w:p w:rsidR="001F1AAD" w:rsidRPr="009E0B8B" w:rsidRDefault="001F1AAD" w:rsidP="00C12E69">
      <w:pPr>
        <w:pStyle w:val="Heading3"/>
      </w:pPr>
      <w:r w:rsidRPr="009E0B8B">
        <w:t>Strategic Overviews of Marketing Education Provision</w:t>
      </w:r>
    </w:p>
    <w:p w:rsidR="001F1AAD" w:rsidRPr="009E0B8B" w:rsidRDefault="001F1AAD" w:rsidP="002A354E">
      <w:pPr>
        <w:jc w:val="both"/>
        <w:rPr>
          <w:color w:val="000000"/>
        </w:rPr>
      </w:pPr>
    </w:p>
    <w:p w:rsidR="0031693D" w:rsidRPr="009E0B8B" w:rsidRDefault="00DB349F" w:rsidP="002A354E">
      <w:pPr>
        <w:jc w:val="both"/>
        <w:rPr>
          <w:color w:val="000000"/>
        </w:rPr>
      </w:pPr>
      <w:proofErr w:type="spellStart"/>
      <w:r w:rsidRPr="009E0B8B">
        <w:rPr>
          <w:color w:val="000000"/>
        </w:rPr>
        <w:t>Stringfellow</w:t>
      </w:r>
      <w:proofErr w:type="spellEnd"/>
      <w:r w:rsidRPr="009E0B8B">
        <w:rPr>
          <w:color w:val="000000"/>
        </w:rPr>
        <w:t xml:space="preserve"> et al </w:t>
      </w:r>
      <w:r w:rsidR="003506C5">
        <w:rPr>
          <w:color w:val="000000"/>
        </w:rPr>
        <w:t xml:space="preserve">(2006) </w:t>
      </w:r>
      <w:r w:rsidRPr="009E0B8B">
        <w:rPr>
          <w:color w:val="000000"/>
        </w:rPr>
        <w:t xml:space="preserve">took a cross-section of UG marketing programmes from a sample of </w:t>
      </w:r>
      <w:r w:rsidR="0031693D" w:rsidRPr="009E0B8B">
        <w:rPr>
          <w:color w:val="000000"/>
        </w:rPr>
        <w:t>UK HEIs</w:t>
      </w:r>
      <w:r w:rsidR="003506C5">
        <w:rPr>
          <w:color w:val="000000"/>
        </w:rPr>
        <w:t>,</w:t>
      </w:r>
      <w:r w:rsidR="001F1AAD" w:rsidRPr="009E0B8B">
        <w:rPr>
          <w:color w:val="000000"/>
        </w:rPr>
        <w:t xml:space="preserve"> </w:t>
      </w:r>
      <w:r w:rsidR="0031693D" w:rsidRPr="009E0B8B">
        <w:rPr>
          <w:color w:val="000000"/>
        </w:rPr>
        <w:t>combining this with a series of interviews with managers. Analysis of the interviews led to several conclusions, summarised as:</w:t>
      </w:r>
    </w:p>
    <w:p w:rsidR="0031693D" w:rsidRPr="009E0B8B" w:rsidRDefault="0031693D" w:rsidP="002A354E">
      <w:pPr>
        <w:jc w:val="both"/>
        <w:rPr>
          <w:color w:val="000000"/>
        </w:rPr>
      </w:pPr>
    </w:p>
    <w:p w:rsidR="0031693D" w:rsidRPr="009E0B8B" w:rsidRDefault="0031693D" w:rsidP="0031693D">
      <w:pPr>
        <w:pStyle w:val="ListParagraph"/>
        <w:numPr>
          <w:ilvl w:val="0"/>
          <w:numId w:val="1"/>
        </w:numPr>
        <w:jc w:val="both"/>
        <w:rPr>
          <w:color w:val="000000"/>
        </w:rPr>
      </w:pPr>
      <w:r w:rsidRPr="009E0B8B">
        <w:rPr>
          <w:color w:val="000000"/>
        </w:rPr>
        <w:t>Senior management appreciated marketing graduate knowledge of core marketing activities and processes, but</w:t>
      </w:r>
      <w:r w:rsidR="002F6049" w:rsidRPr="009E0B8B">
        <w:rPr>
          <w:color w:val="000000"/>
        </w:rPr>
        <w:t xml:space="preserve"> expressed</w:t>
      </w:r>
      <w:r w:rsidRPr="009E0B8B">
        <w:rPr>
          <w:color w:val="000000"/>
        </w:rPr>
        <w:t xml:space="preserve"> dissatisfaction with basic literacy </w:t>
      </w:r>
      <w:r w:rsidR="002F6049" w:rsidRPr="009E0B8B">
        <w:rPr>
          <w:color w:val="000000"/>
        </w:rPr>
        <w:t xml:space="preserve">and numeracy </w:t>
      </w:r>
      <w:r w:rsidRPr="009E0B8B">
        <w:rPr>
          <w:color w:val="000000"/>
        </w:rPr>
        <w:t>and key skills such as negotiation</w:t>
      </w:r>
      <w:r w:rsidR="002F6049" w:rsidRPr="009E0B8B">
        <w:rPr>
          <w:color w:val="000000"/>
        </w:rPr>
        <w:t>.</w:t>
      </w:r>
    </w:p>
    <w:p w:rsidR="0031693D" w:rsidRPr="009E0B8B" w:rsidRDefault="0031693D" w:rsidP="0031693D">
      <w:pPr>
        <w:pStyle w:val="ListParagraph"/>
        <w:numPr>
          <w:ilvl w:val="0"/>
          <w:numId w:val="1"/>
        </w:numPr>
        <w:jc w:val="both"/>
        <w:rPr>
          <w:color w:val="000000"/>
        </w:rPr>
      </w:pPr>
      <w:r w:rsidRPr="009E0B8B">
        <w:rPr>
          <w:color w:val="000000"/>
        </w:rPr>
        <w:t>Managers did not believe business graduates were aware of business imperatives such as being profitable</w:t>
      </w:r>
      <w:r w:rsidR="002F6049" w:rsidRPr="009E0B8B">
        <w:rPr>
          <w:color w:val="000000"/>
        </w:rPr>
        <w:t>.</w:t>
      </w:r>
    </w:p>
    <w:p w:rsidR="0031693D" w:rsidRPr="009E0B8B" w:rsidRDefault="0027481E" w:rsidP="0031693D">
      <w:pPr>
        <w:pStyle w:val="ListParagraph"/>
        <w:numPr>
          <w:ilvl w:val="0"/>
          <w:numId w:val="1"/>
        </w:numPr>
        <w:jc w:val="both"/>
        <w:rPr>
          <w:color w:val="000000"/>
        </w:rPr>
      </w:pPr>
      <w:r w:rsidRPr="009E0B8B">
        <w:rPr>
          <w:color w:val="000000"/>
        </w:rPr>
        <w:t>The ‘brand’ of the university was of little to no significance when compared to individual ‘fit’ into corporate culture.</w:t>
      </w:r>
    </w:p>
    <w:p w:rsidR="0027481E" w:rsidRPr="009E0B8B" w:rsidRDefault="0027481E" w:rsidP="0031693D">
      <w:pPr>
        <w:pStyle w:val="ListParagraph"/>
        <w:numPr>
          <w:ilvl w:val="0"/>
          <w:numId w:val="1"/>
        </w:numPr>
        <w:jc w:val="both"/>
        <w:rPr>
          <w:color w:val="000000"/>
        </w:rPr>
      </w:pPr>
      <w:r w:rsidRPr="009E0B8B">
        <w:rPr>
          <w:color w:val="000000"/>
        </w:rPr>
        <w:t>Given a choice, managers would prefer to recruit graduates who had undergone industrial placements</w:t>
      </w:r>
      <w:r w:rsidR="002F6049" w:rsidRPr="009E0B8B">
        <w:rPr>
          <w:color w:val="000000"/>
        </w:rPr>
        <w:t>.</w:t>
      </w:r>
    </w:p>
    <w:p w:rsidR="0031693D" w:rsidRPr="009E0B8B" w:rsidRDefault="0031693D" w:rsidP="002A354E">
      <w:pPr>
        <w:jc w:val="both"/>
        <w:rPr>
          <w:color w:val="000000"/>
        </w:rPr>
      </w:pPr>
    </w:p>
    <w:p w:rsidR="003506C5" w:rsidRDefault="0027481E" w:rsidP="002A354E">
      <w:pPr>
        <w:jc w:val="both"/>
      </w:pPr>
      <w:r w:rsidRPr="009E0B8B">
        <w:rPr>
          <w:color w:val="000000"/>
        </w:rPr>
        <w:t xml:space="preserve">In respect of marketing programmes, </w:t>
      </w:r>
      <w:proofErr w:type="spellStart"/>
      <w:r w:rsidRPr="009E0B8B">
        <w:rPr>
          <w:color w:val="000000"/>
        </w:rPr>
        <w:t>Stringfellow</w:t>
      </w:r>
      <w:proofErr w:type="spellEnd"/>
      <w:r w:rsidRPr="009E0B8B">
        <w:rPr>
          <w:color w:val="000000"/>
        </w:rPr>
        <w:t xml:space="preserve"> et al </w:t>
      </w:r>
      <w:r w:rsidR="006B1E11">
        <w:rPr>
          <w:color w:val="000000"/>
        </w:rPr>
        <w:t xml:space="preserve">(2006) </w:t>
      </w:r>
      <w:r w:rsidRPr="009E0B8B">
        <w:rPr>
          <w:color w:val="000000"/>
        </w:rPr>
        <w:t xml:space="preserve">found a high degree of replication between institutions. Variability was created by programmes with specific emphases [e.g. Food marketing] and/or research interests of staff. In essence, </w:t>
      </w:r>
      <w:proofErr w:type="gramStart"/>
      <w:r w:rsidRPr="009E0B8B">
        <w:t xml:space="preserve">academic groups teach what they can, based on staff experience, interests and availability, rather than necessarily preparing graduates for the employment market </w:t>
      </w:r>
      <w:r w:rsidRPr="009E0B8B">
        <w:rPr>
          <w:color w:val="000000"/>
        </w:rPr>
        <w:t>in a deliberately and strategically constructed progra</w:t>
      </w:r>
      <w:r w:rsidR="00851B6F" w:rsidRPr="009E0B8B">
        <w:rPr>
          <w:color w:val="000000"/>
        </w:rPr>
        <w:t>mme – marketing education in the UK was</w:t>
      </w:r>
      <w:proofErr w:type="gramEnd"/>
      <w:r w:rsidR="00851B6F" w:rsidRPr="009E0B8B">
        <w:rPr>
          <w:color w:val="000000"/>
        </w:rPr>
        <w:t xml:space="preserve"> </w:t>
      </w:r>
      <w:r w:rsidR="002F6049" w:rsidRPr="009E0B8B">
        <w:rPr>
          <w:color w:val="000000"/>
        </w:rPr>
        <w:t xml:space="preserve">effectively </w:t>
      </w:r>
      <w:r w:rsidR="00851B6F" w:rsidRPr="009E0B8B">
        <w:rPr>
          <w:color w:val="000000"/>
        </w:rPr>
        <w:t>production led.</w:t>
      </w:r>
      <w:r w:rsidRPr="009E0B8B">
        <w:rPr>
          <w:color w:val="000000"/>
        </w:rPr>
        <w:t xml:space="preserve"> </w:t>
      </w:r>
    </w:p>
    <w:p w:rsidR="003506C5" w:rsidRDefault="003506C5" w:rsidP="002A354E">
      <w:pPr>
        <w:jc w:val="both"/>
      </w:pPr>
    </w:p>
    <w:p w:rsidR="00A1302E" w:rsidRPr="009E0B8B" w:rsidRDefault="003506C5" w:rsidP="002A354E">
      <w:pPr>
        <w:jc w:val="both"/>
      </w:pPr>
      <w:r>
        <w:t>Importantly, w</w:t>
      </w:r>
      <w:r w:rsidR="00F325F0" w:rsidRPr="009E0B8B">
        <w:t xml:space="preserve">hat of subjects that were of significant vocational relevance but are not popular with staff or students – B2B Marketing, supply-chain management or any class with a significant amount of quantitative work? Do </w:t>
      </w:r>
      <w:r w:rsidR="00F325F0" w:rsidRPr="009E0B8B">
        <w:rPr>
          <w:i/>
        </w:rPr>
        <w:t>‘dull-but-necessary’</w:t>
      </w:r>
      <w:r w:rsidR="00F325F0" w:rsidRPr="009E0B8B">
        <w:t xml:space="preserve"> classes have a future in departments that need the revenues generated by ‘</w:t>
      </w:r>
      <w:r w:rsidR="00F325F0" w:rsidRPr="009E0B8B">
        <w:rPr>
          <w:i/>
        </w:rPr>
        <w:t>bums on seats’</w:t>
      </w:r>
      <w:r w:rsidR="00F325F0" w:rsidRPr="009E0B8B">
        <w:t xml:space="preserve">? </w:t>
      </w:r>
    </w:p>
    <w:p w:rsidR="00A1302E" w:rsidRPr="009E0B8B" w:rsidRDefault="00A1302E" w:rsidP="002A354E">
      <w:pPr>
        <w:jc w:val="both"/>
      </w:pPr>
    </w:p>
    <w:p w:rsidR="0027481E" w:rsidRPr="009E0B8B" w:rsidRDefault="0027481E" w:rsidP="002A354E">
      <w:pPr>
        <w:jc w:val="both"/>
        <w:rPr>
          <w:color w:val="000000"/>
        </w:rPr>
      </w:pPr>
      <w:r w:rsidRPr="009E0B8B">
        <w:rPr>
          <w:color w:val="000000"/>
        </w:rPr>
        <w:lastRenderedPageBreak/>
        <w:t xml:space="preserve">The paper concludes by raising </w:t>
      </w:r>
      <w:r w:rsidR="008A769C" w:rsidRPr="009E0B8B">
        <w:rPr>
          <w:color w:val="000000"/>
        </w:rPr>
        <w:t>a couple of</w:t>
      </w:r>
      <w:r w:rsidRPr="009E0B8B">
        <w:rPr>
          <w:color w:val="000000"/>
        </w:rPr>
        <w:t xml:space="preserve"> important questions:</w:t>
      </w:r>
    </w:p>
    <w:p w:rsidR="0027481E" w:rsidRPr="009E0B8B" w:rsidRDefault="0027481E" w:rsidP="002A354E">
      <w:pPr>
        <w:jc w:val="both"/>
        <w:rPr>
          <w:color w:val="000000"/>
        </w:rPr>
      </w:pPr>
    </w:p>
    <w:p w:rsidR="00E175B3" w:rsidRPr="009E0B8B" w:rsidRDefault="0027481E" w:rsidP="0027481E">
      <w:pPr>
        <w:pStyle w:val="ListParagraph"/>
        <w:numPr>
          <w:ilvl w:val="0"/>
          <w:numId w:val="2"/>
        </w:numPr>
        <w:jc w:val="both"/>
      </w:pPr>
      <w:r w:rsidRPr="009E0B8B">
        <w:rPr>
          <w:color w:val="000000"/>
        </w:rPr>
        <w:t>Are many marketing academic departments even attempting to meet the demands of industry?</w:t>
      </w:r>
    </w:p>
    <w:p w:rsidR="0027481E" w:rsidRPr="009E0B8B" w:rsidRDefault="00FC0452" w:rsidP="0027481E">
      <w:pPr>
        <w:pStyle w:val="ListParagraph"/>
        <w:numPr>
          <w:ilvl w:val="0"/>
          <w:numId w:val="2"/>
        </w:numPr>
        <w:jc w:val="both"/>
      </w:pPr>
      <w:r w:rsidRPr="009E0B8B">
        <w:t>Is there an inherent and</w:t>
      </w:r>
      <w:r w:rsidR="008A769C" w:rsidRPr="009E0B8B">
        <w:t>/or</w:t>
      </w:r>
      <w:r w:rsidRPr="009E0B8B">
        <w:t xml:space="preserve"> </w:t>
      </w:r>
      <w:r w:rsidR="002F6049" w:rsidRPr="009E0B8B">
        <w:t>re</w:t>
      </w:r>
      <w:r w:rsidRPr="009E0B8B">
        <w:t xml:space="preserve">solvable conflict </w:t>
      </w:r>
      <w:r w:rsidR="008A769C" w:rsidRPr="009E0B8B">
        <w:t>between</w:t>
      </w:r>
      <w:r w:rsidRPr="009E0B8B">
        <w:t xml:space="preserve"> research focussed</w:t>
      </w:r>
      <w:r w:rsidR="00741249" w:rsidRPr="009E0B8B">
        <w:t xml:space="preserve"> and typically commercially inexperienced </w:t>
      </w:r>
      <w:r w:rsidRPr="009E0B8B">
        <w:t xml:space="preserve">academics </w:t>
      </w:r>
      <w:r w:rsidR="008A769C" w:rsidRPr="009E0B8B">
        <w:t>and attempts</w:t>
      </w:r>
      <w:r w:rsidRPr="009E0B8B">
        <w:t xml:space="preserve"> to provide industry relevant training?</w:t>
      </w:r>
    </w:p>
    <w:p w:rsidR="008A5E1F" w:rsidRPr="00316D3B" w:rsidRDefault="008A5E1F" w:rsidP="00741249">
      <w:pPr>
        <w:jc w:val="both"/>
      </w:pPr>
    </w:p>
    <w:p w:rsidR="00851B6F" w:rsidRDefault="00851B6F" w:rsidP="00851B6F">
      <w:pPr>
        <w:jc w:val="both"/>
        <w:rPr>
          <w:color w:val="000000" w:themeColor="text1"/>
        </w:rPr>
      </w:pPr>
      <w:r w:rsidRPr="00316D3B">
        <w:rPr>
          <w:color w:val="000000" w:themeColor="text1"/>
        </w:rPr>
        <w:t xml:space="preserve">A considerable time </w:t>
      </w:r>
      <w:r w:rsidR="006B1E11">
        <w:rPr>
          <w:color w:val="000000" w:themeColor="text1"/>
        </w:rPr>
        <w:t xml:space="preserve">ago, </w:t>
      </w:r>
      <w:proofErr w:type="spellStart"/>
      <w:r w:rsidR="006B1E11">
        <w:rPr>
          <w:color w:val="000000" w:themeColor="text1"/>
        </w:rPr>
        <w:t>Meidan</w:t>
      </w:r>
      <w:proofErr w:type="spellEnd"/>
      <w:r w:rsidR="006B1E11">
        <w:rPr>
          <w:color w:val="000000" w:themeColor="text1"/>
        </w:rPr>
        <w:t xml:space="preserve"> (1977) examined </w:t>
      </w:r>
      <w:proofErr w:type="spellStart"/>
      <w:r w:rsidR="006B1E11">
        <w:rPr>
          <w:color w:val="000000" w:themeColor="text1"/>
        </w:rPr>
        <w:t>t</w:t>
      </w:r>
      <w:r w:rsidRPr="00316D3B">
        <w:rPr>
          <w:color w:val="000000" w:themeColor="text1"/>
        </w:rPr>
        <w:t>which</w:t>
      </w:r>
      <w:proofErr w:type="spellEnd"/>
      <w:r w:rsidRPr="00316D3B">
        <w:rPr>
          <w:color w:val="000000" w:themeColor="text1"/>
        </w:rPr>
        <w:t xml:space="preserve"> factors most influenced student perception of their programmes, listing them as being; practical considerations, curriculum requirements, convenience factors, institutional administrative</w:t>
      </w:r>
      <w:r w:rsidRPr="00851B6F">
        <w:rPr>
          <w:color w:val="000000" w:themeColor="text1"/>
        </w:rPr>
        <w:t xml:space="preserve"> interactions, academic performance and admission considerations</w:t>
      </w:r>
      <w:r w:rsidR="00182391">
        <w:rPr>
          <w:color w:val="000000" w:themeColor="text1"/>
        </w:rPr>
        <w:t xml:space="preserve"> whilst Lawrence (1970) looked at how post-graduate education could and should be linked with personal development</w:t>
      </w:r>
      <w:r w:rsidRPr="00851B6F">
        <w:rPr>
          <w:color w:val="000000" w:themeColor="text1"/>
        </w:rPr>
        <w:t xml:space="preserve">. There has of course been more recent literature on postgraduate marketing education. Mason (1990) reflected on the trials and tribulations of programme managers. Okazaki-Ward (2001) looked at the impact of Japanese national and organisational culture and society on the content and style of MBA programmes offered in elite institutions. </w:t>
      </w:r>
      <w:r w:rsidR="00793EBB">
        <w:rPr>
          <w:color w:val="000000" w:themeColor="text1"/>
        </w:rPr>
        <w:t xml:space="preserve">More recently, Haywood and </w:t>
      </w:r>
      <w:proofErr w:type="spellStart"/>
      <w:r w:rsidR="00793EBB">
        <w:rPr>
          <w:color w:val="000000" w:themeColor="text1"/>
        </w:rPr>
        <w:t>Molesworth</w:t>
      </w:r>
      <w:proofErr w:type="spellEnd"/>
      <w:r w:rsidR="00793EBB">
        <w:rPr>
          <w:color w:val="000000" w:themeColor="text1"/>
        </w:rPr>
        <w:t xml:space="preserve"> (2010) noted that a</w:t>
      </w:r>
      <w:r w:rsidR="00793EBB" w:rsidRPr="00793EBB">
        <w:rPr>
          <w:color w:val="000000" w:themeColor="text1"/>
        </w:rPr>
        <w:t xml:space="preserve">pplicants to </w:t>
      </w:r>
      <w:r w:rsidR="006906FB">
        <w:rPr>
          <w:color w:val="000000" w:themeColor="text1"/>
        </w:rPr>
        <w:t xml:space="preserve">marketing-focussed </w:t>
      </w:r>
      <w:r w:rsidR="00793EBB" w:rsidRPr="00793EBB">
        <w:rPr>
          <w:color w:val="000000" w:themeColor="text1"/>
        </w:rPr>
        <w:t>UG programmes lack</w:t>
      </w:r>
      <w:r w:rsidR="00793EBB">
        <w:rPr>
          <w:color w:val="000000" w:themeColor="text1"/>
        </w:rPr>
        <w:t>ed</w:t>
      </w:r>
      <w:r w:rsidR="00793EBB" w:rsidRPr="00793EBB">
        <w:rPr>
          <w:color w:val="000000" w:themeColor="text1"/>
        </w:rPr>
        <w:t xml:space="preserve"> experience in all areas and </w:t>
      </w:r>
      <w:r w:rsidR="00793EBB">
        <w:rPr>
          <w:color w:val="000000" w:themeColor="text1"/>
        </w:rPr>
        <w:t>were typically</w:t>
      </w:r>
      <w:r w:rsidR="00793EBB" w:rsidRPr="00793EBB">
        <w:rPr>
          <w:color w:val="000000" w:themeColor="text1"/>
        </w:rPr>
        <w:t xml:space="preserve"> looking out for any signs, no matter how indecipherable </w:t>
      </w:r>
      <w:r w:rsidR="00793EBB">
        <w:rPr>
          <w:color w:val="000000" w:themeColor="text1"/>
        </w:rPr>
        <w:t xml:space="preserve">[such as </w:t>
      </w:r>
      <w:proofErr w:type="spellStart"/>
      <w:r w:rsidR="00793EBB">
        <w:rPr>
          <w:color w:val="000000" w:themeColor="text1"/>
        </w:rPr>
        <w:t>accrediations</w:t>
      </w:r>
      <w:proofErr w:type="spellEnd"/>
      <w:r w:rsidR="00793EBB">
        <w:rPr>
          <w:color w:val="000000" w:themeColor="text1"/>
        </w:rPr>
        <w:t xml:space="preserve">] </w:t>
      </w:r>
      <w:r w:rsidR="00793EBB" w:rsidRPr="00793EBB">
        <w:rPr>
          <w:color w:val="000000" w:themeColor="text1"/>
        </w:rPr>
        <w:t>to indicate quality</w:t>
      </w:r>
      <w:r w:rsidR="00793EBB">
        <w:rPr>
          <w:color w:val="000000" w:themeColor="text1"/>
        </w:rPr>
        <w:t>.</w:t>
      </w:r>
    </w:p>
    <w:p w:rsidR="00A907FF" w:rsidRDefault="00A907FF" w:rsidP="00851B6F">
      <w:pPr>
        <w:jc w:val="both"/>
        <w:rPr>
          <w:color w:val="000000" w:themeColor="text1"/>
        </w:rPr>
      </w:pPr>
    </w:p>
    <w:p w:rsidR="00A907FF" w:rsidRPr="00BE2CE7" w:rsidRDefault="00A907FF" w:rsidP="00851B6F">
      <w:pPr>
        <w:jc w:val="both"/>
        <w:rPr>
          <w:color w:val="000000" w:themeColor="text1"/>
        </w:rPr>
      </w:pPr>
      <w:proofErr w:type="spellStart"/>
      <w:r>
        <w:rPr>
          <w:color w:val="000000" w:themeColor="text1"/>
        </w:rPr>
        <w:t>Centeno</w:t>
      </w:r>
      <w:proofErr w:type="spellEnd"/>
      <w:r>
        <w:rPr>
          <w:color w:val="000000" w:themeColor="text1"/>
        </w:rPr>
        <w:t xml:space="preserve"> et al (2008) collected data on 60 </w:t>
      </w:r>
      <w:r w:rsidR="004B02B3">
        <w:rPr>
          <w:color w:val="000000" w:themeColor="text1"/>
        </w:rPr>
        <w:t xml:space="preserve">PG [but not MBA] </w:t>
      </w:r>
      <w:r>
        <w:rPr>
          <w:color w:val="000000" w:themeColor="text1"/>
        </w:rPr>
        <w:t>programmes at 45 UK HEIs. Thi</w:t>
      </w:r>
      <w:r w:rsidR="004B02B3">
        <w:rPr>
          <w:color w:val="000000" w:themeColor="text1"/>
        </w:rPr>
        <w:t xml:space="preserve">s was combined with the results of a survey of </w:t>
      </w:r>
      <w:r w:rsidR="009F3D84">
        <w:rPr>
          <w:color w:val="000000" w:themeColor="text1"/>
        </w:rPr>
        <w:t xml:space="preserve">business-school </w:t>
      </w:r>
      <w:r w:rsidR="004B02B3">
        <w:rPr>
          <w:color w:val="000000" w:themeColor="text1"/>
        </w:rPr>
        <w:t>students at five universities to consider both institutional and student perspective</w:t>
      </w:r>
      <w:r w:rsidR="002F6049">
        <w:rPr>
          <w:color w:val="000000" w:themeColor="text1"/>
        </w:rPr>
        <w:t>s</w:t>
      </w:r>
      <w:r w:rsidR="004B02B3">
        <w:rPr>
          <w:color w:val="000000" w:themeColor="text1"/>
        </w:rPr>
        <w:t xml:space="preserve"> on postgraduate marketing education – indeed, the central theme of the paper </w:t>
      </w:r>
      <w:r w:rsidR="009F3D84">
        <w:rPr>
          <w:color w:val="000000" w:themeColor="text1"/>
        </w:rPr>
        <w:t xml:space="preserve">presents </w:t>
      </w:r>
      <w:r w:rsidR="004B02B3">
        <w:rPr>
          <w:color w:val="000000" w:themeColor="text1"/>
        </w:rPr>
        <w:t xml:space="preserve">the question, </w:t>
      </w:r>
      <w:r w:rsidR="004B02B3" w:rsidRPr="004B02B3">
        <w:rPr>
          <w:i/>
          <w:color w:val="000000" w:themeColor="text1"/>
        </w:rPr>
        <w:t>what is postgraduate marketing education for?</w:t>
      </w:r>
      <w:r w:rsidR="00E6661E">
        <w:rPr>
          <w:color w:val="000000" w:themeColor="text1"/>
        </w:rPr>
        <w:t xml:space="preserve"> They raised the concern that in many cases, PG programmes were only slightly augmented versions of UG programmes and were in a number of cases clearly </w:t>
      </w:r>
      <w:r w:rsidR="002F6049">
        <w:rPr>
          <w:color w:val="000000" w:themeColor="text1"/>
        </w:rPr>
        <w:t xml:space="preserve">and merely </w:t>
      </w:r>
      <w:r w:rsidR="00E6661E">
        <w:rPr>
          <w:color w:val="000000" w:themeColor="text1"/>
        </w:rPr>
        <w:t xml:space="preserve">acting as cash cows to support the other activities of the department. </w:t>
      </w:r>
      <w:r w:rsidR="00985AE9">
        <w:rPr>
          <w:color w:val="000000" w:themeColor="text1"/>
        </w:rPr>
        <w:t xml:space="preserve">Programmes mostly fell into the category of general marketing management, with a smattering of specialist programmes to reflect research strengths of the supporting department. </w:t>
      </w:r>
      <w:r w:rsidR="00E6661E">
        <w:rPr>
          <w:color w:val="000000" w:themeColor="text1"/>
        </w:rPr>
        <w:t>In respect of student opinion, support and administration factors dominated the identified list</w:t>
      </w:r>
      <w:r w:rsidR="00985AE9">
        <w:rPr>
          <w:color w:val="000000" w:themeColor="text1"/>
        </w:rPr>
        <w:t>s</w:t>
      </w:r>
      <w:r w:rsidR="00E6661E">
        <w:rPr>
          <w:color w:val="000000" w:themeColor="text1"/>
        </w:rPr>
        <w:t xml:space="preserve"> of </w:t>
      </w:r>
      <w:r w:rsidR="00985AE9">
        <w:rPr>
          <w:color w:val="000000" w:themeColor="text1"/>
        </w:rPr>
        <w:t xml:space="preserve">expectations and </w:t>
      </w:r>
      <w:r w:rsidR="00E6661E">
        <w:rPr>
          <w:color w:val="000000" w:themeColor="text1"/>
        </w:rPr>
        <w:t>strengths</w:t>
      </w:r>
      <w:r w:rsidR="00985AE9">
        <w:rPr>
          <w:color w:val="000000" w:themeColor="text1"/>
        </w:rPr>
        <w:t>. In summing the likely outcome of over</w:t>
      </w:r>
      <w:r w:rsidR="00BE2CE7">
        <w:rPr>
          <w:color w:val="000000" w:themeColor="text1"/>
        </w:rPr>
        <w:t xml:space="preserve">-provision and levelling-off in respect of foreign student numbers and the drag of other environmental factors, </w:t>
      </w:r>
      <w:proofErr w:type="spellStart"/>
      <w:r w:rsidR="00BE2CE7">
        <w:rPr>
          <w:color w:val="000000" w:themeColor="text1"/>
        </w:rPr>
        <w:t>Centeno</w:t>
      </w:r>
      <w:proofErr w:type="spellEnd"/>
      <w:r w:rsidR="00BE2CE7">
        <w:rPr>
          <w:color w:val="000000" w:themeColor="text1"/>
        </w:rPr>
        <w:t xml:space="preserve"> et al warn</w:t>
      </w:r>
      <w:r w:rsidR="00905B58">
        <w:rPr>
          <w:color w:val="000000" w:themeColor="text1"/>
        </w:rPr>
        <w:t>ed</w:t>
      </w:r>
      <w:r w:rsidR="00BE2CE7">
        <w:rPr>
          <w:color w:val="000000" w:themeColor="text1"/>
        </w:rPr>
        <w:t xml:space="preserve"> of </w:t>
      </w:r>
      <w:r w:rsidR="00BE2CE7" w:rsidRPr="00BE2CE7">
        <w:rPr>
          <w:i/>
          <w:color w:val="000000" w:themeColor="text1"/>
        </w:rPr>
        <w:t>interesting times</w:t>
      </w:r>
      <w:r w:rsidR="00622DF7">
        <w:rPr>
          <w:rStyle w:val="FootnoteReference"/>
          <w:i/>
          <w:color w:val="000000" w:themeColor="text1"/>
        </w:rPr>
        <w:footnoteReference w:id="1"/>
      </w:r>
      <w:r w:rsidR="00BE2CE7">
        <w:rPr>
          <w:i/>
          <w:color w:val="000000" w:themeColor="text1"/>
        </w:rPr>
        <w:t xml:space="preserve"> </w:t>
      </w:r>
      <w:r w:rsidR="00BE2CE7">
        <w:rPr>
          <w:color w:val="000000" w:themeColor="text1"/>
        </w:rPr>
        <w:t xml:space="preserve">to come and suggest that alumni are not </w:t>
      </w:r>
      <w:r w:rsidR="00622DF7">
        <w:rPr>
          <w:color w:val="000000" w:themeColor="text1"/>
        </w:rPr>
        <w:t xml:space="preserve">sufficiently </w:t>
      </w:r>
      <w:r w:rsidR="00BE2CE7">
        <w:rPr>
          <w:color w:val="000000" w:themeColor="text1"/>
        </w:rPr>
        <w:t xml:space="preserve">exploited in respect of evolving and improving programmes to better match commercial requirements. </w:t>
      </w:r>
    </w:p>
    <w:p w:rsidR="001F1AAD" w:rsidRPr="001F1AAD" w:rsidRDefault="001F1AAD" w:rsidP="001F1AAD">
      <w:pPr>
        <w:jc w:val="both"/>
        <w:rPr>
          <w:color w:val="4F81BD" w:themeColor="accent1"/>
        </w:rPr>
      </w:pPr>
    </w:p>
    <w:p w:rsidR="00F03A63" w:rsidRPr="00BE2CE7" w:rsidRDefault="00BE2CE7" w:rsidP="002A354E">
      <w:pPr>
        <w:jc w:val="both"/>
      </w:pPr>
      <w:r w:rsidRPr="00BE2CE7">
        <w:t>W</w:t>
      </w:r>
      <w:r w:rsidR="00F03A63" w:rsidRPr="00BE2CE7">
        <w:t xml:space="preserve">e </w:t>
      </w:r>
      <w:r w:rsidR="00DB349F" w:rsidRPr="00BE2CE7">
        <w:t>argue</w:t>
      </w:r>
      <w:r w:rsidR="00F03A63" w:rsidRPr="00BE2CE7">
        <w:t xml:space="preserve"> that strategic consideration </w:t>
      </w:r>
      <w:r w:rsidR="004B02B3" w:rsidRPr="00BE2CE7">
        <w:t xml:space="preserve">and data-collection </w:t>
      </w:r>
      <w:r w:rsidRPr="00BE2CE7">
        <w:t xml:space="preserve">on and about </w:t>
      </w:r>
      <w:r w:rsidR="00F03A63" w:rsidRPr="00BE2CE7">
        <w:t xml:space="preserve">marketing </w:t>
      </w:r>
      <w:r w:rsidR="004B02B3" w:rsidRPr="00BE2CE7">
        <w:t xml:space="preserve">education provision </w:t>
      </w:r>
      <w:r w:rsidRPr="00BE2CE7">
        <w:t xml:space="preserve">is a </w:t>
      </w:r>
      <w:r w:rsidR="004B02B3" w:rsidRPr="00BE2CE7">
        <w:t>worthwhile aim – it tests assumption</w:t>
      </w:r>
      <w:r w:rsidRPr="00BE2CE7">
        <w:t xml:space="preserve">s, allows comparisons and shapes current problems and opportunities whilst spotting future ones. Further, </w:t>
      </w:r>
      <w:r w:rsidR="00F03A63" w:rsidRPr="00BE2CE7">
        <w:t>to consider marketing-educational cultures other than the US and UK would be helpful</w:t>
      </w:r>
      <w:r w:rsidRPr="00BE2CE7">
        <w:t xml:space="preserve"> as the literature is dominated by studies from the US and the UK, with only a smattering of projects that </w:t>
      </w:r>
      <w:r w:rsidR="006906FB">
        <w:t xml:space="preserve">have </w:t>
      </w:r>
      <w:r w:rsidRPr="00BE2CE7">
        <w:t>examined cross-cultural issues</w:t>
      </w:r>
      <w:r w:rsidR="00704E23">
        <w:t xml:space="preserve"> (e.g. </w:t>
      </w:r>
      <w:proofErr w:type="spellStart"/>
      <w:r w:rsidR="00704E23">
        <w:t>Ulhøi</w:t>
      </w:r>
      <w:proofErr w:type="spellEnd"/>
      <w:r w:rsidR="00704E23">
        <w:t>, 2005)</w:t>
      </w:r>
      <w:r w:rsidRPr="00BE2CE7">
        <w:t>.</w:t>
      </w:r>
      <w:r w:rsidR="00905B58">
        <w:t xml:space="preserve"> Therefore, let us consider a different marketing educational culture – that of France.</w:t>
      </w:r>
    </w:p>
    <w:p w:rsidR="00F03A63" w:rsidRDefault="00F03A63" w:rsidP="002A354E">
      <w:pPr>
        <w:jc w:val="both"/>
      </w:pPr>
    </w:p>
    <w:p w:rsidR="002A354E" w:rsidRDefault="002A354E" w:rsidP="009E0B8B">
      <w:pPr>
        <w:pStyle w:val="Heading3"/>
      </w:pPr>
      <w:r>
        <w:lastRenderedPageBreak/>
        <w:t>A</w:t>
      </w:r>
      <w:r w:rsidR="002F6049">
        <w:t xml:space="preserve">n </w:t>
      </w:r>
      <w:r w:rsidR="00F03A63">
        <w:t>A</w:t>
      </w:r>
      <w:r>
        <w:t xml:space="preserve">ppreciation of </w:t>
      </w:r>
      <w:r w:rsidR="00F03A63">
        <w:t>M</w:t>
      </w:r>
      <w:r>
        <w:t>a</w:t>
      </w:r>
      <w:r w:rsidR="00F03A63">
        <w:t>rketing Education and P</w:t>
      </w:r>
      <w:r>
        <w:t>ractice in France</w:t>
      </w:r>
    </w:p>
    <w:p w:rsidR="00446181" w:rsidRDefault="00446181" w:rsidP="00446181"/>
    <w:p w:rsidR="00F03A63" w:rsidRPr="006B1E11" w:rsidRDefault="00FF4925" w:rsidP="006B1E11">
      <w:pPr>
        <w:jc w:val="both"/>
      </w:pPr>
      <w:r>
        <w:t xml:space="preserve">There </w:t>
      </w:r>
      <w:r w:rsidR="004A5F6B">
        <w:t>is perhaps an assumption that business schools and business related education is a product of Anglo-Saxon culture, that other cultures are playing catch-up, and that therefore the skills and abilities of professionals and the quality of training</w:t>
      </w:r>
      <w:r w:rsidR="00DA4651">
        <w:t xml:space="preserve"> and education</w:t>
      </w:r>
      <w:r w:rsidR="004A5F6B">
        <w:t xml:space="preserve"> will be at best a sim</w:t>
      </w:r>
      <w:r w:rsidR="00DA4651">
        <w:t>ulacrum of the dominant business school culture – the US, considered the first and therefore naturally the best.</w:t>
      </w:r>
      <w:r w:rsidR="004A5F6B">
        <w:t xml:space="preserve"> The implicit hierarchy is North America first, </w:t>
      </w:r>
      <w:r w:rsidR="00B479ED">
        <w:t xml:space="preserve">US </w:t>
      </w:r>
      <w:r w:rsidR="00905B58">
        <w:t xml:space="preserve">embracing </w:t>
      </w:r>
      <w:r w:rsidR="00B479ED">
        <w:t xml:space="preserve">cultures like </w:t>
      </w:r>
      <w:r w:rsidR="004A5F6B">
        <w:t xml:space="preserve">the UK </w:t>
      </w:r>
      <w:r w:rsidR="00B479ED">
        <w:t xml:space="preserve">and Japan </w:t>
      </w:r>
      <w:r w:rsidR="004A5F6B">
        <w:t xml:space="preserve">second, other English speaking countries in third and the rest nowhere. </w:t>
      </w:r>
      <w:r w:rsidR="00DA4651">
        <w:t xml:space="preserve">Consider the relative acclamation for US conferences and US-originated journals. Although rarely voiced, there are arguments to suggest that this is a case of cultural hegemony as Gramsci might define it – that US </w:t>
      </w:r>
      <w:r w:rsidR="00B479ED">
        <w:t xml:space="preserve">marketing </w:t>
      </w:r>
      <w:r w:rsidR="00DA4651">
        <w:t xml:space="preserve">practices and educational systems </w:t>
      </w:r>
      <w:r w:rsidR="002A354E">
        <w:t xml:space="preserve">[and methods?] </w:t>
      </w:r>
      <w:r w:rsidR="00DA4651">
        <w:t>are natural</w:t>
      </w:r>
      <w:r w:rsidR="002A354E">
        <w:t>, superior</w:t>
      </w:r>
      <w:r w:rsidR="00DA4651">
        <w:t xml:space="preserve"> and inevitable. If considered objectively, do these assumptions stand up? Let us consider marketing culture </w:t>
      </w:r>
      <w:r w:rsidR="00F03A63">
        <w:t xml:space="preserve">and educational provision within </w:t>
      </w:r>
      <w:r w:rsidR="00DA4651">
        <w:t xml:space="preserve">France. </w:t>
      </w:r>
      <w:r w:rsidR="00905B58">
        <w:t xml:space="preserve">Why? </w:t>
      </w:r>
      <w:r w:rsidR="00F03A63" w:rsidRPr="009E0B8B">
        <w:rPr>
          <w:i/>
        </w:rPr>
        <w:t>Something is going right in French marketing</w:t>
      </w:r>
      <w:r w:rsidR="00905B58" w:rsidRPr="009E0B8B">
        <w:rPr>
          <w:i/>
        </w:rPr>
        <w:t>.</w:t>
      </w:r>
    </w:p>
    <w:p w:rsidR="004A6C4F" w:rsidRPr="004A6C4F" w:rsidRDefault="004A6C4F" w:rsidP="004A6C4F"/>
    <w:p w:rsidR="00B479ED" w:rsidRDefault="00F03A63" w:rsidP="00DE09C1">
      <w:pPr>
        <w:jc w:val="both"/>
      </w:pPr>
      <w:r>
        <w:t xml:space="preserve">Firstly, culture and practice. </w:t>
      </w:r>
      <w:r w:rsidR="004A5F6B">
        <w:t>A member of the G7, France has the fifth largest economy in the world.</w:t>
      </w:r>
      <w:r w:rsidR="00DA4651">
        <w:t xml:space="preserve"> France is home to 35 of the 500 l</w:t>
      </w:r>
      <w:r w:rsidR="002F6049">
        <w:t>argest commercial organisation</w:t>
      </w:r>
      <w:r w:rsidR="006906FB">
        <w:t>s</w:t>
      </w:r>
      <w:r w:rsidR="00DA4651">
        <w:t xml:space="preserve"> according to Fortune. The UK hosts 30. In respect of marketing outcomes, </w:t>
      </w:r>
      <w:proofErr w:type="spellStart"/>
      <w:r w:rsidR="00DA4651">
        <w:t>Interbrand</w:t>
      </w:r>
      <w:proofErr w:type="spellEnd"/>
      <w:r w:rsidR="00DA4651">
        <w:t xml:space="preserve"> lists 7 French brands in its latest list of the top 100 global brands. This is second only to Germany in Europe, and joint third worldwide [Japan] behind the US</w:t>
      </w:r>
      <w:r w:rsidR="00622DF7">
        <w:t xml:space="preserve"> </w:t>
      </w:r>
      <w:r w:rsidR="00B479ED">
        <w:t>(</w:t>
      </w:r>
      <w:proofErr w:type="spellStart"/>
      <w:r w:rsidR="00B479ED">
        <w:t>Interbrand</w:t>
      </w:r>
      <w:proofErr w:type="spellEnd"/>
      <w:r w:rsidR="00B479ED">
        <w:t xml:space="preserve">, </w:t>
      </w:r>
      <w:r w:rsidR="00622DF7">
        <w:t>2012</w:t>
      </w:r>
      <w:r w:rsidR="00B479ED">
        <w:t>)</w:t>
      </w:r>
      <w:r w:rsidR="00DA4651">
        <w:t>.</w:t>
      </w:r>
      <w:r w:rsidR="00B479ED">
        <w:t xml:space="preserve"> </w:t>
      </w:r>
      <w:proofErr w:type="spellStart"/>
      <w:r w:rsidR="00B479ED">
        <w:rPr>
          <w:shd w:val="clear" w:color="auto" w:fill="FFFFFF"/>
        </w:rPr>
        <w:t>Axa</w:t>
      </w:r>
      <w:proofErr w:type="spellEnd"/>
      <w:r w:rsidR="00B479ED">
        <w:rPr>
          <w:shd w:val="clear" w:color="auto" w:fill="FFFFFF"/>
        </w:rPr>
        <w:t xml:space="preserve">, Carrefour, </w:t>
      </w:r>
      <w:proofErr w:type="spellStart"/>
      <w:r w:rsidR="00B479ED">
        <w:rPr>
          <w:shd w:val="clear" w:color="auto" w:fill="FFFFFF"/>
        </w:rPr>
        <w:t>Danone</w:t>
      </w:r>
      <w:proofErr w:type="spellEnd"/>
      <w:r w:rsidR="00B479ED">
        <w:rPr>
          <w:shd w:val="clear" w:color="auto" w:fill="FFFFFF"/>
        </w:rPr>
        <w:t xml:space="preserve">, France Telecom, L’Oreal, LMVH, </w:t>
      </w:r>
      <w:proofErr w:type="spellStart"/>
      <w:r w:rsidR="00B479ED">
        <w:rPr>
          <w:shd w:val="clear" w:color="auto" w:fill="FFFFFF"/>
        </w:rPr>
        <w:t>Pergeot</w:t>
      </w:r>
      <w:proofErr w:type="spellEnd"/>
      <w:r w:rsidR="00B479ED">
        <w:rPr>
          <w:shd w:val="clear" w:color="auto" w:fill="FFFFFF"/>
        </w:rPr>
        <w:t xml:space="preserve">-Citroen, Renault, Sanofi-Aventis, Vivendi, all made the global top 100 in respect of media spend according to </w:t>
      </w:r>
      <w:proofErr w:type="spellStart"/>
      <w:r w:rsidR="00B479ED">
        <w:rPr>
          <w:shd w:val="clear" w:color="auto" w:fill="FFFFFF"/>
        </w:rPr>
        <w:t>AdAge</w:t>
      </w:r>
      <w:proofErr w:type="spellEnd"/>
      <w:r w:rsidR="006906FB">
        <w:rPr>
          <w:shd w:val="clear" w:color="auto" w:fill="FFFFFF"/>
        </w:rPr>
        <w:t xml:space="preserve"> (</w:t>
      </w:r>
      <w:r w:rsidR="00B479ED">
        <w:rPr>
          <w:shd w:val="clear" w:color="auto" w:fill="FFFFFF"/>
        </w:rPr>
        <w:t>2010</w:t>
      </w:r>
      <w:r w:rsidR="006906FB">
        <w:rPr>
          <w:shd w:val="clear" w:color="auto" w:fill="FFFFFF"/>
        </w:rPr>
        <w:t>)</w:t>
      </w:r>
      <w:r w:rsidR="00B479ED">
        <w:rPr>
          <w:shd w:val="clear" w:color="auto" w:fill="FFFFFF"/>
        </w:rPr>
        <w:t xml:space="preserve"> </w:t>
      </w:r>
      <w:r w:rsidR="00B479ED">
        <w:t xml:space="preserve">- 10% of the list. </w:t>
      </w:r>
    </w:p>
    <w:p w:rsidR="00316D3B" w:rsidRDefault="00316D3B" w:rsidP="00DE09C1">
      <w:pPr>
        <w:jc w:val="both"/>
      </w:pPr>
    </w:p>
    <w:p w:rsidR="00316D3B" w:rsidRDefault="009E0B8B" w:rsidP="00316D3B">
      <w:pPr>
        <w:pStyle w:val="Heading3"/>
        <w:rPr>
          <w:noProof/>
          <w:lang w:eastAsia="zh-CN"/>
        </w:rPr>
      </w:pPr>
      <w:r>
        <w:rPr>
          <w:noProof/>
          <w:lang w:eastAsia="zh-CN"/>
        </w:rPr>
        <w:t xml:space="preserve">Exhibit 1 - </w:t>
      </w:r>
      <w:r w:rsidR="00316D3B">
        <w:rPr>
          <w:noProof/>
          <w:lang w:eastAsia="zh-CN"/>
        </w:rPr>
        <w:t>European Presence in the Interbrand Top 100 Brands - 2012</w:t>
      </w:r>
    </w:p>
    <w:p w:rsidR="00316D3B" w:rsidRDefault="00316D3B" w:rsidP="009E0B8B">
      <w:pPr>
        <w:pStyle w:val="Heading2"/>
        <w:spacing w:line="480" w:lineRule="auto"/>
        <w:jc w:val="center"/>
      </w:pPr>
      <w:r>
        <w:rPr>
          <w:noProof/>
          <w:lang w:eastAsia="zh-CN"/>
        </w:rPr>
        <w:drawing>
          <wp:inline distT="0" distB="0" distL="0" distR="0" wp14:anchorId="4BC09817" wp14:editId="36978BB0">
            <wp:extent cx="4760843" cy="336056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60843" cy="3360565"/>
                    </a:xfrm>
                    <a:prstGeom prst="rect">
                      <a:avLst/>
                    </a:prstGeom>
                  </pic:spPr>
                </pic:pic>
              </a:graphicData>
            </a:graphic>
          </wp:inline>
        </w:drawing>
      </w:r>
    </w:p>
    <w:p w:rsidR="00316D3B" w:rsidRPr="000D20B4" w:rsidRDefault="0025280A" w:rsidP="00316D3B">
      <w:pPr>
        <w:jc w:val="right"/>
        <w:rPr>
          <w:sz w:val="18"/>
        </w:rPr>
      </w:pPr>
      <w:hyperlink r:id="rId10" w:history="1">
        <w:r w:rsidR="00316D3B" w:rsidRPr="000D20B4">
          <w:rPr>
            <w:rStyle w:val="Hyperlink"/>
            <w:sz w:val="18"/>
          </w:rPr>
          <w:t>http://www.interbrand.com/en/best-global-brands/BGB-Interactive-Charts.aspx</w:t>
        </w:r>
      </w:hyperlink>
    </w:p>
    <w:p w:rsidR="00316D3B" w:rsidRDefault="00316D3B" w:rsidP="00316D3B">
      <w:pPr>
        <w:jc w:val="both"/>
        <w:rPr>
          <w:shd w:val="clear" w:color="auto" w:fill="FFFFFF"/>
        </w:rPr>
      </w:pPr>
    </w:p>
    <w:p w:rsidR="00905B58" w:rsidRDefault="00864612" w:rsidP="00176FD1">
      <w:pPr>
        <w:jc w:val="both"/>
      </w:pPr>
      <w:r>
        <w:rPr>
          <w:shd w:val="clear" w:color="auto" w:fill="FFFFFF"/>
        </w:rPr>
        <w:lastRenderedPageBreak/>
        <w:t xml:space="preserve">A search for papers considering aspects of marketing in France, or by French companies, or more general issues by French authors collates a significant number of publications across mainstream marketing literature. Almost all of these papers consider tactical issues with a very narrow focus. In respect of strategic contribution to the academy, the picture is less positive. </w:t>
      </w:r>
      <w:r>
        <w:t xml:space="preserve">Of the 95 academics listed as being associated with the editorial process [editorial duties, editorial advisory boards </w:t>
      </w:r>
      <w:proofErr w:type="spellStart"/>
      <w:r>
        <w:t>etc</w:t>
      </w:r>
      <w:proofErr w:type="spellEnd"/>
      <w:r>
        <w:t xml:space="preserve">] of the </w:t>
      </w:r>
      <w:r w:rsidRPr="00DE09C1">
        <w:rPr>
          <w:i/>
        </w:rPr>
        <w:t>European Journal of Marketing</w:t>
      </w:r>
      <w:r>
        <w:t xml:space="preserve">, not one has a French affiliation or is French themselves. There are quite a few personal and institutional representatives from North America, a generous component from Australia and New Zealand, a smattering from Africa and the Middle East and two Chinese institutions – but no French academics or universities. The </w:t>
      </w:r>
      <w:r w:rsidRPr="00DE09C1">
        <w:rPr>
          <w:i/>
        </w:rPr>
        <w:t>Journal of Marketing Management</w:t>
      </w:r>
      <w:r>
        <w:t xml:space="preserve"> has one French academic and one French institution – Professor </w:t>
      </w:r>
      <w:proofErr w:type="spellStart"/>
      <w:r>
        <w:t>Cova</w:t>
      </w:r>
      <w:proofErr w:type="spellEnd"/>
      <w:r>
        <w:t xml:space="preserve"> of </w:t>
      </w:r>
      <w:proofErr w:type="spellStart"/>
      <w:r>
        <w:t>EuroMed</w:t>
      </w:r>
      <w:proofErr w:type="spellEnd"/>
      <w:r>
        <w:t xml:space="preserve"> Marseilles. If the equivalent panels from </w:t>
      </w:r>
      <w:r w:rsidRPr="00DE09C1">
        <w:rPr>
          <w:i/>
        </w:rPr>
        <w:t>Marketing Intelligence and Planning</w:t>
      </w:r>
      <w:r>
        <w:t xml:space="preserve"> and </w:t>
      </w:r>
      <w:r w:rsidRPr="00DE09C1">
        <w:rPr>
          <w:i/>
        </w:rPr>
        <w:t>The European Business Review</w:t>
      </w:r>
      <w:r>
        <w:t xml:space="preserve"> are added to the list, then of more than 250 names associated with four mainstream and Europe-originating journals there are only two French institutions and one French business school academic present. </w:t>
      </w:r>
      <w:r w:rsidRPr="00176FD1">
        <w:rPr>
          <w:i/>
        </w:rPr>
        <w:t>Bonne chance</w:t>
      </w:r>
      <w:r w:rsidRPr="00176FD1">
        <w:t xml:space="preserve"> Professor </w:t>
      </w:r>
      <w:proofErr w:type="spellStart"/>
      <w:r w:rsidRPr="00176FD1">
        <w:t>Cova</w:t>
      </w:r>
      <w:proofErr w:type="spellEnd"/>
      <w:r w:rsidRPr="00176FD1">
        <w:t>.</w:t>
      </w:r>
      <w:r w:rsidR="006B1E11" w:rsidRPr="00176FD1">
        <w:t xml:space="preserve"> </w:t>
      </w:r>
    </w:p>
    <w:p w:rsidR="00176FD1" w:rsidRDefault="00176FD1" w:rsidP="00176FD1">
      <w:pPr>
        <w:jc w:val="both"/>
      </w:pPr>
    </w:p>
    <w:p w:rsidR="00176FD1" w:rsidRPr="006B1E11" w:rsidRDefault="00176FD1" w:rsidP="00176FD1">
      <w:pPr>
        <w:jc w:val="both"/>
        <w:rPr>
          <w:shd w:val="clear" w:color="auto" w:fill="FFFFFF"/>
        </w:rPr>
      </w:pPr>
      <w:r w:rsidRPr="00176FD1">
        <w:t xml:space="preserve">Whilst French academic output is alive and well, this is almost exclusively published within the leading French journals such as  </w:t>
      </w:r>
      <w:proofErr w:type="spellStart"/>
      <w:r w:rsidRPr="00176FD1">
        <w:rPr>
          <w:i/>
        </w:rPr>
        <w:t>Décisions</w:t>
      </w:r>
      <w:proofErr w:type="spellEnd"/>
      <w:r w:rsidRPr="00176FD1">
        <w:rPr>
          <w:i/>
        </w:rPr>
        <w:t xml:space="preserve"> Marketing, Revue </w:t>
      </w:r>
      <w:proofErr w:type="spellStart"/>
      <w:r w:rsidRPr="00176FD1">
        <w:rPr>
          <w:i/>
        </w:rPr>
        <w:t>Internationale</w:t>
      </w:r>
      <w:proofErr w:type="spellEnd"/>
      <w:r w:rsidRPr="00176FD1">
        <w:rPr>
          <w:i/>
        </w:rPr>
        <w:t xml:space="preserve"> de </w:t>
      </w:r>
      <w:proofErr w:type="spellStart"/>
      <w:r w:rsidRPr="00176FD1">
        <w:rPr>
          <w:i/>
        </w:rPr>
        <w:t>Gestion</w:t>
      </w:r>
      <w:proofErr w:type="spellEnd"/>
      <w:r w:rsidRPr="00176FD1">
        <w:rPr>
          <w:i/>
        </w:rPr>
        <w:t xml:space="preserve"> </w:t>
      </w:r>
      <w:r w:rsidRPr="00176FD1">
        <w:t xml:space="preserve">and </w:t>
      </w:r>
      <w:bookmarkStart w:id="0" w:name="_GoBack"/>
      <w:bookmarkEnd w:id="0"/>
      <w:proofErr w:type="spellStart"/>
      <w:r w:rsidRPr="00176FD1">
        <w:rPr>
          <w:i/>
          <w:shd w:val="clear" w:color="auto" w:fill="FFFFFF"/>
        </w:rPr>
        <w:t>Recherche</w:t>
      </w:r>
      <w:proofErr w:type="spellEnd"/>
      <w:r w:rsidRPr="00176FD1">
        <w:rPr>
          <w:i/>
          <w:shd w:val="clear" w:color="auto" w:fill="FFFFFF"/>
        </w:rPr>
        <w:t xml:space="preserve"> et Applications en Marketing. </w:t>
      </w:r>
      <w:r w:rsidRPr="00176FD1">
        <w:rPr>
          <w:shd w:val="clear" w:color="auto" w:fill="FFFFFF"/>
        </w:rPr>
        <w:t>These journals have a limited audience of francophone readers.</w:t>
      </w:r>
    </w:p>
    <w:p w:rsidR="00176FD1" w:rsidRPr="006B1E11" w:rsidRDefault="00176FD1" w:rsidP="00176FD1">
      <w:pPr>
        <w:jc w:val="both"/>
        <w:rPr>
          <w:shd w:val="clear" w:color="auto" w:fill="FFFFFF"/>
        </w:rPr>
      </w:pPr>
    </w:p>
    <w:p w:rsidR="00905B58" w:rsidRDefault="009E0B8B" w:rsidP="00905B58">
      <w:pPr>
        <w:pStyle w:val="Heading3"/>
      </w:pPr>
      <w:r>
        <w:t xml:space="preserve">Exhibit 2 - </w:t>
      </w:r>
      <w:r w:rsidR="00905B58">
        <w:t>Relative Strength of French Brands</w:t>
      </w:r>
    </w:p>
    <w:p w:rsidR="00905B58" w:rsidRPr="000D20B4" w:rsidRDefault="00905B58" w:rsidP="00905B58"/>
    <w:p w:rsidR="00905B58" w:rsidRDefault="00905B58" w:rsidP="009E0B8B">
      <w:pPr>
        <w:jc w:val="center"/>
      </w:pPr>
      <w:r>
        <w:rPr>
          <w:noProof/>
          <w:lang w:eastAsia="zh-CN"/>
        </w:rPr>
        <w:drawing>
          <wp:inline distT="0" distB="0" distL="0" distR="0" wp14:anchorId="6ED6B6E7" wp14:editId="3E339F33">
            <wp:extent cx="4914900" cy="2985172"/>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921308" cy="2989064"/>
                    </a:xfrm>
                    <a:prstGeom prst="rect">
                      <a:avLst/>
                    </a:prstGeom>
                  </pic:spPr>
                </pic:pic>
              </a:graphicData>
            </a:graphic>
          </wp:inline>
        </w:drawing>
      </w:r>
    </w:p>
    <w:p w:rsidR="00905B58" w:rsidRPr="000D20B4" w:rsidRDefault="0025280A" w:rsidP="00905B58">
      <w:pPr>
        <w:jc w:val="right"/>
        <w:rPr>
          <w:sz w:val="18"/>
        </w:rPr>
      </w:pPr>
      <w:hyperlink r:id="rId12" w:history="1">
        <w:r w:rsidR="00905B58" w:rsidRPr="000D20B4">
          <w:rPr>
            <w:rStyle w:val="Hyperlink"/>
            <w:sz w:val="18"/>
          </w:rPr>
          <w:t>http://www.interbrand.com/en/best-global-brands/BGB-Interactive-Charts.aspx</w:t>
        </w:r>
      </w:hyperlink>
    </w:p>
    <w:p w:rsidR="00905B58" w:rsidRDefault="00905B58" w:rsidP="00316D3B">
      <w:pPr>
        <w:jc w:val="both"/>
        <w:rPr>
          <w:shd w:val="clear" w:color="auto" w:fill="FFFFFF"/>
        </w:rPr>
      </w:pPr>
    </w:p>
    <w:p w:rsidR="00792A37" w:rsidRDefault="00792A37" w:rsidP="004A6C4F">
      <w:pPr>
        <w:pStyle w:val="Heading3"/>
        <w:rPr>
          <w:shd w:val="clear" w:color="auto" w:fill="FFFFFF"/>
        </w:rPr>
      </w:pPr>
    </w:p>
    <w:p w:rsidR="00F03A63" w:rsidRDefault="00F03A63" w:rsidP="004A6C4F">
      <w:pPr>
        <w:pStyle w:val="Heading3"/>
      </w:pPr>
      <w:r>
        <w:t>An overview of the French HE sector</w:t>
      </w:r>
    </w:p>
    <w:p w:rsidR="004A6C4F" w:rsidRDefault="004A6C4F" w:rsidP="00F03A63">
      <w:pPr>
        <w:jc w:val="both"/>
      </w:pPr>
    </w:p>
    <w:p w:rsidR="00F03A63" w:rsidRDefault="00F03A63" w:rsidP="00F03A63">
      <w:pPr>
        <w:jc w:val="both"/>
      </w:pPr>
      <w:r>
        <w:t>While in many European countries</w:t>
      </w:r>
      <w:r w:rsidR="006B1E11">
        <w:t>, U</w:t>
      </w:r>
      <w:r>
        <w:t xml:space="preserve">niversities enjoy a higher status and </w:t>
      </w:r>
      <w:r w:rsidR="006B1E11">
        <w:t xml:space="preserve">a </w:t>
      </w:r>
      <w:r>
        <w:t xml:space="preserve">more prestigious reputation than non-university institutions, such as </w:t>
      </w:r>
      <w:proofErr w:type="spellStart"/>
      <w:r>
        <w:t>Polytechniques</w:t>
      </w:r>
      <w:proofErr w:type="spellEnd"/>
      <w:r>
        <w:t xml:space="preserve"> and </w:t>
      </w:r>
      <w:proofErr w:type="spellStart"/>
      <w:r>
        <w:t>Fachhochschulen</w:t>
      </w:r>
      <w:proofErr w:type="spellEnd"/>
      <w:r>
        <w:t xml:space="preserve"> (e.g. in the UK, Germany and Netherlands), the picture is slightly more complicated in France </w:t>
      </w:r>
      <w:r>
        <w:lastRenderedPageBreak/>
        <w:t xml:space="preserve">(Witte et al., 2008). In fact, the Grande </w:t>
      </w:r>
      <w:proofErr w:type="spellStart"/>
      <w:r>
        <w:t>Ecoles</w:t>
      </w:r>
      <w:proofErr w:type="spellEnd"/>
      <w:r w:rsidR="00766F22">
        <w:t xml:space="preserve"> - </w:t>
      </w:r>
      <w:r>
        <w:t>which are traditionally more practice oriented</w:t>
      </w:r>
      <w:r w:rsidR="00766F22">
        <w:t xml:space="preserve"> -</w:t>
      </w:r>
      <w:r>
        <w:t xml:space="preserve"> have a higher status and are often referred to as elite institutions (Bourdieu, 1989). </w:t>
      </w:r>
      <w:r w:rsidR="006719D7">
        <w:t xml:space="preserve">This is a reversal of the class-system in the UK, where institutions of relatively short history with a practical rather than theoretical emphasis do badly in respect of snob-value. </w:t>
      </w:r>
      <w:r>
        <w:t xml:space="preserve">The development of this Higher Education system, </w:t>
      </w:r>
      <w:r w:rsidR="006B1E11">
        <w:t>which is largely based on Grande</w:t>
      </w:r>
      <w:r>
        <w:t xml:space="preserve"> </w:t>
      </w:r>
      <w:proofErr w:type="spellStart"/>
      <w:r>
        <w:t>Ecoles</w:t>
      </w:r>
      <w:proofErr w:type="spellEnd"/>
      <w:r>
        <w:t xml:space="preserve"> and public </w:t>
      </w:r>
      <w:proofErr w:type="gramStart"/>
      <w:r>
        <w:t>universities</w:t>
      </w:r>
      <w:proofErr w:type="gramEnd"/>
      <w:r>
        <w:t xml:space="preserve"> is grounded in the history of the country (Kaiser, 2007)</w:t>
      </w:r>
      <w:r w:rsidR="008A5E1F">
        <w:t>.</w:t>
      </w:r>
      <w:r>
        <w:t xml:space="preserve"> </w:t>
      </w:r>
    </w:p>
    <w:p w:rsidR="00B8631A" w:rsidRDefault="00B8631A" w:rsidP="00F03A63">
      <w:pPr>
        <w:jc w:val="both"/>
      </w:pPr>
    </w:p>
    <w:p w:rsidR="00F03A63" w:rsidRDefault="00F03A63" w:rsidP="00F03A63">
      <w:pPr>
        <w:jc w:val="both"/>
      </w:pPr>
      <w:r>
        <w:t xml:space="preserve">While France hosted some of the first universities in Europe in the sixteenth century, those lost some of their autonomy through the increased power of sovereigns, as well as greater political and religious </w:t>
      </w:r>
      <w:r w:rsidR="00622DF7">
        <w:t>integration</w:t>
      </w:r>
      <w:r>
        <w:t>. Research, knowledge development and exchange between institutions slowed down. As a consequence, alternative models of higher education evolve</w:t>
      </w:r>
      <w:r w:rsidR="006B1E11">
        <w:t>d, one of them being the Grande</w:t>
      </w:r>
      <w:r>
        <w:t xml:space="preserve"> </w:t>
      </w:r>
      <w:proofErr w:type="spellStart"/>
      <w:r>
        <w:t>Ecoles</w:t>
      </w:r>
      <w:proofErr w:type="spellEnd"/>
      <w:r>
        <w:t xml:space="preserve">. The first of these institutions originated in professional engineering schools, such as the </w:t>
      </w:r>
      <w:proofErr w:type="spellStart"/>
      <w:r>
        <w:t>Ecole</w:t>
      </w:r>
      <w:proofErr w:type="spellEnd"/>
      <w:r>
        <w:t xml:space="preserve"> </w:t>
      </w:r>
      <w:proofErr w:type="spellStart"/>
      <w:r>
        <w:t>Polytechnique</w:t>
      </w:r>
      <w:proofErr w:type="spellEnd"/>
      <w:r>
        <w:t>, dating back to the beginning of the eighteenth century. Soon further institutions emerged and diversified into different areas of study to train not only the future elite of engineers, but also the new elite for business and administrative sciences (</w:t>
      </w:r>
      <w:proofErr w:type="spellStart"/>
      <w:r>
        <w:t>Godelier</w:t>
      </w:r>
      <w:proofErr w:type="spellEnd"/>
      <w:r>
        <w:t xml:space="preserve">, 2005). </w:t>
      </w:r>
    </w:p>
    <w:p w:rsidR="00FF4925" w:rsidRDefault="00FF4925" w:rsidP="00F03A63">
      <w:pPr>
        <w:jc w:val="both"/>
      </w:pPr>
    </w:p>
    <w:p w:rsidR="00FF4925" w:rsidRDefault="00FF4925" w:rsidP="00FF4925">
      <w:pPr>
        <w:jc w:val="both"/>
      </w:pPr>
      <w:r>
        <w:t xml:space="preserve">In respect of business education, France has some of the oldest business schools in the world, </w:t>
      </w:r>
      <w:r w:rsidRPr="00B479ED">
        <w:t xml:space="preserve">with a serious claim on having the second ever established – even debatably the first – the </w:t>
      </w:r>
      <w:proofErr w:type="spellStart"/>
      <w:r w:rsidRPr="00B479ED">
        <w:rPr>
          <w:i/>
          <w:iCs/>
          <w:color w:val="000000"/>
          <w:shd w:val="clear" w:color="auto" w:fill="FFFFFF"/>
        </w:rPr>
        <w:t>École</w:t>
      </w:r>
      <w:proofErr w:type="spellEnd"/>
      <w:r w:rsidRPr="00B479ED">
        <w:rPr>
          <w:i/>
          <w:iCs/>
          <w:color w:val="000000"/>
          <w:shd w:val="clear" w:color="auto" w:fill="FFFFFF"/>
        </w:rPr>
        <w:t xml:space="preserve"> </w:t>
      </w:r>
      <w:proofErr w:type="spellStart"/>
      <w:r w:rsidRPr="00B479ED">
        <w:rPr>
          <w:i/>
          <w:iCs/>
          <w:color w:val="000000"/>
          <w:shd w:val="clear" w:color="auto" w:fill="FFFFFF"/>
        </w:rPr>
        <w:t>supérieure</w:t>
      </w:r>
      <w:proofErr w:type="spellEnd"/>
      <w:r w:rsidRPr="00B479ED">
        <w:rPr>
          <w:i/>
          <w:iCs/>
          <w:color w:val="000000"/>
          <w:shd w:val="clear" w:color="auto" w:fill="FFFFFF"/>
        </w:rPr>
        <w:t xml:space="preserve"> de commerce de Paris</w:t>
      </w:r>
      <w:r>
        <w:rPr>
          <w:iCs/>
          <w:color w:val="000000"/>
          <w:shd w:val="clear" w:color="auto" w:fill="FFFFFF"/>
        </w:rPr>
        <w:t xml:space="preserve">, founded in 1819. French business schools have performed well in recent lists of rankings for executive and post-graduate education. The FT lists three French establishments in its top ten of European schools – including the top two places, compared to just one for the UK. </w:t>
      </w:r>
      <w:r w:rsidRPr="00426F1A">
        <w:t xml:space="preserve">The current minister of higher education - </w:t>
      </w:r>
      <w:r w:rsidRPr="00426F1A">
        <w:rPr>
          <w:bCs/>
        </w:rPr>
        <w:t xml:space="preserve">Mme </w:t>
      </w:r>
      <w:proofErr w:type="spellStart"/>
      <w:r w:rsidRPr="00426F1A">
        <w:rPr>
          <w:bCs/>
        </w:rPr>
        <w:t>Valérie</w:t>
      </w:r>
      <w:proofErr w:type="spellEnd"/>
      <w:r w:rsidRPr="00426F1A">
        <w:rPr>
          <w:bCs/>
        </w:rPr>
        <w:t xml:space="preserve"> </w:t>
      </w:r>
      <w:proofErr w:type="spellStart"/>
      <w:r w:rsidRPr="00426F1A">
        <w:rPr>
          <w:bCs/>
        </w:rPr>
        <w:t>Pécresse</w:t>
      </w:r>
      <w:proofErr w:type="spellEnd"/>
      <w:r w:rsidRPr="00426F1A">
        <w:rPr>
          <w:bCs/>
        </w:rPr>
        <w:t xml:space="preserve"> – is a graduate of HEC [</w:t>
      </w:r>
      <w:proofErr w:type="spellStart"/>
      <w:r w:rsidRPr="00426F1A">
        <w:rPr>
          <w:bCs/>
          <w:color w:val="000000"/>
          <w:shd w:val="clear" w:color="auto" w:fill="FFFFFF"/>
        </w:rPr>
        <w:t>Hautes</w:t>
      </w:r>
      <w:proofErr w:type="spellEnd"/>
      <w:r w:rsidRPr="00426F1A">
        <w:rPr>
          <w:bCs/>
          <w:color w:val="000000"/>
          <w:shd w:val="clear" w:color="auto" w:fill="FFFFFF"/>
        </w:rPr>
        <w:t xml:space="preserve"> </w:t>
      </w:r>
      <w:proofErr w:type="spellStart"/>
      <w:r w:rsidRPr="00426F1A">
        <w:rPr>
          <w:bCs/>
          <w:color w:val="000000"/>
          <w:shd w:val="clear" w:color="auto" w:fill="FFFFFF"/>
        </w:rPr>
        <w:t>Études</w:t>
      </w:r>
      <w:proofErr w:type="spellEnd"/>
      <w:r w:rsidRPr="00426F1A">
        <w:rPr>
          <w:bCs/>
          <w:color w:val="000000"/>
          <w:shd w:val="clear" w:color="auto" w:fill="FFFFFF"/>
        </w:rPr>
        <w:t xml:space="preserve"> </w:t>
      </w:r>
      <w:proofErr w:type="spellStart"/>
      <w:r w:rsidRPr="00426F1A">
        <w:rPr>
          <w:bCs/>
          <w:color w:val="000000"/>
          <w:shd w:val="clear" w:color="auto" w:fill="FFFFFF"/>
        </w:rPr>
        <w:t>Commerciales</w:t>
      </w:r>
      <w:proofErr w:type="spellEnd"/>
      <w:r w:rsidRPr="00426F1A">
        <w:rPr>
          <w:bCs/>
          <w:color w:val="000000"/>
          <w:shd w:val="clear" w:color="auto" w:fill="FFFFFF"/>
        </w:rPr>
        <w:t xml:space="preserve"> de Paris]</w:t>
      </w:r>
      <w:r w:rsidRPr="00426F1A">
        <w:t>, a Parisian business school founded in 1881.</w:t>
      </w:r>
    </w:p>
    <w:p w:rsidR="00B8631A" w:rsidRDefault="00B8631A" w:rsidP="00F03A63">
      <w:pPr>
        <w:jc w:val="both"/>
      </w:pPr>
    </w:p>
    <w:p w:rsidR="00B8631A" w:rsidRDefault="002F6049" w:rsidP="00F03A63">
      <w:pPr>
        <w:jc w:val="both"/>
      </w:pPr>
      <w:r>
        <w:t>A</w:t>
      </w:r>
      <w:r w:rsidR="00F03A63">
        <w:t xml:space="preserve">ll Grande </w:t>
      </w:r>
      <w:proofErr w:type="spellStart"/>
      <w:r w:rsidR="00F03A63">
        <w:t>Ecoles</w:t>
      </w:r>
      <w:proofErr w:type="spellEnd"/>
      <w:r w:rsidR="00F03A63">
        <w:t xml:space="preserve"> have strong links to industry in their respective fields. In the </w:t>
      </w:r>
      <w:r w:rsidR="006B1E11">
        <w:t xml:space="preserve">fairly recent </w:t>
      </w:r>
      <w:r w:rsidR="00F03A63">
        <w:t>past, only a few professors at the Grande</w:t>
      </w:r>
      <w:r w:rsidR="006B1E11">
        <w:t xml:space="preserve"> </w:t>
      </w:r>
      <w:proofErr w:type="spellStart"/>
      <w:r w:rsidR="006B1E11">
        <w:t>Ecoles</w:t>
      </w:r>
      <w:proofErr w:type="spellEnd"/>
      <w:r w:rsidR="006B1E11">
        <w:t xml:space="preserve"> held a doctorate degree; </w:t>
      </w:r>
      <w:r w:rsidR="00F03A63">
        <w:t xml:space="preserve">emphasis was mainly placed on practice-oriented teaching with little involvement in academic research. Over the last few years this has </w:t>
      </w:r>
      <w:r w:rsidR="006B1E11">
        <w:t xml:space="preserve">changed significantly and largely as a result </w:t>
      </w:r>
      <w:proofErr w:type="gramStart"/>
      <w:r w:rsidR="006B1E11">
        <w:t xml:space="preserve">of </w:t>
      </w:r>
      <w:r w:rsidR="00F03A63">
        <w:t xml:space="preserve"> accreditation</w:t>
      </w:r>
      <w:proofErr w:type="gramEnd"/>
      <w:r w:rsidR="00F03A63">
        <w:t xml:space="preserve"> pre</w:t>
      </w:r>
      <w:r w:rsidR="00B8631A">
        <w:t>ssures (such as AACSB), a higher</w:t>
      </w:r>
      <w:r w:rsidR="00F03A63">
        <w:t xml:space="preserve"> </w:t>
      </w:r>
      <w:r w:rsidR="00B8631A">
        <w:t>proportion</w:t>
      </w:r>
      <w:r w:rsidR="00F03A63">
        <w:t xml:space="preserve"> of </w:t>
      </w:r>
      <w:r w:rsidR="00622DF7">
        <w:t xml:space="preserve">academic </w:t>
      </w:r>
      <w:r w:rsidR="00F03A63">
        <w:t xml:space="preserve">staff </w:t>
      </w:r>
      <w:r w:rsidR="00B8631A">
        <w:t>are</w:t>
      </w:r>
      <w:r w:rsidR="00F03A63">
        <w:t xml:space="preserve"> now required to hold PhDs from a public university and demonstrate research activity. </w:t>
      </w:r>
      <w:r w:rsidR="00622DF7">
        <w:t>These factors are summarised in Table 1 below.</w:t>
      </w:r>
      <w:r w:rsidR="00792A37">
        <w:t xml:space="preserve"> Note that the data from this and subsequent tables </w:t>
      </w:r>
      <w:proofErr w:type="gramStart"/>
      <w:r w:rsidR="00792A37">
        <w:t>was</w:t>
      </w:r>
      <w:proofErr w:type="gramEnd"/>
      <w:r w:rsidR="00792A37">
        <w:t xml:space="preserve"> collected from publicly available information and interaction with relevant programme-management.</w:t>
      </w:r>
    </w:p>
    <w:p w:rsidR="00622DF7" w:rsidRDefault="00622DF7" w:rsidP="00F03A63">
      <w:pPr>
        <w:jc w:val="both"/>
      </w:pPr>
    </w:p>
    <w:p w:rsidR="00622DF7" w:rsidRDefault="00622DF7" w:rsidP="00622DF7">
      <w:pPr>
        <w:jc w:val="both"/>
      </w:pPr>
      <w:r>
        <w:t xml:space="preserve">Nonetheless, in France the general divide between a practically oriented education at the Grande </w:t>
      </w:r>
      <w:proofErr w:type="spellStart"/>
      <w:r>
        <w:t>Ecoles</w:t>
      </w:r>
      <w:proofErr w:type="spellEnd"/>
      <w:r>
        <w:t xml:space="preserve">, and a more academic oriented education at the public universities remains. However, it also needs to be pointed out that a large part of the national research output stems from independent research centres (such as the CNRS or INSEE) which are not necessarily integrated into universities.  Further, public universities have been criticized for their distance from potential graduate employers, whereas traditionally Grande </w:t>
      </w:r>
      <w:proofErr w:type="spellStart"/>
      <w:r>
        <w:t>Ecoles</w:t>
      </w:r>
      <w:proofErr w:type="spellEnd"/>
      <w:r>
        <w:t xml:space="preserve"> have cultivated good relationships with industry. Apart from this broad distinction between the two types of higher education institution, there are several other key differences that are of importance.</w:t>
      </w:r>
    </w:p>
    <w:p w:rsidR="00622DF7" w:rsidRDefault="00622DF7" w:rsidP="00F03A63">
      <w:pPr>
        <w:jc w:val="both"/>
      </w:pPr>
    </w:p>
    <w:p w:rsidR="00622DF7" w:rsidRDefault="00622DF7" w:rsidP="00F03A63">
      <w:pPr>
        <w:jc w:val="both"/>
      </w:pPr>
      <w:r>
        <w:t xml:space="preserve">The French Education Ministry has more control over public universities than Grande </w:t>
      </w:r>
      <w:proofErr w:type="spellStart"/>
      <w:r>
        <w:t>Ecoles</w:t>
      </w:r>
      <w:proofErr w:type="spellEnd"/>
      <w:r>
        <w:t xml:space="preserve">, whereas the latter may be more often affiliated with city/region specific Chambers of Commerce. Due to changes in public policies over the last two decades public universities have suffered from the </w:t>
      </w:r>
      <w:proofErr w:type="spellStart"/>
      <w:r w:rsidRPr="00B8631A">
        <w:rPr>
          <w:i/>
        </w:rPr>
        <w:t>massification</w:t>
      </w:r>
      <w:proofErr w:type="spellEnd"/>
      <w:r>
        <w:t xml:space="preserve"> of the higher education system, with more entrants on the one hand, and less public funding on the other. In general, public universities admit </w:t>
      </w:r>
      <w:r>
        <w:lastRenderedPageBreak/>
        <w:t>students after they leave secondary school with their Highers or A-</w:t>
      </w:r>
      <w:r w:rsidR="00165061">
        <w:t>levels. In contrast, the Grande</w:t>
      </w:r>
      <w:r>
        <w:t xml:space="preserve"> </w:t>
      </w:r>
      <w:proofErr w:type="spellStart"/>
      <w:r>
        <w:t>Ecoles</w:t>
      </w:r>
      <w:proofErr w:type="spellEnd"/>
      <w:r>
        <w:t xml:space="preserve"> can choose the type of students as well as the student numbers for each year of intake. One result is the much lower student/staff ratio at Grande </w:t>
      </w:r>
      <w:proofErr w:type="spellStart"/>
      <w:r>
        <w:t>Ecoles</w:t>
      </w:r>
      <w:proofErr w:type="spellEnd"/>
      <w:r>
        <w:t xml:space="preserve">, which may positively impact teaching outcomes. Moreover, the </w:t>
      </w:r>
      <w:r w:rsidR="006906FB">
        <w:t>contact time</w:t>
      </w:r>
      <w:r>
        <w:t xml:space="preserve"> is much lower in public universities (about 1,000 to 1,500 hours of teaching during a three year period) than at a Grande </w:t>
      </w:r>
      <w:proofErr w:type="spellStart"/>
      <w:r>
        <w:t>Ecoles</w:t>
      </w:r>
      <w:proofErr w:type="spellEnd"/>
      <w:r>
        <w:t xml:space="preserve"> (about 1,800 to 2,000 hours). Overall, these differences explain as well the higher costs of teaching associated </w:t>
      </w:r>
      <w:r w:rsidR="00165061">
        <w:t>with each student at the Grande</w:t>
      </w:r>
      <w:r>
        <w:t xml:space="preserve"> </w:t>
      </w:r>
      <w:proofErr w:type="spellStart"/>
      <w:r>
        <w:t>Ecoles</w:t>
      </w:r>
      <w:proofErr w:type="spellEnd"/>
      <w:r>
        <w:t xml:space="preserve"> in comparison to public universities (Paul, </w:t>
      </w:r>
      <w:r w:rsidRPr="00C12E69">
        <w:t>2007).</w:t>
      </w:r>
      <w:r w:rsidR="00165061">
        <w:t xml:space="preserve"> </w:t>
      </w:r>
    </w:p>
    <w:p w:rsidR="00792A37" w:rsidRDefault="00F03A63" w:rsidP="00BC3ADE">
      <w:pPr>
        <w:jc w:val="both"/>
        <w:rPr>
          <w:rFonts w:asciiTheme="majorHAnsi" w:eastAsiaTheme="majorEastAsia" w:hAnsiTheme="majorHAnsi" w:cstheme="majorBidi"/>
          <w:b/>
          <w:bCs/>
          <w:color w:val="4F81BD" w:themeColor="accent1"/>
        </w:rPr>
      </w:pPr>
      <w:r>
        <w:t xml:space="preserve"> </w:t>
      </w:r>
    </w:p>
    <w:p w:rsidR="00766F22" w:rsidRDefault="00766F22" w:rsidP="009E0B8B">
      <w:pPr>
        <w:pStyle w:val="Heading3"/>
      </w:pPr>
      <w:proofErr w:type="gramStart"/>
      <w:r>
        <w:t>Table 1.</w:t>
      </w:r>
      <w:proofErr w:type="gramEnd"/>
      <w:r>
        <w:t xml:space="preserve"> Institutional Rank and Accreditation </w:t>
      </w:r>
    </w:p>
    <w:p w:rsidR="00766F22" w:rsidRPr="00BC3ADE" w:rsidRDefault="00766F22" w:rsidP="00F03A63">
      <w:pPr>
        <w:jc w:val="both"/>
        <w:rPr>
          <w:sz w:val="14"/>
        </w:rPr>
      </w:pPr>
    </w:p>
    <w:tbl>
      <w:tblPr>
        <w:tblStyle w:val="ColorfulGrid-Accent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313"/>
        <w:gridCol w:w="1313"/>
        <w:gridCol w:w="1313"/>
        <w:gridCol w:w="755"/>
        <w:gridCol w:w="648"/>
      </w:tblGrid>
      <w:tr w:rsidR="00EB22E9" w:rsidRPr="00EB22E9" w:rsidTr="00BC3AD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jc w:val="center"/>
              <w:rPr>
                <w:rFonts w:ascii="Calibri" w:hAnsi="Calibri" w:cs="Calibri"/>
                <w:color w:val="000000"/>
                <w:sz w:val="20"/>
                <w:szCs w:val="22"/>
                <w:lang w:eastAsia="zh-CN"/>
              </w:rPr>
            </w:pPr>
          </w:p>
        </w:tc>
        <w:tc>
          <w:tcPr>
            <w:tcW w:w="0" w:type="auto"/>
            <w:gridSpan w:val="3"/>
            <w:noWrap/>
            <w:hideMark/>
          </w:tcPr>
          <w:p w:rsidR="00EB22E9" w:rsidRPr="009E0B8B" w:rsidRDefault="00EB22E9" w:rsidP="00EB22E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 xml:space="preserve">Ranking - </w:t>
            </w:r>
            <w:proofErr w:type="spellStart"/>
            <w:r w:rsidRPr="009E0B8B">
              <w:rPr>
                <w:rFonts w:ascii="Calibri" w:hAnsi="Calibri" w:cs="Calibri"/>
                <w:color w:val="000000"/>
                <w:sz w:val="20"/>
                <w:szCs w:val="22"/>
                <w:lang w:eastAsia="zh-CN"/>
              </w:rPr>
              <w:t>Letudiant</w:t>
            </w:r>
            <w:proofErr w:type="spellEnd"/>
          </w:p>
        </w:tc>
        <w:tc>
          <w:tcPr>
            <w:tcW w:w="0" w:type="auto"/>
            <w:gridSpan w:val="2"/>
            <w:noWrap/>
            <w:hideMark/>
          </w:tcPr>
          <w:p w:rsidR="00EB22E9" w:rsidRPr="009E0B8B" w:rsidRDefault="00EB22E9" w:rsidP="00EB22E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Accreditation</w:t>
            </w:r>
          </w:p>
        </w:tc>
      </w:tr>
      <w:tr w:rsidR="00EB22E9" w:rsidRPr="00EB22E9" w:rsidTr="00BC3AD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b/>
                <w:bCs/>
                <w:sz w:val="20"/>
                <w:szCs w:val="22"/>
                <w:lang w:eastAsia="zh-CN"/>
              </w:rPr>
            </w:pPr>
            <w:r w:rsidRPr="009E0B8B">
              <w:rPr>
                <w:rFonts w:ascii="Calibri" w:hAnsi="Calibri" w:cs="Calibri"/>
                <w:b/>
                <w:bCs/>
                <w:sz w:val="20"/>
                <w:szCs w:val="22"/>
                <w:lang w:eastAsia="zh-CN"/>
              </w:rPr>
              <w:t>Institution Name</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Ranking 2010</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Ranking 2009</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 xml:space="preserve">Ranking 2008 </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AACSB</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proofErr w:type="spellStart"/>
            <w:r w:rsidRPr="009E0B8B">
              <w:rPr>
                <w:rFonts w:ascii="Calibri" w:hAnsi="Calibri" w:cs="Calibri"/>
                <w:color w:val="000000"/>
                <w:sz w:val="20"/>
                <w:szCs w:val="22"/>
                <w:lang w:eastAsia="zh-CN"/>
              </w:rPr>
              <w:t>Equis</w:t>
            </w:r>
            <w:proofErr w:type="spellEnd"/>
          </w:p>
        </w:tc>
      </w:tr>
      <w:tr w:rsidR="00EB22E9" w:rsidRPr="00EB22E9" w:rsidTr="00BC3ADE">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HEC</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r>
      <w:tr w:rsidR="00EB22E9" w:rsidRPr="00EB22E9" w:rsidTr="00BC3AD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ESSEC</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r>
      <w:tr w:rsidR="00EB22E9" w:rsidRPr="00EB22E9" w:rsidTr="00BC3ADE">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ESCP</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3</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3</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3</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r>
      <w:tr w:rsidR="00EB22E9" w:rsidRPr="00EB22E9" w:rsidTr="00BC3AD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EM Lyon</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4</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4</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4</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r>
      <w:tr w:rsidR="00EB22E9" w:rsidRPr="00EB22E9" w:rsidTr="00BC3ADE">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EDHEC</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5</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5</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5</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r>
      <w:tr w:rsidR="00EB22E9" w:rsidRPr="00EB22E9" w:rsidTr="00BC3AD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proofErr w:type="spellStart"/>
            <w:r w:rsidRPr="009E0B8B">
              <w:rPr>
                <w:rFonts w:ascii="Calibri" w:hAnsi="Calibri" w:cs="Calibri"/>
                <w:sz w:val="20"/>
                <w:szCs w:val="22"/>
                <w:lang w:eastAsia="zh-CN"/>
              </w:rPr>
              <w:t>Audencia</w:t>
            </w:r>
            <w:proofErr w:type="spellEnd"/>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6</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6</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6</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r>
      <w:tr w:rsidR="00EB22E9" w:rsidRPr="00EB22E9" w:rsidTr="00BC3ADE">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ESC Grenoble</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7</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6</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6</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r>
      <w:tr w:rsidR="00EB22E9" w:rsidRPr="00EB22E9" w:rsidTr="00BC3AD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Sup de Co Reims</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8</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8</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10</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r>
      <w:tr w:rsidR="00EB22E9" w:rsidRPr="00EB22E9" w:rsidTr="00BC3ADE">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Rouen Business School (ESC)</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8</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10</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11</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r>
      <w:tr w:rsidR="00EB22E9" w:rsidRPr="00EB22E9" w:rsidTr="00BC3AD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IESEG</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8</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12</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13</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r>
      <w:tr w:rsidR="00EB22E9" w:rsidRPr="00EB22E9" w:rsidTr="00BC3ADE">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proofErr w:type="spellStart"/>
            <w:r w:rsidRPr="009E0B8B">
              <w:rPr>
                <w:rFonts w:ascii="Calibri" w:hAnsi="Calibri" w:cs="Calibri"/>
                <w:sz w:val="20"/>
                <w:szCs w:val="22"/>
                <w:lang w:eastAsia="zh-CN"/>
              </w:rPr>
              <w:t>Euromed</w:t>
            </w:r>
            <w:proofErr w:type="spellEnd"/>
            <w:r w:rsidRPr="009E0B8B">
              <w:rPr>
                <w:rFonts w:ascii="Calibri" w:hAnsi="Calibri" w:cs="Calibri"/>
                <w:sz w:val="20"/>
                <w:szCs w:val="22"/>
                <w:lang w:eastAsia="zh-CN"/>
              </w:rPr>
              <w:t xml:space="preserve"> Management</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11</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8</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9</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r>
      <w:tr w:rsidR="00EB22E9" w:rsidRPr="00EB22E9" w:rsidTr="00BC3AD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ESC Toulouse</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12</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11</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6</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r>
      <w:tr w:rsidR="00EB22E9" w:rsidRPr="00EB22E9" w:rsidTr="00BC3ADE">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ESC Bordeaux (BEM)</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13</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13</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12</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r>
      <w:tr w:rsidR="00EB22E9" w:rsidRPr="00EB22E9" w:rsidTr="00BC3AD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EM Strasbourg</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14</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24</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21</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r>
      <w:tr w:rsidR="00EB22E9" w:rsidRPr="00EB22E9" w:rsidTr="00BC3ADE">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ESC Lille (SKEMA)</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15</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14</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15</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r>
      <w:tr w:rsidR="00EB22E9" w:rsidRPr="00EB22E9" w:rsidTr="00BC3AD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CERAM (SKEMA)</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16</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17</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17</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r>
      <w:tr w:rsidR="00EB22E9" w:rsidRPr="00EB22E9" w:rsidTr="00BC3ADE">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ESC Rennes</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17</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22</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23</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r>
      <w:tr w:rsidR="00EB22E9" w:rsidRPr="00EB22E9" w:rsidTr="00BC3AD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ESSCA</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18</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15</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13</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r>
      <w:tr w:rsidR="00EB22E9" w:rsidRPr="00EB22E9" w:rsidTr="00BC3ADE">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ESG</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18</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19</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17</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r>
      <w:tr w:rsidR="00EB22E9" w:rsidRPr="00EB22E9" w:rsidTr="00BC3AD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ESC Tours-Poitiers (ESCEM)</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20</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15</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17</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r>
      <w:tr w:rsidR="00EB22E9" w:rsidRPr="00EB22E9" w:rsidTr="00BC3ADE">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ESC Montpellier</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21</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22</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24</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r>
      <w:tr w:rsidR="00EB22E9" w:rsidRPr="00EB22E9" w:rsidTr="00BC3AD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 xml:space="preserve">Telecom </w:t>
            </w:r>
            <w:proofErr w:type="spellStart"/>
            <w:r w:rsidRPr="009E0B8B">
              <w:rPr>
                <w:rFonts w:ascii="Calibri" w:hAnsi="Calibri" w:cs="Calibri"/>
                <w:sz w:val="20"/>
                <w:szCs w:val="22"/>
                <w:lang w:eastAsia="zh-CN"/>
              </w:rPr>
              <w:t>Ecole</w:t>
            </w:r>
            <w:proofErr w:type="spellEnd"/>
            <w:r w:rsidRPr="009E0B8B">
              <w:rPr>
                <w:rFonts w:ascii="Calibri" w:hAnsi="Calibri" w:cs="Calibri"/>
                <w:sz w:val="20"/>
                <w:szCs w:val="22"/>
                <w:lang w:eastAsia="zh-CN"/>
              </w:rPr>
              <w:t xml:space="preserve"> de Management</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21</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17</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16</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r>
      <w:tr w:rsidR="00EB22E9" w:rsidRPr="00EB22E9" w:rsidTr="00BC3ADE">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ISC</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23</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24</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25</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r>
      <w:tr w:rsidR="00EB22E9" w:rsidRPr="00EB22E9" w:rsidTr="00BC3AD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INSEEC</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23</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21</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27</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r>
      <w:tr w:rsidR="00EB22E9" w:rsidRPr="00EB22E9" w:rsidTr="00BC3ADE">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ICN Business School</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25</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19</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21</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r>
      <w:tr w:rsidR="00EB22E9" w:rsidRPr="00EB22E9" w:rsidTr="00BC3AD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ESC Dijon</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26</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24</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17</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r>
      <w:tr w:rsidR="00EB22E9" w:rsidRPr="00EB22E9" w:rsidTr="00BC3ADE">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 xml:space="preserve">EM </w:t>
            </w:r>
            <w:proofErr w:type="spellStart"/>
            <w:r w:rsidRPr="009E0B8B">
              <w:rPr>
                <w:rFonts w:ascii="Calibri" w:hAnsi="Calibri" w:cs="Calibri"/>
                <w:sz w:val="20"/>
                <w:szCs w:val="22"/>
                <w:lang w:eastAsia="zh-CN"/>
              </w:rPr>
              <w:t>Normandie</w:t>
            </w:r>
            <w:proofErr w:type="spellEnd"/>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27</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24</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28</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r>
      <w:tr w:rsidR="00EB22E9" w:rsidRPr="00EB22E9" w:rsidTr="00BC3AD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ESCE</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28</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r>
      <w:tr w:rsidR="00EB22E9" w:rsidRPr="00EB22E9" w:rsidTr="00BC3ADE">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ESC Clermont</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29</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28</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26</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yes</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r>
      <w:tr w:rsidR="00EB22E9" w:rsidRPr="00EB22E9" w:rsidTr="00BC3AD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ESC La Rochelle</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30</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30</w:t>
            </w:r>
          </w:p>
        </w:tc>
        <w:tc>
          <w:tcPr>
            <w:tcW w:w="0" w:type="auto"/>
            <w:noWrap/>
            <w:hideMark/>
          </w:tcPr>
          <w:p w:rsidR="00EB22E9" w:rsidRPr="009E0B8B"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28</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c>
          <w:tcPr>
            <w:tcW w:w="0" w:type="auto"/>
            <w:noWrap/>
            <w:hideMark/>
          </w:tcPr>
          <w:p w:rsidR="00EB22E9" w:rsidRPr="009E0B8B" w:rsidRDefault="00EB22E9" w:rsidP="00EB22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r>
      <w:tr w:rsidR="00EB22E9" w:rsidRPr="00EB22E9" w:rsidTr="00BC3ADE">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EB22E9" w:rsidRPr="009E0B8B" w:rsidRDefault="00EB22E9" w:rsidP="00EB22E9">
            <w:pPr>
              <w:rPr>
                <w:rFonts w:ascii="Calibri" w:hAnsi="Calibri" w:cs="Calibri"/>
                <w:sz w:val="20"/>
                <w:szCs w:val="22"/>
                <w:lang w:eastAsia="zh-CN"/>
              </w:rPr>
            </w:pPr>
            <w:r w:rsidRPr="009E0B8B">
              <w:rPr>
                <w:rFonts w:ascii="Calibri" w:hAnsi="Calibri" w:cs="Calibri"/>
                <w:sz w:val="20"/>
                <w:szCs w:val="22"/>
                <w:lang w:eastAsia="zh-CN"/>
              </w:rPr>
              <w:t>EDC</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30</w:t>
            </w: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p>
        </w:tc>
        <w:tc>
          <w:tcPr>
            <w:tcW w:w="0" w:type="auto"/>
            <w:noWrap/>
            <w:hideMark/>
          </w:tcPr>
          <w:p w:rsidR="00EB22E9" w:rsidRPr="009E0B8B"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c>
          <w:tcPr>
            <w:tcW w:w="0" w:type="auto"/>
            <w:noWrap/>
            <w:hideMark/>
          </w:tcPr>
          <w:p w:rsidR="00EB22E9" w:rsidRPr="009E0B8B" w:rsidRDefault="00EB22E9" w:rsidP="00EB22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lang w:eastAsia="zh-CN"/>
              </w:rPr>
            </w:pPr>
            <w:r w:rsidRPr="009E0B8B">
              <w:rPr>
                <w:rFonts w:ascii="Calibri" w:hAnsi="Calibri" w:cs="Calibri"/>
                <w:color w:val="000000"/>
                <w:sz w:val="20"/>
                <w:szCs w:val="22"/>
                <w:lang w:eastAsia="zh-CN"/>
              </w:rPr>
              <w:t>no</w:t>
            </w:r>
          </w:p>
        </w:tc>
      </w:tr>
    </w:tbl>
    <w:p w:rsidR="00EB22E9" w:rsidRPr="00C12E69" w:rsidRDefault="00EB22E9" w:rsidP="00F03A63">
      <w:pPr>
        <w:jc w:val="both"/>
      </w:pPr>
    </w:p>
    <w:p w:rsidR="00176FD1" w:rsidRDefault="00165061">
      <w:pPr>
        <w:spacing w:after="200" w:line="276" w:lineRule="auto"/>
      </w:pPr>
      <w:r>
        <w:lastRenderedPageBreak/>
        <w:t>Each Grande</w:t>
      </w:r>
      <w:r w:rsidR="00F03A63" w:rsidRPr="009E0B8B">
        <w:t xml:space="preserve"> </w:t>
      </w:r>
      <w:proofErr w:type="spellStart"/>
      <w:r w:rsidR="00F03A63" w:rsidRPr="009E0B8B">
        <w:t>Ecole</w:t>
      </w:r>
      <w:proofErr w:type="spellEnd"/>
      <w:r w:rsidR="00F03A63" w:rsidRPr="009E0B8B">
        <w:t xml:space="preserve"> sets </w:t>
      </w:r>
      <w:proofErr w:type="gramStart"/>
      <w:r w:rsidR="00F03A63" w:rsidRPr="009E0B8B">
        <w:t>their own</w:t>
      </w:r>
      <w:proofErr w:type="gramEnd"/>
      <w:r w:rsidR="00F03A63" w:rsidRPr="009E0B8B">
        <w:t xml:space="preserve"> entry level and exams, the </w:t>
      </w:r>
      <w:proofErr w:type="spellStart"/>
      <w:r w:rsidR="00F03A63" w:rsidRPr="009E0B8B">
        <w:rPr>
          <w:i/>
        </w:rPr>
        <w:t>concours</w:t>
      </w:r>
      <w:proofErr w:type="spellEnd"/>
      <w:r w:rsidR="00F03A63" w:rsidRPr="009E0B8B">
        <w:t>, and decides on that basis which applicants to accept. Depending on the Grande</w:t>
      </w:r>
      <w:r>
        <w:t xml:space="preserve"> </w:t>
      </w:r>
      <w:proofErr w:type="spellStart"/>
      <w:r>
        <w:t>Ecole</w:t>
      </w:r>
      <w:proofErr w:type="spellEnd"/>
      <w:r w:rsidR="00F03A63" w:rsidRPr="009E0B8B">
        <w:t>, admission is in most cases after a two-year preparation course, the</w:t>
      </w:r>
      <w:r w:rsidR="00F03A63" w:rsidRPr="009E0B8B">
        <w:rPr>
          <w:i/>
        </w:rPr>
        <w:t xml:space="preserve"> </w:t>
      </w:r>
      <w:proofErr w:type="spellStart"/>
      <w:r w:rsidR="00F03A63" w:rsidRPr="009E0B8B">
        <w:rPr>
          <w:i/>
        </w:rPr>
        <w:t>classe</w:t>
      </w:r>
      <w:proofErr w:type="spellEnd"/>
      <w:r w:rsidR="00F03A63" w:rsidRPr="009E0B8B">
        <w:rPr>
          <w:i/>
        </w:rPr>
        <w:t xml:space="preserve"> </w:t>
      </w:r>
      <w:proofErr w:type="spellStart"/>
      <w:proofErr w:type="gramStart"/>
      <w:r w:rsidR="00F03A63" w:rsidRPr="009E0B8B">
        <w:rPr>
          <w:i/>
        </w:rPr>
        <w:t>préparatoire</w:t>
      </w:r>
      <w:proofErr w:type="spellEnd"/>
      <w:r w:rsidR="00F03A63" w:rsidRPr="009E0B8B">
        <w:rPr>
          <w:i/>
        </w:rPr>
        <w:t xml:space="preserve">, </w:t>
      </w:r>
      <w:r w:rsidR="00F03A63" w:rsidRPr="009E0B8B">
        <w:t>that</w:t>
      </w:r>
      <w:proofErr w:type="gramEnd"/>
      <w:r w:rsidR="00F03A63" w:rsidRPr="009E0B8B">
        <w:t xml:space="preserve"> students have to pay for and attend after secondary school. </w:t>
      </w:r>
    </w:p>
    <w:p w:rsidR="00AF7A58" w:rsidRDefault="00AF7A58" w:rsidP="009E0B8B">
      <w:pPr>
        <w:pStyle w:val="Heading3"/>
      </w:pPr>
      <w:proofErr w:type="gramStart"/>
      <w:r>
        <w:t>Table 2.</w:t>
      </w:r>
      <w:proofErr w:type="gramEnd"/>
      <w:r>
        <w:t xml:space="preserve"> Student Experience</w:t>
      </w:r>
    </w:p>
    <w:p w:rsidR="00EB22E9" w:rsidRDefault="00EB22E9" w:rsidP="00F03A63">
      <w:pPr>
        <w:jc w:val="both"/>
      </w:pPr>
    </w:p>
    <w:tbl>
      <w:tblPr>
        <w:tblStyle w:val="MediumGrid3-Accent3"/>
        <w:tblW w:w="0" w:type="auto"/>
        <w:tblLook w:val="04A0" w:firstRow="1" w:lastRow="0" w:firstColumn="1" w:lastColumn="0" w:noHBand="0" w:noVBand="1"/>
      </w:tblPr>
      <w:tblGrid>
        <w:gridCol w:w="2093"/>
        <w:gridCol w:w="1843"/>
        <w:gridCol w:w="1134"/>
        <w:gridCol w:w="1842"/>
        <w:gridCol w:w="2144"/>
      </w:tblGrid>
      <w:tr w:rsidR="00EB22E9" w:rsidRPr="00EB22E9" w:rsidTr="00EB22E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p>
        </w:tc>
        <w:tc>
          <w:tcPr>
            <w:tcW w:w="2977" w:type="dxa"/>
            <w:gridSpan w:val="2"/>
            <w:noWrap/>
            <w:hideMark/>
          </w:tcPr>
          <w:p w:rsidR="00EB22E9" w:rsidRPr="00EB22E9" w:rsidRDefault="00EB22E9" w:rsidP="00EB22E9">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Financial Implications</w:t>
            </w:r>
          </w:p>
        </w:tc>
        <w:tc>
          <w:tcPr>
            <w:tcW w:w="3986" w:type="dxa"/>
            <w:gridSpan w:val="2"/>
            <w:noWrap/>
            <w:hideMark/>
          </w:tcPr>
          <w:p w:rsidR="00EB22E9" w:rsidRPr="00EB22E9" w:rsidRDefault="00EB22E9" w:rsidP="00EB22E9">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Exchange and Placement</w:t>
            </w:r>
          </w:p>
        </w:tc>
      </w:tr>
      <w:tr w:rsidR="00EB22E9" w:rsidRPr="00EB22E9"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Institution Name</w:t>
            </w:r>
          </w:p>
        </w:tc>
        <w:tc>
          <w:tcPr>
            <w:tcW w:w="1843" w:type="dxa"/>
            <w:noWrap/>
            <w:hideMark/>
          </w:tcPr>
          <w:p w:rsidR="00EB22E9" w:rsidRPr="00EB22E9" w:rsidRDefault="00EB22E9" w:rsidP="00EB22E9">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Max. Salary after graduation (in K Euros)</w:t>
            </w:r>
          </w:p>
        </w:tc>
        <w:tc>
          <w:tcPr>
            <w:tcW w:w="1134" w:type="dxa"/>
            <w:noWrap/>
            <w:hideMark/>
          </w:tcPr>
          <w:p w:rsidR="00EB22E9" w:rsidRPr="00EB22E9" w:rsidRDefault="00EB22E9" w:rsidP="00EB22E9">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Tuition fees p.a. (in Euros)</w:t>
            </w:r>
          </w:p>
        </w:tc>
        <w:tc>
          <w:tcPr>
            <w:tcW w:w="1842" w:type="dxa"/>
            <w:noWrap/>
            <w:hideMark/>
          </w:tcPr>
          <w:p w:rsidR="00EB22E9" w:rsidRPr="00EB22E9" w:rsidRDefault="00EB22E9" w:rsidP="00EB22E9">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Obligatory study abroad period (months)</w:t>
            </w:r>
          </w:p>
        </w:tc>
        <w:tc>
          <w:tcPr>
            <w:tcW w:w="2144" w:type="dxa"/>
            <w:noWrap/>
            <w:hideMark/>
          </w:tcPr>
          <w:p w:rsidR="00EB22E9" w:rsidRPr="00EB22E9" w:rsidRDefault="00EB22E9" w:rsidP="00EB22E9">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Obligatory time on industrial placement(months)</w:t>
            </w:r>
          </w:p>
        </w:tc>
      </w:tr>
      <w:tr w:rsidR="00EB22E9" w:rsidRPr="00EB22E9" w:rsidTr="00EB22E9">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HEC</w:t>
            </w:r>
          </w:p>
        </w:tc>
        <w:tc>
          <w:tcPr>
            <w:tcW w:w="1843"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41</w:t>
            </w:r>
          </w:p>
        </w:tc>
        <w:tc>
          <w:tcPr>
            <w:tcW w:w="113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8967</w:t>
            </w:r>
          </w:p>
        </w:tc>
        <w:tc>
          <w:tcPr>
            <w:tcW w:w="1842"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w:t>
            </w:r>
          </w:p>
        </w:tc>
        <w:tc>
          <w:tcPr>
            <w:tcW w:w="214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10</w:t>
            </w:r>
          </w:p>
        </w:tc>
      </w:tr>
      <w:tr w:rsidR="00EB22E9" w:rsidRPr="00EB22E9"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ESSEC</w:t>
            </w:r>
          </w:p>
        </w:tc>
        <w:tc>
          <w:tcPr>
            <w:tcW w:w="1843"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41</w:t>
            </w:r>
          </w:p>
        </w:tc>
        <w:tc>
          <w:tcPr>
            <w:tcW w:w="113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9800</w:t>
            </w:r>
          </w:p>
        </w:tc>
        <w:tc>
          <w:tcPr>
            <w:tcW w:w="1842"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w:t>
            </w:r>
          </w:p>
        </w:tc>
        <w:tc>
          <w:tcPr>
            <w:tcW w:w="214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18</w:t>
            </w:r>
          </w:p>
        </w:tc>
      </w:tr>
      <w:tr w:rsidR="00EB22E9" w:rsidRPr="00EB22E9" w:rsidTr="00EB22E9">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ESCP</w:t>
            </w:r>
          </w:p>
        </w:tc>
        <w:tc>
          <w:tcPr>
            <w:tcW w:w="1843"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41</w:t>
            </w:r>
          </w:p>
        </w:tc>
        <w:tc>
          <w:tcPr>
            <w:tcW w:w="113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8400</w:t>
            </w:r>
          </w:p>
        </w:tc>
        <w:tc>
          <w:tcPr>
            <w:tcW w:w="1842"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w:t>
            </w:r>
          </w:p>
        </w:tc>
        <w:tc>
          <w:tcPr>
            <w:tcW w:w="214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10</w:t>
            </w:r>
          </w:p>
        </w:tc>
      </w:tr>
      <w:tr w:rsidR="00EB22E9" w:rsidRPr="00EB22E9"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EM Lyon</w:t>
            </w:r>
          </w:p>
        </w:tc>
        <w:tc>
          <w:tcPr>
            <w:tcW w:w="1843"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41</w:t>
            </w:r>
          </w:p>
        </w:tc>
        <w:tc>
          <w:tcPr>
            <w:tcW w:w="113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7833</w:t>
            </w:r>
          </w:p>
        </w:tc>
        <w:tc>
          <w:tcPr>
            <w:tcW w:w="1842"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12</w:t>
            </w:r>
          </w:p>
        </w:tc>
        <w:tc>
          <w:tcPr>
            <w:tcW w:w="214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18</w:t>
            </w:r>
          </w:p>
        </w:tc>
      </w:tr>
      <w:tr w:rsidR="00EB22E9" w:rsidRPr="00EB22E9" w:rsidTr="00EB22E9">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EDHEC</w:t>
            </w:r>
          </w:p>
        </w:tc>
        <w:tc>
          <w:tcPr>
            <w:tcW w:w="1843"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39</w:t>
            </w:r>
          </w:p>
        </w:tc>
        <w:tc>
          <w:tcPr>
            <w:tcW w:w="113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8333</w:t>
            </w:r>
          </w:p>
        </w:tc>
        <w:tc>
          <w:tcPr>
            <w:tcW w:w="1842"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w:t>
            </w:r>
          </w:p>
        </w:tc>
        <w:tc>
          <w:tcPr>
            <w:tcW w:w="214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12</w:t>
            </w:r>
          </w:p>
        </w:tc>
      </w:tr>
      <w:tr w:rsidR="00EB22E9" w:rsidRPr="00EB22E9"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proofErr w:type="spellStart"/>
            <w:r w:rsidRPr="00EB22E9">
              <w:rPr>
                <w:rFonts w:asciiTheme="minorHAnsi" w:eastAsiaTheme="minorEastAsia" w:hAnsiTheme="minorHAnsi" w:cstheme="minorBidi"/>
                <w:sz w:val="20"/>
                <w:szCs w:val="22"/>
                <w:lang w:eastAsia="zh-CN"/>
              </w:rPr>
              <w:t>Audencia</w:t>
            </w:r>
            <w:proofErr w:type="spellEnd"/>
          </w:p>
        </w:tc>
        <w:tc>
          <w:tcPr>
            <w:tcW w:w="1843"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37</w:t>
            </w:r>
          </w:p>
        </w:tc>
        <w:tc>
          <w:tcPr>
            <w:tcW w:w="113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7200</w:t>
            </w:r>
          </w:p>
        </w:tc>
        <w:tc>
          <w:tcPr>
            <w:tcW w:w="1842"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w:t>
            </w:r>
          </w:p>
        </w:tc>
        <w:tc>
          <w:tcPr>
            <w:tcW w:w="214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14.5</w:t>
            </w:r>
          </w:p>
        </w:tc>
      </w:tr>
      <w:tr w:rsidR="00EB22E9" w:rsidRPr="00EB22E9" w:rsidTr="00EB22E9">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ESC Grenoble</w:t>
            </w:r>
          </w:p>
        </w:tc>
        <w:tc>
          <w:tcPr>
            <w:tcW w:w="1843"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37</w:t>
            </w:r>
          </w:p>
        </w:tc>
        <w:tc>
          <w:tcPr>
            <w:tcW w:w="113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8293</w:t>
            </w:r>
          </w:p>
        </w:tc>
        <w:tc>
          <w:tcPr>
            <w:tcW w:w="1842"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w:t>
            </w:r>
          </w:p>
        </w:tc>
        <w:tc>
          <w:tcPr>
            <w:tcW w:w="214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12</w:t>
            </w:r>
          </w:p>
        </w:tc>
      </w:tr>
      <w:tr w:rsidR="00EB22E9" w:rsidRPr="00EB22E9"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Sup de Co Reims</w:t>
            </w:r>
          </w:p>
        </w:tc>
        <w:tc>
          <w:tcPr>
            <w:tcW w:w="1843"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37</w:t>
            </w:r>
          </w:p>
        </w:tc>
        <w:tc>
          <w:tcPr>
            <w:tcW w:w="113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8155</w:t>
            </w:r>
          </w:p>
        </w:tc>
        <w:tc>
          <w:tcPr>
            <w:tcW w:w="1842"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w:t>
            </w:r>
          </w:p>
        </w:tc>
        <w:tc>
          <w:tcPr>
            <w:tcW w:w="214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w:t>
            </w:r>
          </w:p>
        </w:tc>
      </w:tr>
      <w:tr w:rsidR="00EB22E9" w:rsidRPr="00EB22E9" w:rsidTr="00EB22E9">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Rouen Business School (ESC)</w:t>
            </w:r>
          </w:p>
        </w:tc>
        <w:tc>
          <w:tcPr>
            <w:tcW w:w="1843"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37</w:t>
            </w:r>
          </w:p>
        </w:tc>
        <w:tc>
          <w:tcPr>
            <w:tcW w:w="113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7850</w:t>
            </w:r>
          </w:p>
        </w:tc>
        <w:tc>
          <w:tcPr>
            <w:tcW w:w="1842"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4</w:t>
            </w:r>
          </w:p>
        </w:tc>
        <w:tc>
          <w:tcPr>
            <w:tcW w:w="214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p>
        </w:tc>
      </w:tr>
      <w:tr w:rsidR="00EB22E9" w:rsidRPr="00EB22E9"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IESEG</w:t>
            </w:r>
          </w:p>
        </w:tc>
        <w:tc>
          <w:tcPr>
            <w:tcW w:w="1843"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34</w:t>
            </w:r>
          </w:p>
        </w:tc>
        <w:tc>
          <w:tcPr>
            <w:tcW w:w="113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6579</w:t>
            </w:r>
          </w:p>
        </w:tc>
        <w:tc>
          <w:tcPr>
            <w:tcW w:w="1842"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4</w:t>
            </w:r>
          </w:p>
        </w:tc>
        <w:tc>
          <w:tcPr>
            <w:tcW w:w="214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20.5</w:t>
            </w:r>
          </w:p>
        </w:tc>
      </w:tr>
      <w:tr w:rsidR="00EB22E9" w:rsidRPr="00EB22E9" w:rsidTr="00EB22E9">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proofErr w:type="spellStart"/>
            <w:r w:rsidRPr="00EB22E9">
              <w:rPr>
                <w:rFonts w:asciiTheme="minorHAnsi" w:eastAsiaTheme="minorEastAsia" w:hAnsiTheme="minorHAnsi" w:cstheme="minorBidi"/>
                <w:sz w:val="20"/>
                <w:szCs w:val="22"/>
                <w:lang w:eastAsia="zh-CN"/>
              </w:rPr>
              <w:t>Euromed</w:t>
            </w:r>
            <w:proofErr w:type="spellEnd"/>
            <w:r w:rsidRPr="00EB22E9">
              <w:rPr>
                <w:rFonts w:asciiTheme="minorHAnsi" w:eastAsiaTheme="minorEastAsia" w:hAnsiTheme="minorHAnsi" w:cstheme="minorBidi"/>
                <w:sz w:val="20"/>
                <w:szCs w:val="22"/>
                <w:lang w:eastAsia="zh-CN"/>
              </w:rPr>
              <w:t xml:space="preserve"> Management</w:t>
            </w:r>
          </w:p>
        </w:tc>
        <w:tc>
          <w:tcPr>
            <w:tcW w:w="1843"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34</w:t>
            </w:r>
          </w:p>
        </w:tc>
        <w:tc>
          <w:tcPr>
            <w:tcW w:w="113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7267</w:t>
            </w:r>
          </w:p>
        </w:tc>
        <w:tc>
          <w:tcPr>
            <w:tcW w:w="1842"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w:t>
            </w:r>
          </w:p>
        </w:tc>
        <w:tc>
          <w:tcPr>
            <w:tcW w:w="214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w:t>
            </w:r>
          </w:p>
        </w:tc>
      </w:tr>
      <w:tr w:rsidR="00EB22E9" w:rsidRPr="00EB22E9"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ESC Toulouse</w:t>
            </w:r>
          </w:p>
        </w:tc>
        <w:tc>
          <w:tcPr>
            <w:tcW w:w="1843"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34</w:t>
            </w:r>
          </w:p>
        </w:tc>
        <w:tc>
          <w:tcPr>
            <w:tcW w:w="113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8233</w:t>
            </w:r>
          </w:p>
        </w:tc>
        <w:tc>
          <w:tcPr>
            <w:tcW w:w="1842"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w:t>
            </w:r>
          </w:p>
        </w:tc>
        <w:tc>
          <w:tcPr>
            <w:tcW w:w="214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10</w:t>
            </w:r>
          </w:p>
        </w:tc>
      </w:tr>
      <w:tr w:rsidR="00EB22E9" w:rsidRPr="00EB22E9" w:rsidTr="00EB22E9">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ESC Bordeaux (BEM)</w:t>
            </w:r>
          </w:p>
        </w:tc>
        <w:tc>
          <w:tcPr>
            <w:tcW w:w="1843"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34</w:t>
            </w:r>
          </w:p>
        </w:tc>
        <w:tc>
          <w:tcPr>
            <w:tcW w:w="113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7640</w:t>
            </w:r>
          </w:p>
        </w:tc>
        <w:tc>
          <w:tcPr>
            <w:tcW w:w="1842"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w:t>
            </w:r>
          </w:p>
        </w:tc>
        <w:tc>
          <w:tcPr>
            <w:tcW w:w="214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8</w:t>
            </w:r>
          </w:p>
        </w:tc>
      </w:tr>
      <w:tr w:rsidR="00EB22E9" w:rsidRPr="00EB22E9"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EM Strasbourg</w:t>
            </w:r>
          </w:p>
        </w:tc>
        <w:tc>
          <w:tcPr>
            <w:tcW w:w="1843"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33</w:t>
            </w:r>
          </w:p>
        </w:tc>
        <w:tc>
          <w:tcPr>
            <w:tcW w:w="113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5100</w:t>
            </w:r>
          </w:p>
        </w:tc>
        <w:tc>
          <w:tcPr>
            <w:tcW w:w="1842"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12</w:t>
            </w:r>
          </w:p>
        </w:tc>
        <w:tc>
          <w:tcPr>
            <w:tcW w:w="214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9</w:t>
            </w:r>
          </w:p>
        </w:tc>
      </w:tr>
      <w:tr w:rsidR="00EB22E9" w:rsidRPr="00EB22E9" w:rsidTr="00EB22E9">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ESC Lille (SKEMA)</w:t>
            </w:r>
          </w:p>
        </w:tc>
        <w:tc>
          <w:tcPr>
            <w:tcW w:w="1843"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34</w:t>
            </w:r>
          </w:p>
        </w:tc>
        <w:tc>
          <w:tcPr>
            <w:tcW w:w="113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8377</w:t>
            </w:r>
          </w:p>
        </w:tc>
        <w:tc>
          <w:tcPr>
            <w:tcW w:w="1842"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6.5</w:t>
            </w:r>
          </w:p>
        </w:tc>
        <w:tc>
          <w:tcPr>
            <w:tcW w:w="214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8</w:t>
            </w:r>
          </w:p>
        </w:tc>
      </w:tr>
      <w:tr w:rsidR="00EB22E9" w:rsidRPr="00EB22E9"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CERAM (SKEMA)</w:t>
            </w:r>
          </w:p>
        </w:tc>
        <w:tc>
          <w:tcPr>
            <w:tcW w:w="1843"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33.5</w:t>
            </w:r>
          </w:p>
        </w:tc>
        <w:tc>
          <w:tcPr>
            <w:tcW w:w="113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7700</w:t>
            </w:r>
          </w:p>
        </w:tc>
        <w:tc>
          <w:tcPr>
            <w:tcW w:w="1842"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w:t>
            </w:r>
          </w:p>
        </w:tc>
        <w:tc>
          <w:tcPr>
            <w:tcW w:w="214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9</w:t>
            </w:r>
          </w:p>
        </w:tc>
      </w:tr>
      <w:tr w:rsidR="00EB22E9" w:rsidRPr="00EB22E9" w:rsidTr="00EB22E9">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ESC Rennes</w:t>
            </w:r>
          </w:p>
        </w:tc>
        <w:tc>
          <w:tcPr>
            <w:tcW w:w="1843"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33.5</w:t>
            </w:r>
          </w:p>
        </w:tc>
        <w:tc>
          <w:tcPr>
            <w:tcW w:w="113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7167</w:t>
            </w:r>
          </w:p>
        </w:tc>
        <w:tc>
          <w:tcPr>
            <w:tcW w:w="1842"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w:t>
            </w:r>
          </w:p>
        </w:tc>
        <w:tc>
          <w:tcPr>
            <w:tcW w:w="214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8</w:t>
            </w:r>
          </w:p>
        </w:tc>
      </w:tr>
      <w:tr w:rsidR="00EB22E9" w:rsidRPr="00EB22E9"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ESSCA</w:t>
            </w:r>
          </w:p>
        </w:tc>
        <w:tc>
          <w:tcPr>
            <w:tcW w:w="1843"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34</w:t>
            </w:r>
          </w:p>
        </w:tc>
        <w:tc>
          <w:tcPr>
            <w:tcW w:w="113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6811</w:t>
            </w:r>
          </w:p>
        </w:tc>
        <w:tc>
          <w:tcPr>
            <w:tcW w:w="1842"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w:t>
            </w:r>
          </w:p>
        </w:tc>
        <w:tc>
          <w:tcPr>
            <w:tcW w:w="214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10</w:t>
            </w:r>
          </w:p>
        </w:tc>
      </w:tr>
      <w:tr w:rsidR="00EB22E9" w:rsidRPr="00EB22E9" w:rsidTr="00EB22E9">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ESG</w:t>
            </w:r>
          </w:p>
        </w:tc>
        <w:tc>
          <w:tcPr>
            <w:tcW w:w="1843"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33</w:t>
            </w:r>
          </w:p>
        </w:tc>
        <w:tc>
          <w:tcPr>
            <w:tcW w:w="113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6240</w:t>
            </w:r>
          </w:p>
        </w:tc>
        <w:tc>
          <w:tcPr>
            <w:tcW w:w="1842"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12</w:t>
            </w:r>
          </w:p>
        </w:tc>
        <w:tc>
          <w:tcPr>
            <w:tcW w:w="214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13</w:t>
            </w:r>
          </w:p>
        </w:tc>
      </w:tr>
      <w:tr w:rsidR="00EB22E9" w:rsidRPr="00EB22E9"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ESC Tours-Poitiers (ESCEM)</w:t>
            </w:r>
          </w:p>
        </w:tc>
        <w:tc>
          <w:tcPr>
            <w:tcW w:w="1843"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34</w:t>
            </w:r>
          </w:p>
        </w:tc>
        <w:tc>
          <w:tcPr>
            <w:tcW w:w="113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7700</w:t>
            </w:r>
          </w:p>
        </w:tc>
        <w:tc>
          <w:tcPr>
            <w:tcW w:w="1842"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w:t>
            </w:r>
          </w:p>
        </w:tc>
        <w:tc>
          <w:tcPr>
            <w:tcW w:w="214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8</w:t>
            </w:r>
          </w:p>
        </w:tc>
      </w:tr>
      <w:tr w:rsidR="00EB22E9" w:rsidRPr="00EB22E9" w:rsidTr="00EB22E9">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ESC Montpellier</w:t>
            </w:r>
          </w:p>
        </w:tc>
        <w:tc>
          <w:tcPr>
            <w:tcW w:w="1843"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33.5</w:t>
            </w:r>
          </w:p>
        </w:tc>
        <w:tc>
          <w:tcPr>
            <w:tcW w:w="113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7743</w:t>
            </w:r>
          </w:p>
        </w:tc>
        <w:tc>
          <w:tcPr>
            <w:tcW w:w="1842"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10</w:t>
            </w:r>
          </w:p>
        </w:tc>
        <w:tc>
          <w:tcPr>
            <w:tcW w:w="214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14</w:t>
            </w:r>
          </w:p>
        </w:tc>
      </w:tr>
      <w:tr w:rsidR="00EB22E9" w:rsidRPr="00EB22E9"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 xml:space="preserve">Telecom </w:t>
            </w:r>
            <w:proofErr w:type="spellStart"/>
            <w:r w:rsidRPr="00EB22E9">
              <w:rPr>
                <w:rFonts w:asciiTheme="minorHAnsi" w:eastAsiaTheme="minorEastAsia" w:hAnsiTheme="minorHAnsi" w:cstheme="minorBidi"/>
                <w:sz w:val="20"/>
                <w:szCs w:val="22"/>
                <w:lang w:eastAsia="zh-CN"/>
              </w:rPr>
              <w:t>Ecole</w:t>
            </w:r>
            <w:proofErr w:type="spellEnd"/>
            <w:r w:rsidRPr="00EB22E9">
              <w:rPr>
                <w:rFonts w:asciiTheme="minorHAnsi" w:eastAsiaTheme="minorEastAsia" w:hAnsiTheme="minorHAnsi" w:cstheme="minorBidi"/>
                <w:sz w:val="20"/>
                <w:szCs w:val="22"/>
                <w:lang w:eastAsia="zh-CN"/>
              </w:rPr>
              <w:t xml:space="preserve"> de Management</w:t>
            </w:r>
          </w:p>
        </w:tc>
        <w:tc>
          <w:tcPr>
            <w:tcW w:w="1843"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37</w:t>
            </w:r>
          </w:p>
        </w:tc>
        <w:tc>
          <w:tcPr>
            <w:tcW w:w="113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1080</w:t>
            </w:r>
          </w:p>
        </w:tc>
        <w:tc>
          <w:tcPr>
            <w:tcW w:w="1842"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4</w:t>
            </w:r>
          </w:p>
        </w:tc>
        <w:tc>
          <w:tcPr>
            <w:tcW w:w="214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9</w:t>
            </w:r>
          </w:p>
        </w:tc>
      </w:tr>
      <w:tr w:rsidR="00EB22E9" w:rsidRPr="00EB22E9" w:rsidTr="00EB22E9">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ISC</w:t>
            </w:r>
          </w:p>
        </w:tc>
        <w:tc>
          <w:tcPr>
            <w:tcW w:w="1843"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33.5</w:t>
            </w:r>
          </w:p>
        </w:tc>
        <w:tc>
          <w:tcPr>
            <w:tcW w:w="113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8505</w:t>
            </w:r>
          </w:p>
        </w:tc>
        <w:tc>
          <w:tcPr>
            <w:tcW w:w="1842"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w:t>
            </w:r>
          </w:p>
        </w:tc>
        <w:tc>
          <w:tcPr>
            <w:tcW w:w="214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12</w:t>
            </w:r>
          </w:p>
        </w:tc>
      </w:tr>
      <w:tr w:rsidR="00EB22E9" w:rsidRPr="00EB22E9"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INSEEC</w:t>
            </w:r>
          </w:p>
        </w:tc>
        <w:tc>
          <w:tcPr>
            <w:tcW w:w="1843"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33</w:t>
            </w:r>
          </w:p>
        </w:tc>
        <w:tc>
          <w:tcPr>
            <w:tcW w:w="113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7910</w:t>
            </w:r>
          </w:p>
        </w:tc>
        <w:tc>
          <w:tcPr>
            <w:tcW w:w="1842"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7</w:t>
            </w:r>
          </w:p>
        </w:tc>
        <w:tc>
          <w:tcPr>
            <w:tcW w:w="214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15.5</w:t>
            </w:r>
          </w:p>
        </w:tc>
      </w:tr>
      <w:tr w:rsidR="00EB22E9" w:rsidRPr="00EB22E9" w:rsidTr="00EB22E9">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ICN Business School</w:t>
            </w:r>
          </w:p>
        </w:tc>
        <w:tc>
          <w:tcPr>
            <w:tcW w:w="1843"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37</w:t>
            </w:r>
          </w:p>
        </w:tc>
        <w:tc>
          <w:tcPr>
            <w:tcW w:w="113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6927</w:t>
            </w:r>
          </w:p>
        </w:tc>
        <w:tc>
          <w:tcPr>
            <w:tcW w:w="1842"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w:t>
            </w:r>
          </w:p>
        </w:tc>
        <w:tc>
          <w:tcPr>
            <w:tcW w:w="214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9</w:t>
            </w:r>
          </w:p>
        </w:tc>
      </w:tr>
      <w:tr w:rsidR="00EB22E9" w:rsidRPr="00EB22E9"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ESC Dijon</w:t>
            </w:r>
          </w:p>
        </w:tc>
        <w:tc>
          <w:tcPr>
            <w:tcW w:w="1843"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33</w:t>
            </w:r>
          </w:p>
        </w:tc>
        <w:tc>
          <w:tcPr>
            <w:tcW w:w="113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6933</w:t>
            </w:r>
          </w:p>
        </w:tc>
        <w:tc>
          <w:tcPr>
            <w:tcW w:w="1842"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w:t>
            </w:r>
          </w:p>
        </w:tc>
        <w:tc>
          <w:tcPr>
            <w:tcW w:w="214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12</w:t>
            </w:r>
          </w:p>
        </w:tc>
      </w:tr>
      <w:tr w:rsidR="00EB22E9" w:rsidRPr="00EB22E9" w:rsidTr="00EB22E9">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 xml:space="preserve">EM </w:t>
            </w:r>
            <w:proofErr w:type="spellStart"/>
            <w:r w:rsidRPr="00EB22E9">
              <w:rPr>
                <w:rFonts w:asciiTheme="minorHAnsi" w:eastAsiaTheme="minorEastAsia" w:hAnsiTheme="minorHAnsi" w:cstheme="minorBidi"/>
                <w:sz w:val="20"/>
                <w:szCs w:val="22"/>
                <w:lang w:eastAsia="zh-CN"/>
              </w:rPr>
              <w:t>Normandie</w:t>
            </w:r>
            <w:proofErr w:type="spellEnd"/>
          </w:p>
        </w:tc>
        <w:tc>
          <w:tcPr>
            <w:tcW w:w="1843"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33.5</w:t>
            </w:r>
          </w:p>
        </w:tc>
        <w:tc>
          <w:tcPr>
            <w:tcW w:w="113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6510</w:t>
            </w:r>
          </w:p>
        </w:tc>
        <w:tc>
          <w:tcPr>
            <w:tcW w:w="1842"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2</w:t>
            </w:r>
          </w:p>
        </w:tc>
        <w:tc>
          <w:tcPr>
            <w:tcW w:w="214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7</w:t>
            </w:r>
          </w:p>
        </w:tc>
      </w:tr>
      <w:tr w:rsidR="00EB22E9" w:rsidRPr="00EB22E9"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ESCE</w:t>
            </w:r>
          </w:p>
        </w:tc>
        <w:tc>
          <w:tcPr>
            <w:tcW w:w="1843"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p>
        </w:tc>
        <w:tc>
          <w:tcPr>
            <w:tcW w:w="113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p>
        </w:tc>
        <w:tc>
          <w:tcPr>
            <w:tcW w:w="1842"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p>
        </w:tc>
        <w:tc>
          <w:tcPr>
            <w:tcW w:w="214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p>
        </w:tc>
      </w:tr>
      <w:tr w:rsidR="00EB22E9" w:rsidRPr="00EB22E9" w:rsidTr="00EB22E9">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ESC Clermont</w:t>
            </w:r>
          </w:p>
        </w:tc>
        <w:tc>
          <w:tcPr>
            <w:tcW w:w="1843"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33.5</w:t>
            </w:r>
          </w:p>
        </w:tc>
        <w:tc>
          <w:tcPr>
            <w:tcW w:w="113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6650</w:t>
            </w:r>
          </w:p>
        </w:tc>
        <w:tc>
          <w:tcPr>
            <w:tcW w:w="1842"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w:t>
            </w:r>
          </w:p>
        </w:tc>
        <w:tc>
          <w:tcPr>
            <w:tcW w:w="214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8</w:t>
            </w:r>
          </w:p>
        </w:tc>
      </w:tr>
      <w:tr w:rsidR="00EB22E9" w:rsidRPr="00EB22E9"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ESC La Rochelle</w:t>
            </w:r>
          </w:p>
        </w:tc>
        <w:tc>
          <w:tcPr>
            <w:tcW w:w="1843"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33</w:t>
            </w:r>
          </w:p>
        </w:tc>
        <w:tc>
          <w:tcPr>
            <w:tcW w:w="113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6833</w:t>
            </w:r>
          </w:p>
        </w:tc>
        <w:tc>
          <w:tcPr>
            <w:tcW w:w="1842"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6</w:t>
            </w:r>
          </w:p>
        </w:tc>
        <w:tc>
          <w:tcPr>
            <w:tcW w:w="2144" w:type="dxa"/>
            <w:noWrap/>
            <w:hideMark/>
          </w:tcPr>
          <w:p w:rsidR="00EB22E9" w:rsidRPr="00EB22E9" w:rsidRDefault="00EB22E9" w:rsidP="00EB22E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12</w:t>
            </w:r>
          </w:p>
        </w:tc>
      </w:tr>
      <w:tr w:rsidR="00EB22E9" w:rsidRPr="00EB22E9" w:rsidTr="00EB22E9">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EB22E9" w:rsidRPr="00EB22E9" w:rsidRDefault="00EB22E9" w:rsidP="00EB22E9">
            <w:pPr>
              <w:rPr>
                <w:rFonts w:asciiTheme="minorHAnsi" w:eastAsiaTheme="minorEastAsia" w:hAnsiTheme="minorHAnsi" w:cstheme="minorBidi"/>
                <w:sz w:val="20"/>
                <w:szCs w:val="22"/>
                <w:lang w:eastAsia="zh-CN"/>
              </w:rPr>
            </w:pPr>
            <w:r w:rsidRPr="00EB22E9">
              <w:rPr>
                <w:rFonts w:asciiTheme="minorHAnsi" w:eastAsiaTheme="minorEastAsia" w:hAnsiTheme="minorHAnsi" w:cstheme="minorBidi"/>
                <w:sz w:val="20"/>
                <w:szCs w:val="22"/>
                <w:lang w:eastAsia="zh-CN"/>
              </w:rPr>
              <w:t>EDC</w:t>
            </w:r>
          </w:p>
        </w:tc>
        <w:tc>
          <w:tcPr>
            <w:tcW w:w="1843"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p>
        </w:tc>
        <w:tc>
          <w:tcPr>
            <w:tcW w:w="113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p>
        </w:tc>
        <w:tc>
          <w:tcPr>
            <w:tcW w:w="1842"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p>
        </w:tc>
        <w:tc>
          <w:tcPr>
            <w:tcW w:w="2144" w:type="dxa"/>
            <w:noWrap/>
            <w:hideMark/>
          </w:tcPr>
          <w:p w:rsidR="00EB22E9" w:rsidRPr="00EB22E9" w:rsidRDefault="00EB22E9" w:rsidP="00EB22E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p>
        </w:tc>
      </w:tr>
    </w:tbl>
    <w:p w:rsidR="00165061" w:rsidRDefault="00165061" w:rsidP="00F03A63">
      <w:pPr>
        <w:jc w:val="both"/>
      </w:pPr>
    </w:p>
    <w:p w:rsidR="00176FD1" w:rsidRDefault="00176FD1" w:rsidP="00176FD1">
      <w:pPr>
        <w:spacing w:after="200" w:line="276" w:lineRule="auto"/>
        <w:rPr>
          <w:rFonts w:asciiTheme="majorHAnsi" w:eastAsiaTheme="majorEastAsia" w:hAnsiTheme="majorHAnsi" w:cstheme="majorBidi"/>
          <w:b/>
          <w:bCs/>
          <w:color w:val="4F81BD" w:themeColor="accent1"/>
        </w:rPr>
      </w:pPr>
      <w:r w:rsidRPr="009E0B8B">
        <w:t xml:space="preserve">This also explains why the degree structure of both types of institutions </w:t>
      </w:r>
      <w:r>
        <w:t xml:space="preserve">can </w:t>
      </w:r>
      <w:r w:rsidRPr="009E0B8B">
        <w:t>differ</w:t>
      </w:r>
      <w:r>
        <w:t xml:space="preserve"> so remarkably</w:t>
      </w:r>
      <w:r w:rsidRPr="009E0B8B">
        <w:t xml:space="preserve">. Whilst at public universities students can graduate after three years with a </w:t>
      </w:r>
      <w:r w:rsidRPr="009E0B8B">
        <w:rPr>
          <w:i/>
        </w:rPr>
        <w:t>licence</w:t>
      </w:r>
      <w:r w:rsidRPr="009E0B8B">
        <w:t xml:space="preserve"> (Bachelor) and after another two years with a </w:t>
      </w:r>
      <w:proofErr w:type="spellStart"/>
      <w:r w:rsidRPr="009E0B8B">
        <w:t>Masters</w:t>
      </w:r>
      <w:proofErr w:type="spellEnd"/>
      <w:r w:rsidRPr="009E0B8B">
        <w:t xml:space="preserve"> degree, students at a Grande </w:t>
      </w:r>
      <w:proofErr w:type="spellStart"/>
      <w:r w:rsidRPr="009E0B8B">
        <w:t>Ecoles</w:t>
      </w:r>
      <w:proofErr w:type="spellEnd"/>
      <w:r w:rsidRPr="009E0B8B">
        <w:t xml:space="preserve"> will generally grad</w:t>
      </w:r>
      <w:r>
        <w:t xml:space="preserve">uate with a </w:t>
      </w:r>
      <w:proofErr w:type="spellStart"/>
      <w:r>
        <w:t>Masters</w:t>
      </w:r>
      <w:proofErr w:type="spellEnd"/>
      <w:r>
        <w:t xml:space="preserve"> degree three years after entry. In addition, and emphasising the more practical side of the Grand </w:t>
      </w:r>
      <w:proofErr w:type="spellStart"/>
      <w:r>
        <w:t>Ecole</w:t>
      </w:r>
      <w:proofErr w:type="spellEnd"/>
      <w:r>
        <w:t xml:space="preserve">, a student entering in Year 3 could spend as much as 24 months in placements or exchange programmes out of the 36 months prior to graduation. </w:t>
      </w:r>
      <w:r w:rsidRPr="009E0B8B">
        <w:t xml:space="preserve"> </w:t>
      </w:r>
    </w:p>
    <w:p w:rsidR="00704E23" w:rsidRDefault="00704E23" w:rsidP="00F03A63">
      <w:pPr>
        <w:jc w:val="both"/>
      </w:pPr>
      <w:r>
        <w:t xml:space="preserve">This distinctive complexity in French higher education makes direct comparison with the UK rather difficult – the UK HEI sector distinction between UG and PG programmes is clearer but not rigid. </w:t>
      </w:r>
      <w:r w:rsidRPr="009E0B8B">
        <w:t xml:space="preserve">Whilst further research degrees, such as doctorates, can be pursued at public universities, this is not the case at the Grande </w:t>
      </w:r>
      <w:proofErr w:type="spellStart"/>
      <w:r w:rsidRPr="009E0B8B">
        <w:t>Ecoles</w:t>
      </w:r>
      <w:proofErr w:type="spellEnd"/>
      <w:r w:rsidRPr="009E0B8B">
        <w:t xml:space="preserve">. </w:t>
      </w:r>
      <w:r w:rsidR="00165061">
        <w:t xml:space="preserve">However in recent years, a group of Grand </w:t>
      </w:r>
      <w:proofErr w:type="spellStart"/>
      <w:r w:rsidR="00165061">
        <w:t>Ecoles</w:t>
      </w:r>
      <w:proofErr w:type="spellEnd"/>
      <w:r w:rsidR="00165061">
        <w:t xml:space="preserve"> has formed to offer a PhD programme. Here again a “</w:t>
      </w:r>
      <w:proofErr w:type="spellStart"/>
      <w:r w:rsidR="00165061">
        <w:t>Doctorat</w:t>
      </w:r>
      <w:proofErr w:type="spellEnd"/>
      <w:r w:rsidR="00165061">
        <w:t xml:space="preserve">” may only be offered in a French University yet the Grand </w:t>
      </w:r>
      <w:proofErr w:type="spellStart"/>
      <w:r w:rsidR="00165061">
        <w:t>Ecoles</w:t>
      </w:r>
      <w:proofErr w:type="spellEnd"/>
      <w:r w:rsidR="00165061">
        <w:t xml:space="preserve"> are moving into this lucrative arena and offering either DBAs or PhDs. </w:t>
      </w:r>
      <w:r w:rsidRPr="009E0B8B">
        <w:t xml:space="preserve">There is also a large divide in tuition fees, as public universities charge between 150 to 700 Euros per year, whereas Grande </w:t>
      </w:r>
      <w:proofErr w:type="spellStart"/>
      <w:r w:rsidRPr="009E0B8B">
        <w:t>Ecole</w:t>
      </w:r>
      <w:r w:rsidR="00165061">
        <w:t>s</w:t>
      </w:r>
      <w:proofErr w:type="spellEnd"/>
      <w:r w:rsidR="00165061">
        <w:t xml:space="preserve"> between 7,000 to 10,000 Euros per year. </w:t>
      </w:r>
    </w:p>
    <w:p w:rsidR="00704E23" w:rsidRDefault="00704E23" w:rsidP="00F03A63">
      <w:pPr>
        <w:jc w:val="both"/>
      </w:pPr>
    </w:p>
    <w:p w:rsidR="00124659" w:rsidRPr="000D20B4" w:rsidRDefault="00124659" w:rsidP="00124659">
      <w:pPr>
        <w:pStyle w:val="Heading3"/>
      </w:pPr>
      <w:r>
        <w:t>Exhibit 3 - Example of French Marketing Programme Structure</w:t>
      </w:r>
      <w:r w:rsidR="006C35EB">
        <w:t xml:space="preserve"> - ESCI</w:t>
      </w:r>
    </w:p>
    <w:p w:rsidR="00124659" w:rsidRDefault="00124659" w:rsidP="00124659">
      <w:pPr>
        <w:pStyle w:val="Heading2"/>
        <w:spacing w:line="480" w:lineRule="auto"/>
        <w:jc w:val="center"/>
      </w:pPr>
      <w:r>
        <w:rPr>
          <w:noProof/>
          <w:lang w:eastAsia="zh-CN"/>
        </w:rPr>
        <w:drawing>
          <wp:inline distT="0" distB="0" distL="0" distR="0" wp14:anchorId="07D8742A" wp14:editId="15ED255C">
            <wp:extent cx="3452327" cy="3874524"/>
            <wp:effectExtent l="19050" t="19050" r="15240" b="12065"/>
            <wp:docPr id="9" name="Picture 9" descr="Prime Première Ann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me Première Anné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9713" cy="3882813"/>
                    </a:xfrm>
                    <a:prstGeom prst="rect">
                      <a:avLst/>
                    </a:prstGeom>
                    <a:noFill/>
                    <a:ln>
                      <a:solidFill>
                        <a:schemeClr val="accent1"/>
                      </a:solidFill>
                    </a:ln>
                  </pic:spPr>
                </pic:pic>
              </a:graphicData>
            </a:graphic>
          </wp:inline>
        </w:drawing>
      </w:r>
    </w:p>
    <w:p w:rsidR="00124659" w:rsidRPr="009E0B8B" w:rsidRDefault="00124659" w:rsidP="00124659">
      <w:pPr>
        <w:pStyle w:val="Heading2"/>
        <w:spacing w:line="480" w:lineRule="auto"/>
        <w:jc w:val="right"/>
        <w:rPr>
          <w:b w:val="0"/>
          <w:color w:val="000000" w:themeColor="text1"/>
          <w:sz w:val="18"/>
          <w:szCs w:val="18"/>
        </w:rPr>
      </w:pPr>
      <w:r w:rsidRPr="009E0B8B">
        <w:rPr>
          <w:b w:val="0"/>
          <w:color w:val="000000" w:themeColor="text1"/>
          <w:sz w:val="18"/>
          <w:szCs w:val="18"/>
        </w:rPr>
        <w:t>http://www.esci-paris.eu/programme-grande-ecole-superieure-commerce/pge-grande-ecole.html#:1</w:t>
      </w:r>
    </w:p>
    <w:p w:rsidR="00704E23" w:rsidRDefault="00704E23" w:rsidP="00704E23">
      <w:pPr>
        <w:jc w:val="both"/>
      </w:pPr>
      <w:r>
        <w:t xml:space="preserve">The structure of the Programme Grand </w:t>
      </w:r>
      <w:proofErr w:type="spellStart"/>
      <w:r>
        <w:t>Ecole</w:t>
      </w:r>
      <w:proofErr w:type="spellEnd"/>
      <w:r>
        <w:t xml:space="preserve"> is also unlike most other countries: without an interim graduation or </w:t>
      </w:r>
      <w:proofErr w:type="spellStart"/>
      <w:r>
        <w:t>Bachelors</w:t>
      </w:r>
      <w:proofErr w:type="spellEnd"/>
      <w:r>
        <w:t xml:space="preserve"> degree, student</w:t>
      </w:r>
      <w:r w:rsidR="00165061">
        <w:t>s normally</w:t>
      </w:r>
      <w:r>
        <w:t xml:space="preserve"> pass into the 4</w:t>
      </w:r>
      <w:r w:rsidRPr="00846346">
        <w:rPr>
          <w:vertAlign w:val="superscript"/>
        </w:rPr>
        <w:t>th</w:t>
      </w:r>
      <w:r>
        <w:t xml:space="preserve"> and 5</w:t>
      </w:r>
      <w:r w:rsidRPr="00846346">
        <w:rPr>
          <w:vertAlign w:val="superscript"/>
        </w:rPr>
        <w:t>th</w:t>
      </w:r>
      <w:r>
        <w:t xml:space="preserve"> years of </w:t>
      </w:r>
      <w:r>
        <w:lastRenderedPageBreak/>
        <w:t>the Programme. This is shown in Exhibit 3 below. Students commonly enter after a “</w:t>
      </w:r>
      <w:proofErr w:type="spellStart"/>
      <w:r>
        <w:t>prepa</w:t>
      </w:r>
      <w:proofErr w:type="spellEnd"/>
      <w:r>
        <w:t>” course directly into the second</w:t>
      </w:r>
      <w:r w:rsidR="00165061">
        <w:t xml:space="preserve"> or third year of the Programme, and increasing numbers are entering the second year with a degree from a University. </w:t>
      </w:r>
      <w:r>
        <w:t xml:space="preserve"> Due to an additional requirement to spend a minimum of 6 months and usually 12 months overseas, many students of this programme are then able to take 1 year Masters programmes or MBAs at partner overseas Universities, at this stage perhaps only having one year at the Grande </w:t>
      </w:r>
      <w:proofErr w:type="spellStart"/>
      <w:r>
        <w:t>Ecole</w:t>
      </w:r>
      <w:proofErr w:type="spellEnd"/>
      <w:r>
        <w:t xml:space="preserve"> itself. In addition, a heavy emphasis on the alternate learning paths of placement, overseas learning and the use of “</w:t>
      </w:r>
      <w:proofErr w:type="spellStart"/>
      <w:r>
        <w:t>vacataires</w:t>
      </w:r>
      <w:proofErr w:type="spellEnd"/>
      <w:r>
        <w:t xml:space="preserve">”, that is industry specialists to teach much of the Programme Grand </w:t>
      </w:r>
      <w:proofErr w:type="spellStart"/>
      <w:r>
        <w:t>Ecole</w:t>
      </w:r>
      <w:proofErr w:type="spellEnd"/>
      <w:r>
        <w:t xml:space="preserve"> results in a more practically oriented, more international but less academic programme focused on generalised business education.  However this balance between practical and academic knowledge can be an uneasy alliance. Below is a quote from a programme director, one of several we present from a small series of short informal interviews with relevant stakeholders.</w:t>
      </w:r>
    </w:p>
    <w:p w:rsidR="00704E23" w:rsidRDefault="00704E23" w:rsidP="00704E23">
      <w:pPr>
        <w:jc w:val="both"/>
      </w:pPr>
    </w:p>
    <w:p w:rsidR="00704E23" w:rsidRDefault="00704E23" w:rsidP="00704E23">
      <w:pPr>
        <w:jc w:val="both"/>
        <w:rPr>
          <w:i/>
        </w:rPr>
      </w:pPr>
      <w:r>
        <w:t>“</w:t>
      </w:r>
      <w:r w:rsidRPr="00846346">
        <w:rPr>
          <w:i/>
        </w:rPr>
        <w:t>They (</w:t>
      </w:r>
      <w:proofErr w:type="spellStart"/>
      <w:r w:rsidRPr="00846346">
        <w:rPr>
          <w:i/>
        </w:rPr>
        <w:t>vacataires</w:t>
      </w:r>
      <w:proofErr w:type="spellEnd"/>
      <w:r w:rsidRPr="00846346">
        <w:rPr>
          <w:i/>
        </w:rPr>
        <w:t xml:space="preserve">) don’t think they do very much when it comes to the content of education textbooks and the structure of degrees. But they influence teaching at a </w:t>
      </w:r>
      <w:proofErr w:type="spellStart"/>
      <w:r w:rsidRPr="00846346">
        <w:rPr>
          <w:i/>
        </w:rPr>
        <w:t>microlevel</w:t>
      </w:r>
      <w:proofErr w:type="spellEnd"/>
      <w:r w:rsidRPr="00846346">
        <w:rPr>
          <w:i/>
        </w:rPr>
        <w:t xml:space="preserve"> – i.e. in the modules they teach themselves. Otherwise, I think there is little exchange between practitioners and education institutions”</w:t>
      </w:r>
    </w:p>
    <w:p w:rsidR="00704E23" w:rsidRDefault="00704E23" w:rsidP="00704E23">
      <w:pPr>
        <w:jc w:val="both"/>
        <w:rPr>
          <w:i/>
        </w:rPr>
      </w:pPr>
    </w:p>
    <w:p w:rsidR="00124659" w:rsidRDefault="00124659" w:rsidP="00124659">
      <w:pPr>
        <w:jc w:val="both"/>
      </w:pPr>
      <w:r>
        <w:t xml:space="preserve">One lecturer described the pressures the need for overseas and industry placements have on students: </w:t>
      </w:r>
    </w:p>
    <w:p w:rsidR="00124659" w:rsidRDefault="00124659" w:rsidP="00124659">
      <w:pPr>
        <w:jc w:val="both"/>
      </w:pPr>
    </w:p>
    <w:p w:rsidR="00124659" w:rsidRPr="00846346" w:rsidRDefault="00124659" w:rsidP="00124659">
      <w:pPr>
        <w:pStyle w:val="Quote"/>
        <w:jc w:val="both"/>
      </w:pPr>
      <w:r w:rsidRPr="00846346">
        <w:t>“</w:t>
      </w:r>
      <w:proofErr w:type="gramStart"/>
      <w:r w:rsidRPr="00846346">
        <w:t>at</w:t>
      </w:r>
      <w:proofErr w:type="gramEnd"/>
      <w:r w:rsidRPr="00846346">
        <w:t xml:space="preserve"> </w:t>
      </w:r>
      <w:proofErr w:type="spellStart"/>
      <w:r w:rsidRPr="00846346">
        <w:t>Grandes</w:t>
      </w:r>
      <w:proofErr w:type="spellEnd"/>
      <w:r w:rsidRPr="00846346">
        <w:t xml:space="preserve"> </w:t>
      </w:r>
      <w:proofErr w:type="spellStart"/>
      <w:r w:rsidRPr="00846346">
        <w:t>Ecoles</w:t>
      </w:r>
      <w:proofErr w:type="spellEnd"/>
      <w:r w:rsidRPr="00846346">
        <w:t xml:space="preserve"> there are too many placements and they are too long ( many over 6 months and at various stages during the degree). Students often struggle to find appropriate placements. There is also the question of financing placements – in many countries they are not paid. So parents need to support their children who do placements abroad financially, plus paying the tuition fees”</w:t>
      </w:r>
    </w:p>
    <w:p w:rsidR="00124659" w:rsidRDefault="00124659" w:rsidP="00124659">
      <w:pPr>
        <w:jc w:val="both"/>
      </w:pPr>
    </w:p>
    <w:p w:rsidR="00124659" w:rsidRDefault="00124659" w:rsidP="00124659">
      <w:pPr>
        <w:jc w:val="both"/>
      </w:pPr>
      <w:r>
        <w:t xml:space="preserve">This leads to the final distinguishing aspect between the two types of institutions: If tuition fees vary that greatly between these two types of institutions, the quality of education needs to be considered. This automatically raises the question about which type of quality indicators to use. In the main, the much higher tuition fees charged by Grande </w:t>
      </w:r>
      <w:proofErr w:type="spellStart"/>
      <w:r>
        <w:t>Ecoles</w:t>
      </w:r>
      <w:proofErr w:type="spellEnd"/>
      <w:r>
        <w:t xml:space="preserve"> </w:t>
      </w:r>
      <w:r w:rsidR="006C35EB">
        <w:t>are</w:t>
      </w:r>
      <w:r>
        <w:t xml:space="preserve"> accepted due to the social and financial capital they equip their students with. First of all, during their studies students enter a network of existing students as well as alumni of whom the majority are in very high if not leading positions in their field of work. Their personal networks are further developed through the various placements they have to serve during their studie</w:t>
      </w:r>
      <w:r w:rsidR="00165061">
        <w:t xml:space="preserve">s. The </w:t>
      </w:r>
      <w:r>
        <w:t>reputation and the “</w:t>
      </w:r>
      <w:proofErr w:type="spellStart"/>
      <w:r>
        <w:t>classement</w:t>
      </w:r>
      <w:proofErr w:type="spellEnd"/>
      <w:r>
        <w:t>” of the Grand</w:t>
      </w:r>
      <w:r w:rsidR="00165061">
        <w:t>e</w:t>
      </w:r>
      <w:r>
        <w:t xml:space="preserve"> </w:t>
      </w:r>
      <w:proofErr w:type="spellStart"/>
      <w:r>
        <w:t>Ecoles</w:t>
      </w:r>
      <w:proofErr w:type="spellEnd"/>
      <w:r>
        <w:t xml:space="preserve"> </w:t>
      </w:r>
      <w:proofErr w:type="gramStart"/>
      <w:r>
        <w:t>is</w:t>
      </w:r>
      <w:proofErr w:type="gramEnd"/>
      <w:r>
        <w:t xml:space="preserve"> a key criteria in students applying to and selecting an </w:t>
      </w:r>
      <w:r w:rsidR="006C35EB">
        <w:t>i</w:t>
      </w:r>
      <w:r>
        <w:t>nstitution.</w:t>
      </w:r>
    </w:p>
    <w:p w:rsidR="00124659" w:rsidRDefault="00124659" w:rsidP="00124659">
      <w:pPr>
        <w:jc w:val="both"/>
      </w:pPr>
    </w:p>
    <w:p w:rsidR="00124659" w:rsidRDefault="00124659" w:rsidP="00124659">
      <w:pPr>
        <w:jc w:val="both"/>
      </w:pPr>
      <w:r>
        <w:t xml:space="preserve">While the strong vocational emphasis in education gained great reputation at a domestic level, the Grande </w:t>
      </w:r>
      <w:proofErr w:type="spellStart"/>
      <w:r>
        <w:t>Ecoles</w:t>
      </w:r>
      <w:proofErr w:type="spellEnd"/>
      <w:r>
        <w:t xml:space="preserve"> were struggling for a while with the international recognition of their degrees. They therefore invested gradually into the development of foreign language competencies of their students through an extension of their network of international partner higher education institutions. Studying abroad and serving international internships are now a part of each student’s curriculum (</w:t>
      </w:r>
      <w:proofErr w:type="spellStart"/>
      <w:r>
        <w:t>Abdessemed</w:t>
      </w:r>
      <w:proofErr w:type="spellEnd"/>
      <w:r>
        <w:t xml:space="preserve">, 2007). Overall, these developments make students more employable and explain the head-start of graduates from the Grande </w:t>
      </w:r>
      <w:proofErr w:type="spellStart"/>
      <w:r>
        <w:t>Ecoles</w:t>
      </w:r>
      <w:proofErr w:type="spellEnd"/>
      <w:r>
        <w:t xml:space="preserve"> in the labour market in comparison to those from public universities. Data s</w:t>
      </w:r>
      <w:r w:rsidR="00165061">
        <w:t>hows that graduates from Grande</w:t>
      </w:r>
      <w:r>
        <w:t xml:space="preserve"> </w:t>
      </w:r>
      <w:proofErr w:type="spellStart"/>
      <w:r>
        <w:t>Ecoles</w:t>
      </w:r>
      <w:proofErr w:type="spellEnd"/>
      <w:r>
        <w:t xml:space="preserve"> have faster access to employment and that they are more likely to be on permanent work contracts a year after graduation. Similarly, entry salaries and subsequent salary progression are higher for Grande </w:t>
      </w:r>
      <w:proofErr w:type="spellStart"/>
      <w:r>
        <w:t>Ecoles</w:t>
      </w:r>
      <w:proofErr w:type="spellEnd"/>
      <w:r>
        <w:t xml:space="preserve"> alumni (</w:t>
      </w:r>
      <w:proofErr w:type="spellStart"/>
      <w:r>
        <w:t>Calmand</w:t>
      </w:r>
      <w:proofErr w:type="spellEnd"/>
      <w:r>
        <w:t xml:space="preserve"> et al., 2009). </w:t>
      </w:r>
    </w:p>
    <w:p w:rsidR="00124659" w:rsidRDefault="00124659" w:rsidP="00124659">
      <w:pPr>
        <w:jc w:val="both"/>
      </w:pPr>
    </w:p>
    <w:p w:rsidR="00124659" w:rsidRDefault="00124659" w:rsidP="00124659">
      <w:pPr>
        <w:jc w:val="both"/>
      </w:pPr>
      <w:r>
        <w:t xml:space="preserve">To be able to deliver the desirable features that potential students entering a Grand </w:t>
      </w:r>
      <w:proofErr w:type="spellStart"/>
      <w:r>
        <w:t>Ecole</w:t>
      </w:r>
      <w:proofErr w:type="spellEnd"/>
      <w:r>
        <w:t>, the schools have had to create multiple and strong exchange programmes: some based on Erasmus and others based on contacts between institutions directly.  Both potential students and partner institutions put a strong emphasis on accreditation and in recent years, several French business schools have achieved AACSB accreditation</w:t>
      </w:r>
      <w:r w:rsidR="006C35EB">
        <w:t xml:space="preserve">. </w:t>
      </w:r>
      <w:r>
        <w:t xml:space="preserve">The requirements of AACSB accreditation require institutions to adhere to several standards including the need for a % of research active staff, which historically was not the case of the more practically oriented Grand </w:t>
      </w:r>
      <w:proofErr w:type="spellStart"/>
      <w:r>
        <w:t>Ecoles</w:t>
      </w:r>
      <w:proofErr w:type="spellEnd"/>
      <w:r>
        <w:t xml:space="preserve"> (Scherer et al., 2005).</w:t>
      </w:r>
    </w:p>
    <w:p w:rsidR="00176FD1" w:rsidRDefault="00176FD1">
      <w:pPr>
        <w:pStyle w:val="Heading3"/>
      </w:pPr>
    </w:p>
    <w:p w:rsidR="00176FD1" w:rsidRDefault="00176FD1" w:rsidP="00176FD1">
      <w:pPr>
        <w:jc w:val="both"/>
      </w:pPr>
      <w:r>
        <w:t xml:space="preserve">In addition, a significant difference between Grand </w:t>
      </w:r>
      <w:proofErr w:type="spellStart"/>
      <w:r>
        <w:t>Ecoles</w:t>
      </w:r>
      <w:proofErr w:type="spellEnd"/>
      <w:r>
        <w:t xml:space="preserve"> and Universities in both France </w:t>
      </w:r>
      <w:r w:rsidR="0025280A">
        <w:t>and</w:t>
      </w:r>
      <w:r>
        <w:t xml:space="preserve"> other countries is the commitment to small classes and the number of hours of taught classes.  During the first 3 years of the programme, or equivalent of Undergraduate level, students usually spend between 28 and 40 hours a week in class. At Masters </w:t>
      </w:r>
      <w:proofErr w:type="gramStart"/>
      <w:r>
        <w:t>level</w:t>
      </w:r>
      <w:proofErr w:type="gramEnd"/>
      <w:r>
        <w:t xml:space="preserve"> a typical student can spend also up to 35 hours a week in classes. All classes at all levels are taught in groups of between 25 and 40 students. </w:t>
      </w:r>
      <w:proofErr w:type="gramStart"/>
      <w:r>
        <w:t>This results</w:t>
      </w:r>
      <w:proofErr w:type="gramEnd"/>
      <w:r>
        <w:t xml:space="preserve"> in basic classes such as Principles of Marketing being delivered by different Instructors multiple times per week: due to the increased requirement for Instructors this leads to an increased use of </w:t>
      </w:r>
      <w:proofErr w:type="spellStart"/>
      <w:r>
        <w:t>Vacataires</w:t>
      </w:r>
      <w:proofErr w:type="spellEnd"/>
      <w:r>
        <w:t xml:space="preserve">, once again increasing the difficulties for Grand </w:t>
      </w:r>
      <w:proofErr w:type="spellStart"/>
      <w:r>
        <w:t>Ecoles</w:t>
      </w:r>
      <w:proofErr w:type="spellEnd"/>
      <w:r>
        <w:t xml:space="preserve"> to gain accreditation. At the higher levels of the programme, this requirement to teach in small groups becomes more beneficial and allows greater specialisation: </w:t>
      </w:r>
    </w:p>
    <w:p w:rsidR="00176FD1" w:rsidRDefault="00176FD1" w:rsidP="00176FD1">
      <w:pPr>
        <w:jc w:val="both"/>
      </w:pPr>
    </w:p>
    <w:p w:rsidR="00176FD1" w:rsidRDefault="00176FD1" w:rsidP="00176FD1">
      <w:pPr>
        <w:jc w:val="both"/>
      </w:pPr>
      <w:r w:rsidRPr="00BC3ADE">
        <w:rPr>
          <w:i/>
        </w:rPr>
        <w:t>“The master</w:t>
      </w:r>
      <w:r>
        <w:rPr>
          <w:i/>
        </w:rPr>
        <w:t>s</w:t>
      </w:r>
      <w:r w:rsidRPr="00BC3ADE">
        <w:rPr>
          <w:i/>
        </w:rPr>
        <w:t xml:space="preserve"> marketing programmes (5th year) are very intense and detailed. Students will be </w:t>
      </w:r>
      <w:proofErr w:type="gramStart"/>
      <w:r w:rsidRPr="00BC3ADE">
        <w:rPr>
          <w:i/>
        </w:rPr>
        <w:t>very</w:t>
      </w:r>
      <w:proofErr w:type="gramEnd"/>
      <w:r w:rsidRPr="00BC3ADE">
        <w:rPr>
          <w:i/>
        </w:rPr>
        <w:t xml:space="preserve"> specialised in one particular area, e.g. buying or communications. The hours taught are immense: as said above, there are about 20 modules each about 12 hours long. This is a lot of teaching – maybe students are slightly </w:t>
      </w:r>
      <w:proofErr w:type="spellStart"/>
      <w:r w:rsidRPr="00BC3ADE">
        <w:rPr>
          <w:i/>
        </w:rPr>
        <w:t>overtaught</w:t>
      </w:r>
      <w:proofErr w:type="spellEnd"/>
      <w:r w:rsidRPr="00BC3ADE">
        <w:rPr>
          <w:i/>
        </w:rPr>
        <w:t>. At the same time, the long hours spend in the class room may help to discuss, understand and apply techniques, frameworks etc. in more detail. Modules are in the main taught b</w:t>
      </w:r>
      <w:r>
        <w:rPr>
          <w:i/>
        </w:rPr>
        <w:t>y</w:t>
      </w:r>
      <w:r w:rsidRPr="00BC3ADE">
        <w:rPr>
          <w:i/>
        </w:rPr>
        <w:t xml:space="preserve"> external “</w:t>
      </w:r>
      <w:proofErr w:type="spellStart"/>
      <w:r w:rsidRPr="00BC3ADE">
        <w:rPr>
          <w:i/>
        </w:rPr>
        <w:t>intervenant</w:t>
      </w:r>
      <w:r>
        <w:rPr>
          <w:i/>
        </w:rPr>
        <w:t>s</w:t>
      </w:r>
      <w:proofErr w:type="spellEnd"/>
      <w:r w:rsidRPr="00BC3ADE">
        <w:rPr>
          <w:i/>
        </w:rPr>
        <w:t xml:space="preserve">”, who are in most cases not academics, but practitioners. In this way, students get a wide variety of perspectives. Specialisation is good (and seems to be normal compared to other French institutions), but might narrow down chances for students to find employment. More general </w:t>
      </w:r>
      <w:proofErr w:type="gramStart"/>
      <w:r w:rsidRPr="00BC3ADE">
        <w:rPr>
          <w:i/>
        </w:rPr>
        <w:t>masters</w:t>
      </w:r>
      <w:proofErr w:type="gramEnd"/>
      <w:r w:rsidRPr="00BC3ADE">
        <w:rPr>
          <w:i/>
        </w:rPr>
        <w:t xml:space="preserve"> programmes (like in the UK) might be better”.</w:t>
      </w:r>
    </w:p>
    <w:p w:rsidR="00176FD1" w:rsidRDefault="00176FD1">
      <w:pPr>
        <w:pStyle w:val="Heading3"/>
      </w:pPr>
    </w:p>
    <w:p w:rsidR="00176FD1" w:rsidRDefault="00176FD1" w:rsidP="00176FD1">
      <w:pPr>
        <w:jc w:val="both"/>
      </w:pPr>
      <w:r>
        <w:t>Before moving on to present and discuss tables relating to the breadth and depth of curricula of UG and PG marketing programmes in France we summarise the apparent current strengths of the French marketing education sector:</w:t>
      </w:r>
    </w:p>
    <w:p w:rsidR="00176FD1" w:rsidRDefault="00176FD1" w:rsidP="00176FD1">
      <w:pPr>
        <w:jc w:val="both"/>
      </w:pPr>
    </w:p>
    <w:p w:rsidR="00176FD1" w:rsidRDefault="00176FD1" w:rsidP="00176FD1">
      <w:pPr>
        <w:pStyle w:val="ListParagraph"/>
        <w:numPr>
          <w:ilvl w:val="0"/>
          <w:numId w:val="4"/>
        </w:numPr>
        <w:jc w:val="both"/>
      </w:pPr>
      <w:r>
        <w:t xml:space="preserve">Developed and bilateral integration with successful industries and practitioners through placements and practitioner led classes. </w:t>
      </w:r>
    </w:p>
    <w:p w:rsidR="00176FD1" w:rsidRDefault="00176FD1" w:rsidP="00176FD1">
      <w:pPr>
        <w:pStyle w:val="ListParagraph"/>
        <w:numPr>
          <w:ilvl w:val="0"/>
          <w:numId w:val="4"/>
        </w:numPr>
        <w:jc w:val="both"/>
      </w:pPr>
      <w:r>
        <w:t xml:space="preserve">A graduate of a French marketing programme is more or less guaranteed to have a credible amount of work and international experience and to have benefitted from contact time 2-3 times that of a UK equivalent. </w:t>
      </w:r>
    </w:p>
    <w:p w:rsidR="00176FD1" w:rsidRDefault="00176FD1" w:rsidP="00176FD1">
      <w:pPr>
        <w:pStyle w:val="ListParagraph"/>
        <w:numPr>
          <w:ilvl w:val="0"/>
          <w:numId w:val="4"/>
        </w:numPr>
        <w:jc w:val="both"/>
      </w:pPr>
      <w:r>
        <w:t xml:space="preserve">Often programmes are offered in bilingual streams and all Grand </w:t>
      </w:r>
      <w:proofErr w:type="spellStart"/>
      <w:r>
        <w:t>Ecole</w:t>
      </w:r>
      <w:proofErr w:type="spellEnd"/>
      <w:r>
        <w:t xml:space="preserve"> students must study at least 2 languages in addition to their core subjects. </w:t>
      </w:r>
    </w:p>
    <w:p w:rsidR="003029F6" w:rsidRDefault="00045F4E">
      <w:pPr>
        <w:pStyle w:val="Heading3"/>
      </w:pPr>
      <w:r>
        <w:br w:type="page"/>
      </w:r>
      <w:proofErr w:type="gramStart"/>
      <w:r w:rsidR="003029F6">
        <w:lastRenderedPageBreak/>
        <w:t xml:space="preserve">Table </w:t>
      </w:r>
      <w:r w:rsidR="00AF7A58">
        <w:t>3</w:t>
      </w:r>
      <w:r w:rsidR="003029F6">
        <w:t>.</w:t>
      </w:r>
      <w:proofErr w:type="gramEnd"/>
      <w:r w:rsidR="003029F6">
        <w:t xml:space="preserve"> Networks and Connections</w:t>
      </w:r>
    </w:p>
    <w:p w:rsidR="003029F6" w:rsidRDefault="003029F6" w:rsidP="00F03A63">
      <w:pPr>
        <w:jc w:val="both"/>
      </w:pPr>
    </w:p>
    <w:tbl>
      <w:tblPr>
        <w:tblStyle w:val="MediumGrid3-Accent1"/>
        <w:tblW w:w="0" w:type="auto"/>
        <w:tblLook w:val="04A0" w:firstRow="1" w:lastRow="0" w:firstColumn="1" w:lastColumn="0" w:noHBand="0" w:noVBand="1"/>
      </w:tblPr>
      <w:tblGrid>
        <w:gridCol w:w="2111"/>
        <w:gridCol w:w="1399"/>
        <w:gridCol w:w="1714"/>
        <w:gridCol w:w="2009"/>
        <w:gridCol w:w="2009"/>
      </w:tblGrid>
      <w:tr w:rsidR="003029F6" w:rsidRPr="00AF7A58" w:rsidTr="00EB22E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p>
        </w:tc>
        <w:tc>
          <w:tcPr>
            <w:tcW w:w="3113" w:type="dxa"/>
            <w:gridSpan w:val="2"/>
            <w:noWrap/>
            <w:hideMark/>
          </w:tcPr>
          <w:p w:rsidR="003029F6" w:rsidRPr="009E0B8B" w:rsidRDefault="003029F6" w:rsidP="003029F6">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Staff</w:t>
            </w:r>
          </w:p>
        </w:tc>
        <w:tc>
          <w:tcPr>
            <w:tcW w:w="4018" w:type="dxa"/>
            <w:gridSpan w:val="2"/>
          </w:tcPr>
          <w:p w:rsidR="003029F6" w:rsidRPr="009E0B8B" w:rsidRDefault="003029F6" w:rsidP="003029F6">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Partnerships</w:t>
            </w:r>
          </w:p>
        </w:tc>
      </w:tr>
      <w:tr w:rsidR="003029F6" w:rsidRPr="00AF7A58"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Institution Name</w:t>
            </w:r>
          </w:p>
        </w:tc>
        <w:tc>
          <w:tcPr>
            <w:tcW w:w="1399" w:type="dxa"/>
            <w:noWrap/>
            <w:hideMark/>
          </w:tcPr>
          <w:p w:rsidR="003029F6" w:rsidRPr="009E0B8B" w:rsidRDefault="003029F6" w:rsidP="003029F6">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Academic - Total stars of publications</w:t>
            </w:r>
          </w:p>
        </w:tc>
        <w:tc>
          <w:tcPr>
            <w:tcW w:w="1714" w:type="dxa"/>
            <w:noWrap/>
            <w:hideMark/>
          </w:tcPr>
          <w:p w:rsidR="003029F6" w:rsidRPr="009E0B8B" w:rsidRDefault="003029F6" w:rsidP="003029F6">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Proportion of international professors (%)</w:t>
            </w:r>
          </w:p>
        </w:tc>
        <w:tc>
          <w:tcPr>
            <w:tcW w:w="2009" w:type="dxa"/>
            <w:noWrap/>
            <w:hideMark/>
          </w:tcPr>
          <w:p w:rsidR="003029F6" w:rsidRPr="009E0B8B" w:rsidRDefault="003029F6" w:rsidP="003029F6">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 xml:space="preserve">Partner institutions in other countries with AACSB or </w:t>
            </w:r>
            <w:proofErr w:type="spellStart"/>
            <w:r w:rsidRPr="009E0B8B">
              <w:rPr>
                <w:rFonts w:asciiTheme="minorHAnsi" w:eastAsiaTheme="minorEastAsia" w:hAnsiTheme="minorHAnsi" w:cstheme="minorBidi"/>
                <w:sz w:val="20"/>
                <w:szCs w:val="22"/>
                <w:lang w:eastAsia="zh-CN"/>
              </w:rPr>
              <w:t>Equis</w:t>
            </w:r>
            <w:proofErr w:type="spellEnd"/>
          </w:p>
        </w:tc>
        <w:tc>
          <w:tcPr>
            <w:tcW w:w="2009" w:type="dxa"/>
            <w:noWrap/>
            <w:hideMark/>
          </w:tcPr>
          <w:p w:rsidR="003029F6" w:rsidRPr="009E0B8B" w:rsidRDefault="003029F6" w:rsidP="003029F6">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Contribution from Industry (in K Euros)</w:t>
            </w:r>
          </w:p>
        </w:tc>
      </w:tr>
      <w:tr w:rsidR="003029F6" w:rsidRPr="00AF7A58" w:rsidTr="00EB22E9">
        <w:trPr>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HEC</w:t>
            </w:r>
          </w:p>
        </w:tc>
        <w:tc>
          <w:tcPr>
            <w:tcW w:w="139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226</w:t>
            </w:r>
          </w:p>
        </w:tc>
        <w:tc>
          <w:tcPr>
            <w:tcW w:w="1714"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33</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60</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5343</w:t>
            </w:r>
          </w:p>
        </w:tc>
      </w:tr>
      <w:tr w:rsidR="003029F6" w:rsidRPr="00AF7A58"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ESSEC</w:t>
            </w:r>
          </w:p>
        </w:tc>
        <w:tc>
          <w:tcPr>
            <w:tcW w:w="139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176</w:t>
            </w:r>
          </w:p>
        </w:tc>
        <w:tc>
          <w:tcPr>
            <w:tcW w:w="1714"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32</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54</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3698</w:t>
            </w:r>
          </w:p>
        </w:tc>
      </w:tr>
      <w:tr w:rsidR="003029F6" w:rsidRPr="00AF7A58" w:rsidTr="00EB22E9">
        <w:trPr>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ESCP</w:t>
            </w:r>
          </w:p>
        </w:tc>
        <w:tc>
          <w:tcPr>
            <w:tcW w:w="139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112</w:t>
            </w:r>
          </w:p>
        </w:tc>
        <w:tc>
          <w:tcPr>
            <w:tcW w:w="1714"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5</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39</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2638</w:t>
            </w:r>
          </w:p>
        </w:tc>
      </w:tr>
      <w:tr w:rsidR="003029F6" w:rsidRPr="00AF7A58"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EM Lyon</w:t>
            </w:r>
          </w:p>
        </w:tc>
        <w:tc>
          <w:tcPr>
            <w:tcW w:w="139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138</w:t>
            </w:r>
          </w:p>
        </w:tc>
        <w:tc>
          <w:tcPr>
            <w:tcW w:w="1714"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19</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67</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4148</w:t>
            </w:r>
          </w:p>
        </w:tc>
      </w:tr>
      <w:tr w:rsidR="003029F6" w:rsidRPr="00AF7A58" w:rsidTr="00EB22E9">
        <w:trPr>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EDHEC</w:t>
            </w:r>
          </w:p>
        </w:tc>
        <w:tc>
          <w:tcPr>
            <w:tcW w:w="139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103</w:t>
            </w:r>
          </w:p>
        </w:tc>
        <w:tc>
          <w:tcPr>
            <w:tcW w:w="1714"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11</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62</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6195</w:t>
            </w:r>
          </w:p>
        </w:tc>
      </w:tr>
      <w:tr w:rsidR="003029F6" w:rsidRPr="00AF7A58"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proofErr w:type="spellStart"/>
            <w:r w:rsidRPr="009E0B8B">
              <w:rPr>
                <w:rFonts w:asciiTheme="minorHAnsi" w:eastAsiaTheme="minorEastAsia" w:hAnsiTheme="minorHAnsi" w:cstheme="minorBidi"/>
                <w:sz w:val="20"/>
                <w:szCs w:val="22"/>
                <w:lang w:eastAsia="zh-CN"/>
              </w:rPr>
              <w:t>Audencia</w:t>
            </w:r>
            <w:proofErr w:type="spellEnd"/>
          </w:p>
        </w:tc>
        <w:tc>
          <w:tcPr>
            <w:tcW w:w="139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76</w:t>
            </w:r>
          </w:p>
        </w:tc>
        <w:tc>
          <w:tcPr>
            <w:tcW w:w="1714"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14</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42</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1006</w:t>
            </w:r>
          </w:p>
        </w:tc>
      </w:tr>
      <w:tr w:rsidR="003029F6" w:rsidRPr="00AF7A58" w:rsidTr="00EB22E9">
        <w:trPr>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ESC Grenoble</w:t>
            </w:r>
          </w:p>
        </w:tc>
        <w:tc>
          <w:tcPr>
            <w:tcW w:w="139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96</w:t>
            </w:r>
          </w:p>
        </w:tc>
        <w:tc>
          <w:tcPr>
            <w:tcW w:w="1714"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13</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60</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1475</w:t>
            </w:r>
          </w:p>
        </w:tc>
      </w:tr>
      <w:tr w:rsidR="003029F6" w:rsidRPr="00AF7A58"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Sup de Co Reims</w:t>
            </w:r>
          </w:p>
        </w:tc>
        <w:tc>
          <w:tcPr>
            <w:tcW w:w="139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43</w:t>
            </w:r>
          </w:p>
        </w:tc>
        <w:tc>
          <w:tcPr>
            <w:tcW w:w="1714"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3</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50</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1453</w:t>
            </w:r>
          </w:p>
        </w:tc>
      </w:tr>
      <w:tr w:rsidR="003029F6" w:rsidRPr="00AF7A58" w:rsidTr="00EB22E9">
        <w:trPr>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Rouen Business School (ESC)</w:t>
            </w:r>
          </w:p>
        </w:tc>
        <w:tc>
          <w:tcPr>
            <w:tcW w:w="139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30</w:t>
            </w:r>
          </w:p>
        </w:tc>
        <w:tc>
          <w:tcPr>
            <w:tcW w:w="1714"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5</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57</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358</w:t>
            </w:r>
          </w:p>
        </w:tc>
      </w:tr>
      <w:tr w:rsidR="003029F6" w:rsidRPr="00AF7A58"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IESEG</w:t>
            </w:r>
          </w:p>
        </w:tc>
        <w:tc>
          <w:tcPr>
            <w:tcW w:w="139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92</w:t>
            </w:r>
          </w:p>
        </w:tc>
        <w:tc>
          <w:tcPr>
            <w:tcW w:w="1714"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19</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41</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768</w:t>
            </w:r>
          </w:p>
        </w:tc>
      </w:tr>
      <w:tr w:rsidR="003029F6" w:rsidRPr="00AF7A58" w:rsidTr="00EB22E9">
        <w:trPr>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proofErr w:type="spellStart"/>
            <w:r w:rsidRPr="009E0B8B">
              <w:rPr>
                <w:rFonts w:asciiTheme="minorHAnsi" w:eastAsiaTheme="minorEastAsia" w:hAnsiTheme="minorHAnsi" w:cstheme="minorBidi"/>
                <w:sz w:val="20"/>
                <w:szCs w:val="22"/>
                <w:lang w:eastAsia="zh-CN"/>
              </w:rPr>
              <w:t>Euromed</w:t>
            </w:r>
            <w:proofErr w:type="spellEnd"/>
            <w:r w:rsidRPr="009E0B8B">
              <w:rPr>
                <w:rFonts w:asciiTheme="minorHAnsi" w:eastAsiaTheme="minorEastAsia" w:hAnsiTheme="minorHAnsi" w:cstheme="minorBidi"/>
                <w:sz w:val="20"/>
                <w:szCs w:val="22"/>
                <w:lang w:eastAsia="zh-CN"/>
              </w:rPr>
              <w:t xml:space="preserve"> Management</w:t>
            </w:r>
          </w:p>
        </w:tc>
        <w:tc>
          <w:tcPr>
            <w:tcW w:w="139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57</w:t>
            </w:r>
          </w:p>
        </w:tc>
        <w:tc>
          <w:tcPr>
            <w:tcW w:w="1714"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8</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41</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1377</w:t>
            </w:r>
          </w:p>
        </w:tc>
      </w:tr>
      <w:tr w:rsidR="003029F6" w:rsidRPr="00AF7A58"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ESC Toulouse</w:t>
            </w:r>
          </w:p>
        </w:tc>
        <w:tc>
          <w:tcPr>
            <w:tcW w:w="139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55</w:t>
            </w:r>
          </w:p>
        </w:tc>
        <w:tc>
          <w:tcPr>
            <w:tcW w:w="1714"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6</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33</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802</w:t>
            </w:r>
          </w:p>
        </w:tc>
      </w:tr>
      <w:tr w:rsidR="003029F6" w:rsidRPr="00AF7A58" w:rsidTr="00EB22E9">
        <w:trPr>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ESC Bordeaux (BEM)</w:t>
            </w:r>
          </w:p>
        </w:tc>
        <w:tc>
          <w:tcPr>
            <w:tcW w:w="139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38</w:t>
            </w:r>
          </w:p>
        </w:tc>
        <w:tc>
          <w:tcPr>
            <w:tcW w:w="1714"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5</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31</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254</w:t>
            </w:r>
          </w:p>
        </w:tc>
      </w:tr>
      <w:tr w:rsidR="003029F6" w:rsidRPr="00AF7A58"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EM Strasbourg</w:t>
            </w:r>
          </w:p>
        </w:tc>
        <w:tc>
          <w:tcPr>
            <w:tcW w:w="139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33</w:t>
            </w:r>
          </w:p>
        </w:tc>
        <w:tc>
          <w:tcPr>
            <w:tcW w:w="1714"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0</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35</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480</w:t>
            </w:r>
          </w:p>
        </w:tc>
      </w:tr>
      <w:tr w:rsidR="003029F6" w:rsidRPr="00AF7A58" w:rsidTr="00EB22E9">
        <w:trPr>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ESC Lille (SKEMA)</w:t>
            </w:r>
          </w:p>
        </w:tc>
        <w:tc>
          <w:tcPr>
            <w:tcW w:w="139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59</w:t>
            </w:r>
          </w:p>
        </w:tc>
        <w:tc>
          <w:tcPr>
            <w:tcW w:w="1714"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4</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14</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253</w:t>
            </w:r>
          </w:p>
        </w:tc>
      </w:tr>
      <w:tr w:rsidR="003029F6" w:rsidRPr="00AF7A58"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CERAM (SKEMA)</w:t>
            </w:r>
          </w:p>
        </w:tc>
        <w:tc>
          <w:tcPr>
            <w:tcW w:w="139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38</w:t>
            </w:r>
          </w:p>
        </w:tc>
        <w:tc>
          <w:tcPr>
            <w:tcW w:w="1714"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6</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26</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523</w:t>
            </w:r>
          </w:p>
        </w:tc>
      </w:tr>
      <w:tr w:rsidR="003029F6" w:rsidRPr="00AF7A58" w:rsidTr="00EB22E9">
        <w:trPr>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ESC Rennes</w:t>
            </w:r>
          </w:p>
        </w:tc>
        <w:tc>
          <w:tcPr>
            <w:tcW w:w="139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21</w:t>
            </w:r>
          </w:p>
        </w:tc>
        <w:tc>
          <w:tcPr>
            <w:tcW w:w="1714"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16</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39</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574</w:t>
            </w:r>
          </w:p>
        </w:tc>
      </w:tr>
      <w:tr w:rsidR="003029F6" w:rsidRPr="00AF7A58"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ESSCA</w:t>
            </w:r>
          </w:p>
        </w:tc>
        <w:tc>
          <w:tcPr>
            <w:tcW w:w="139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27</w:t>
            </w:r>
          </w:p>
        </w:tc>
        <w:tc>
          <w:tcPr>
            <w:tcW w:w="1714"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2</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24</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991</w:t>
            </w:r>
          </w:p>
        </w:tc>
      </w:tr>
      <w:tr w:rsidR="003029F6" w:rsidRPr="00AF7A58" w:rsidTr="00EB22E9">
        <w:trPr>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ESG</w:t>
            </w:r>
          </w:p>
        </w:tc>
        <w:tc>
          <w:tcPr>
            <w:tcW w:w="139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34</w:t>
            </w:r>
          </w:p>
        </w:tc>
        <w:tc>
          <w:tcPr>
            <w:tcW w:w="1714"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0</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14</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468</w:t>
            </w:r>
          </w:p>
        </w:tc>
      </w:tr>
      <w:tr w:rsidR="003029F6" w:rsidRPr="00AF7A58"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ESC Tours-Poitiers (ESCEM)</w:t>
            </w:r>
          </w:p>
        </w:tc>
        <w:tc>
          <w:tcPr>
            <w:tcW w:w="139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16</w:t>
            </w:r>
          </w:p>
        </w:tc>
        <w:tc>
          <w:tcPr>
            <w:tcW w:w="1714"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7</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24</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195</w:t>
            </w:r>
          </w:p>
        </w:tc>
      </w:tr>
      <w:tr w:rsidR="003029F6" w:rsidRPr="00AF7A58" w:rsidTr="00EB22E9">
        <w:trPr>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ESC Montpellier</w:t>
            </w:r>
          </w:p>
        </w:tc>
        <w:tc>
          <w:tcPr>
            <w:tcW w:w="139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45</w:t>
            </w:r>
          </w:p>
        </w:tc>
        <w:tc>
          <w:tcPr>
            <w:tcW w:w="1714"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2</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24</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282</w:t>
            </w:r>
          </w:p>
        </w:tc>
      </w:tr>
      <w:tr w:rsidR="003029F6" w:rsidRPr="00AF7A58"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 xml:space="preserve">Telecom </w:t>
            </w:r>
            <w:proofErr w:type="spellStart"/>
            <w:r w:rsidRPr="009E0B8B">
              <w:rPr>
                <w:rFonts w:asciiTheme="minorHAnsi" w:eastAsiaTheme="minorEastAsia" w:hAnsiTheme="minorHAnsi" w:cstheme="minorBidi"/>
                <w:sz w:val="20"/>
                <w:szCs w:val="22"/>
                <w:lang w:eastAsia="zh-CN"/>
              </w:rPr>
              <w:t>Ecole</w:t>
            </w:r>
            <w:proofErr w:type="spellEnd"/>
            <w:r w:rsidRPr="009E0B8B">
              <w:rPr>
                <w:rFonts w:asciiTheme="minorHAnsi" w:eastAsiaTheme="minorEastAsia" w:hAnsiTheme="minorHAnsi" w:cstheme="minorBidi"/>
                <w:sz w:val="20"/>
                <w:szCs w:val="22"/>
                <w:lang w:eastAsia="zh-CN"/>
              </w:rPr>
              <w:t xml:space="preserve"> de Management</w:t>
            </w:r>
          </w:p>
        </w:tc>
        <w:tc>
          <w:tcPr>
            <w:tcW w:w="139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30</w:t>
            </w:r>
          </w:p>
        </w:tc>
        <w:tc>
          <w:tcPr>
            <w:tcW w:w="1714"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9</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16</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89</w:t>
            </w:r>
          </w:p>
        </w:tc>
      </w:tr>
      <w:tr w:rsidR="003029F6" w:rsidRPr="00AF7A58" w:rsidTr="00EB22E9">
        <w:trPr>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ISC</w:t>
            </w:r>
          </w:p>
        </w:tc>
        <w:tc>
          <w:tcPr>
            <w:tcW w:w="139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20</w:t>
            </w:r>
          </w:p>
        </w:tc>
        <w:tc>
          <w:tcPr>
            <w:tcW w:w="1714"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2</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19</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158</w:t>
            </w:r>
          </w:p>
        </w:tc>
      </w:tr>
      <w:tr w:rsidR="003029F6" w:rsidRPr="00AF7A58"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INSEEC</w:t>
            </w:r>
          </w:p>
        </w:tc>
        <w:tc>
          <w:tcPr>
            <w:tcW w:w="139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16</w:t>
            </w:r>
          </w:p>
        </w:tc>
        <w:tc>
          <w:tcPr>
            <w:tcW w:w="1714"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2</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33</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348</w:t>
            </w:r>
          </w:p>
        </w:tc>
      </w:tr>
      <w:tr w:rsidR="003029F6" w:rsidRPr="00AF7A58" w:rsidTr="00EB22E9">
        <w:trPr>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ICN Business School</w:t>
            </w:r>
          </w:p>
        </w:tc>
        <w:tc>
          <w:tcPr>
            <w:tcW w:w="139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3</w:t>
            </w:r>
          </w:p>
        </w:tc>
        <w:tc>
          <w:tcPr>
            <w:tcW w:w="1714"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2</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26</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1050</w:t>
            </w:r>
          </w:p>
        </w:tc>
      </w:tr>
      <w:tr w:rsidR="003029F6" w:rsidRPr="00AF7A58"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ESC Dijon</w:t>
            </w:r>
          </w:p>
        </w:tc>
        <w:tc>
          <w:tcPr>
            <w:tcW w:w="139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20</w:t>
            </w:r>
          </w:p>
        </w:tc>
        <w:tc>
          <w:tcPr>
            <w:tcW w:w="1714"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2</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27</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221</w:t>
            </w:r>
          </w:p>
        </w:tc>
      </w:tr>
      <w:tr w:rsidR="003029F6" w:rsidRPr="00AF7A58" w:rsidTr="00EB22E9">
        <w:trPr>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 xml:space="preserve">EM </w:t>
            </w:r>
            <w:proofErr w:type="spellStart"/>
            <w:r w:rsidRPr="009E0B8B">
              <w:rPr>
                <w:rFonts w:asciiTheme="minorHAnsi" w:eastAsiaTheme="minorEastAsia" w:hAnsiTheme="minorHAnsi" w:cstheme="minorBidi"/>
                <w:sz w:val="20"/>
                <w:szCs w:val="22"/>
                <w:lang w:eastAsia="zh-CN"/>
              </w:rPr>
              <w:t>Normandie</w:t>
            </w:r>
            <w:proofErr w:type="spellEnd"/>
          </w:p>
        </w:tc>
        <w:tc>
          <w:tcPr>
            <w:tcW w:w="139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6</w:t>
            </w:r>
          </w:p>
        </w:tc>
        <w:tc>
          <w:tcPr>
            <w:tcW w:w="1714"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7</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12</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318</w:t>
            </w:r>
          </w:p>
        </w:tc>
      </w:tr>
      <w:tr w:rsidR="003029F6" w:rsidRPr="00AF7A58"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ESCE</w:t>
            </w:r>
          </w:p>
        </w:tc>
        <w:tc>
          <w:tcPr>
            <w:tcW w:w="139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p>
        </w:tc>
        <w:tc>
          <w:tcPr>
            <w:tcW w:w="1714"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p>
        </w:tc>
      </w:tr>
      <w:tr w:rsidR="003029F6" w:rsidRPr="00AF7A58" w:rsidTr="00EB22E9">
        <w:trPr>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ESC Clermont</w:t>
            </w:r>
          </w:p>
        </w:tc>
        <w:tc>
          <w:tcPr>
            <w:tcW w:w="139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4</w:t>
            </w:r>
          </w:p>
        </w:tc>
        <w:tc>
          <w:tcPr>
            <w:tcW w:w="1714"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2</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13</w:t>
            </w: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97</w:t>
            </w:r>
          </w:p>
        </w:tc>
      </w:tr>
      <w:tr w:rsidR="003029F6" w:rsidRPr="00AF7A58" w:rsidTr="00EB2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ESC La Rochelle</w:t>
            </w:r>
          </w:p>
        </w:tc>
        <w:tc>
          <w:tcPr>
            <w:tcW w:w="139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12</w:t>
            </w:r>
          </w:p>
        </w:tc>
        <w:tc>
          <w:tcPr>
            <w:tcW w:w="1714"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3</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11</w:t>
            </w:r>
          </w:p>
        </w:tc>
        <w:tc>
          <w:tcPr>
            <w:tcW w:w="2009" w:type="dxa"/>
            <w:noWrap/>
            <w:hideMark/>
          </w:tcPr>
          <w:p w:rsidR="003029F6" w:rsidRPr="009E0B8B" w:rsidRDefault="003029F6" w:rsidP="003029F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95</w:t>
            </w:r>
          </w:p>
        </w:tc>
      </w:tr>
      <w:tr w:rsidR="003029F6" w:rsidRPr="00AF7A58" w:rsidTr="00EB22E9">
        <w:trPr>
          <w:trHeight w:val="300"/>
        </w:trPr>
        <w:tc>
          <w:tcPr>
            <w:cnfStyle w:val="001000000000" w:firstRow="0" w:lastRow="0" w:firstColumn="1" w:lastColumn="0" w:oddVBand="0" w:evenVBand="0" w:oddHBand="0" w:evenHBand="0" w:firstRowFirstColumn="0" w:firstRowLastColumn="0" w:lastRowFirstColumn="0" w:lastRowLastColumn="0"/>
            <w:tcW w:w="2111" w:type="dxa"/>
            <w:noWrap/>
            <w:hideMark/>
          </w:tcPr>
          <w:p w:rsidR="003029F6" w:rsidRPr="009E0B8B" w:rsidRDefault="003029F6" w:rsidP="003029F6">
            <w:pPr>
              <w:rPr>
                <w:rFonts w:asciiTheme="minorHAnsi" w:eastAsiaTheme="minorEastAsia" w:hAnsiTheme="minorHAnsi" w:cstheme="minorBidi"/>
                <w:sz w:val="20"/>
                <w:szCs w:val="22"/>
                <w:lang w:eastAsia="zh-CN"/>
              </w:rPr>
            </w:pPr>
            <w:r w:rsidRPr="009E0B8B">
              <w:rPr>
                <w:rFonts w:asciiTheme="minorHAnsi" w:eastAsiaTheme="minorEastAsia" w:hAnsiTheme="minorHAnsi" w:cstheme="minorBidi"/>
                <w:sz w:val="20"/>
                <w:szCs w:val="22"/>
                <w:lang w:eastAsia="zh-CN"/>
              </w:rPr>
              <w:t>EDC</w:t>
            </w:r>
          </w:p>
        </w:tc>
        <w:tc>
          <w:tcPr>
            <w:tcW w:w="139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p>
        </w:tc>
        <w:tc>
          <w:tcPr>
            <w:tcW w:w="1714"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p>
        </w:tc>
        <w:tc>
          <w:tcPr>
            <w:tcW w:w="2009" w:type="dxa"/>
            <w:noWrap/>
            <w:hideMark/>
          </w:tcPr>
          <w:p w:rsidR="003029F6" w:rsidRPr="009E0B8B" w:rsidRDefault="003029F6" w:rsidP="003029F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2"/>
                <w:lang w:eastAsia="zh-CN"/>
              </w:rPr>
            </w:pPr>
          </w:p>
        </w:tc>
      </w:tr>
    </w:tbl>
    <w:p w:rsidR="003029F6" w:rsidRDefault="003029F6" w:rsidP="00F03A63">
      <w:pPr>
        <w:jc w:val="both"/>
      </w:pPr>
    </w:p>
    <w:p w:rsidR="00C5439D" w:rsidRDefault="00C5439D" w:rsidP="00F03A63">
      <w:pPr>
        <w:jc w:val="both"/>
      </w:pPr>
    </w:p>
    <w:p w:rsidR="006C35EB" w:rsidRDefault="006C35EB" w:rsidP="00BC3ADE">
      <w:pPr>
        <w:jc w:val="both"/>
      </w:pPr>
    </w:p>
    <w:p w:rsidR="00165061" w:rsidRDefault="00165061" w:rsidP="00BC3ADE">
      <w:pPr>
        <w:jc w:val="both"/>
      </w:pPr>
    </w:p>
    <w:p w:rsidR="0025280A" w:rsidRDefault="00A34C57" w:rsidP="00BC3ADE">
      <w:pPr>
        <w:jc w:val="both"/>
      </w:pPr>
      <w:r>
        <w:lastRenderedPageBreak/>
        <w:t xml:space="preserve">Tables 4 and 5 below summarise the classes contained in UG and PG marketing programmes at our sample of institutions. </w:t>
      </w:r>
      <w:r w:rsidR="00145BDE">
        <w:t xml:space="preserve">We note once more than the distinction between UG and PG programmes in France is far more fluid and subjective than the UK. </w:t>
      </w:r>
      <w:r>
        <w:t>Again, the data was obtained from publicly available sources and where necessary by further communication with programme managing staff. We note that a good number of these classes already had English-language titles, but where necessary translations have been made. In order to rationalise the tables a pragmatic decision was made to cluster similar</w:t>
      </w:r>
      <w:r w:rsidR="000D4AAF">
        <w:t xml:space="preserve"> but uniquely titled</w:t>
      </w:r>
      <w:r>
        <w:t xml:space="preserve"> classes together into macro-groups as per </w:t>
      </w:r>
      <w:proofErr w:type="spellStart"/>
      <w:r>
        <w:t>Centeno</w:t>
      </w:r>
      <w:proofErr w:type="spellEnd"/>
      <w:r>
        <w:t xml:space="preserve"> </w:t>
      </w:r>
      <w:r w:rsidR="000D4AAF">
        <w:t xml:space="preserve">et al </w:t>
      </w:r>
      <w:r>
        <w:t xml:space="preserve">(2008) and </w:t>
      </w:r>
      <w:proofErr w:type="spellStart"/>
      <w:r>
        <w:t>Stringfellow</w:t>
      </w:r>
      <w:proofErr w:type="spellEnd"/>
      <w:r>
        <w:t xml:space="preserve"> </w:t>
      </w:r>
      <w:r w:rsidR="000D4AAF">
        <w:t xml:space="preserve">et al </w:t>
      </w:r>
      <w:r>
        <w:t>(2006)</w:t>
      </w:r>
      <w:r w:rsidR="000D4AAF">
        <w:t xml:space="preserve">. </w:t>
      </w:r>
    </w:p>
    <w:p w:rsidR="0025280A" w:rsidRDefault="0025280A" w:rsidP="00BC3ADE">
      <w:pPr>
        <w:jc w:val="both"/>
      </w:pPr>
    </w:p>
    <w:p w:rsidR="000D4AAF" w:rsidRDefault="000D4AAF" w:rsidP="00BC3ADE">
      <w:pPr>
        <w:jc w:val="both"/>
      </w:pPr>
      <w:r>
        <w:t xml:space="preserve">As examples, the UG table incorporates Digital Marketing and Social Media classes into the E-Marketing set and the PG table collates one instance of Marketing Industry into the larger B2B grouping. </w:t>
      </w:r>
      <w:r w:rsidR="006906FB">
        <w:t>An outline of this</w:t>
      </w:r>
      <w:r>
        <w:t xml:space="preserve"> reconciliation is given in Appendix 1, but an important point to note is that our table shows if an institution provides at least one class in that area.</w:t>
      </w:r>
      <w:r w:rsidR="00145BDE">
        <w:t xml:space="preserve"> The colour coding breaks prevalence down into quartiles. </w:t>
      </w:r>
    </w:p>
    <w:p w:rsidR="00145BDE" w:rsidRDefault="00145BDE" w:rsidP="00BC3ADE">
      <w:pPr>
        <w:jc w:val="both"/>
      </w:pPr>
    </w:p>
    <w:p w:rsidR="0025280A" w:rsidRDefault="00145BDE" w:rsidP="0025280A">
      <w:pPr>
        <w:jc w:val="both"/>
      </w:pPr>
      <w:r>
        <w:t xml:space="preserve">Table 6 combines the data from our sample with selected excerpts of the corresponding tables from </w:t>
      </w:r>
      <w:proofErr w:type="spellStart"/>
      <w:r>
        <w:t>Stringfellow</w:t>
      </w:r>
      <w:proofErr w:type="spellEnd"/>
      <w:r>
        <w:t xml:space="preserve"> et al and </w:t>
      </w:r>
      <w:proofErr w:type="spellStart"/>
      <w:r>
        <w:t>Centeno</w:t>
      </w:r>
      <w:proofErr w:type="spellEnd"/>
      <w:r>
        <w:t xml:space="preserve"> et al.</w:t>
      </w:r>
      <w:r w:rsidR="0025280A">
        <w:t xml:space="preserve"> For tables 4-6 the key is Green = 75-100 presence,</w:t>
      </w:r>
    </w:p>
    <w:p w:rsidR="00145BDE" w:rsidRDefault="0025280A" w:rsidP="0025280A">
      <w:pPr>
        <w:jc w:val="both"/>
      </w:pPr>
      <w:proofErr w:type="gramStart"/>
      <w:r>
        <w:t>yellow</w:t>
      </w:r>
      <w:proofErr w:type="gramEnd"/>
      <w:r>
        <w:t xml:space="preserve"> = 50-75% presence, red= 25-50% presence and blue = 0-25% presence.</w:t>
      </w:r>
    </w:p>
    <w:p w:rsidR="000D4AAF" w:rsidRDefault="000D4AAF" w:rsidP="00BC3ADE">
      <w:pPr>
        <w:jc w:val="both"/>
      </w:pPr>
    </w:p>
    <w:p w:rsidR="000D4AAF" w:rsidRDefault="000D4AAF" w:rsidP="00BC3ADE">
      <w:pPr>
        <w:jc w:val="both"/>
        <w:sectPr w:rsidR="000D4AAF" w:rsidSect="00766F22">
          <w:pgSz w:w="11906" w:h="16838"/>
          <w:pgMar w:top="1440" w:right="1440" w:bottom="1440" w:left="1440" w:header="708" w:footer="708" w:gutter="0"/>
          <w:cols w:space="708"/>
          <w:docGrid w:linePitch="360"/>
        </w:sectPr>
      </w:pPr>
    </w:p>
    <w:p w:rsidR="00AF7A58" w:rsidRDefault="00AF7A58" w:rsidP="009E0B8B">
      <w:pPr>
        <w:pStyle w:val="Heading3"/>
      </w:pPr>
      <w:proofErr w:type="gramStart"/>
      <w:r>
        <w:lastRenderedPageBreak/>
        <w:t>Table 4.</w:t>
      </w:r>
      <w:proofErr w:type="gramEnd"/>
      <w:r>
        <w:t xml:space="preserve"> PG Classes by Prevalence</w:t>
      </w:r>
    </w:p>
    <w:tbl>
      <w:tblPr>
        <w:tblStyle w:val="MediumShading2-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395"/>
        <w:gridCol w:w="395"/>
        <w:gridCol w:w="395"/>
        <w:gridCol w:w="395"/>
        <w:gridCol w:w="395"/>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tblGrid>
      <w:tr w:rsidR="00176FD1" w:rsidRPr="00AF7A58" w:rsidTr="0025280A">
        <w:trPr>
          <w:cnfStyle w:val="100000000000" w:firstRow="1" w:lastRow="0" w:firstColumn="0" w:lastColumn="0" w:oddVBand="0" w:evenVBand="0" w:oddHBand="0" w:evenHBand="0" w:firstRowFirstColumn="0" w:firstRowLastColumn="0" w:lastRowFirstColumn="0" w:lastRowLastColumn="0"/>
          <w:trHeight w:val="1749"/>
        </w:trPr>
        <w:tc>
          <w:tcPr>
            <w:cnfStyle w:val="001000000100" w:firstRow="0" w:lastRow="0" w:firstColumn="1" w:lastColumn="0" w:oddVBand="0" w:evenVBand="0" w:oddHBand="0" w:evenHBand="0" w:firstRowFirstColumn="1"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rPr>
                <w:rFonts w:ascii="Calibri" w:hAnsi="Calibri" w:cs="Calibri"/>
                <w:color w:val="000000"/>
                <w:sz w:val="16"/>
                <w:szCs w:val="16"/>
                <w:lang w:eastAsia="zh-CN"/>
              </w:rPr>
            </w:pP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HEC</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ESSEC</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ESCP</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EM Lyon</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EDHEC</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roofErr w:type="spellStart"/>
            <w:r w:rsidRPr="00AF7A58">
              <w:rPr>
                <w:rFonts w:ascii="Calibri" w:hAnsi="Calibri" w:cs="Calibri"/>
                <w:color w:val="000000"/>
                <w:sz w:val="16"/>
                <w:szCs w:val="16"/>
                <w:lang w:eastAsia="zh-CN"/>
              </w:rPr>
              <w:t>Audencia</w:t>
            </w:r>
            <w:proofErr w:type="spellEnd"/>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ESC Grenoble</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Sup de Co Reims</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Rouen Business School (ESC)</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IESEG</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roofErr w:type="spellStart"/>
            <w:r w:rsidRPr="00AF7A58">
              <w:rPr>
                <w:rFonts w:ascii="Calibri" w:hAnsi="Calibri" w:cs="Calibri"/>
                <w:color w:val="000000"/>
                <w:sz w:val="16"/>
                <w:szCs w:val="16"/>
                <w:lang w:eastAsia="zh-CN"/>
              </w:rPr>
              <w:t>Euromed</w:t>
            </w:r>
            <w:proofErr w:type="spellEnd"/>
            <w:r w:rsidRPr="00AF7A58">
              <w:rPr>
                <w:rFonts w:ascii="Calibri" w:hAnsi="Calibri" w:cs="Calibri"/>
                <w:color w:val="000000"/>
                <w:sz w:val="16"/>
                <w:szCs w:val="16"/>
                <w:lang w:eastAsia="zh-CN"/>
              </w:rPr>
              <w:t xml:space="preserve"> Management</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ESC Toulouse</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ESC Bordeaux (BEM)</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EM Strasbourg</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ESC Lille (SKEMA)</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CERAM (SKEMA)</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ESC Rennes</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ESSCA</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ESG</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ESC Tours-Poitiers (ESCEM)</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ESC Montpellier</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 xml:space="preserve">Telecom </w:t>
            </w:r>
            <w:proofErr w:type="spellStart"/>
            <w:r w:rsidRPr="00AF7A58">
              <w:rPr>
                <w:rFonts w:ascii="Calibri" w:hAnsi="Calibri" w:cs="Calibri"/>
                <w:color w:val="000000"/>
                <w:sz w:val="16"/>
                <w:szCs w:val="16"/>
                <w:lang w:eastAsia="zh-CN"/>
              </w:rPr>
              <w:t>Ecole</w:t>
            </w:r>
            <w:proofErr w:type="spellEnd"/>
            <w:r w:rsidRPr="00AF7A58">
              <w:rPr>
                <w:rFonts w:ascii="Calibri" w:hAnsi="Calibri" w:cs="Calibri"/>
                <w:color w:val="000000"/>
                <w:sz w:val="16"/>
                <w:szCs w:val="16"/>
                <w:lang w:eastAsia="zh-CN"/>
              </w:rPr>
              <w:t xml:space="preserve"> de Management</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ISC</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INSEEC</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ICN Business School</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ESC Dijon</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 xml:space="preserve">EM </w:t>
            </w:r>
            <w:proofErr w:type="spellStart"/>
            <w:r w:rsidRPr="00AF7A58">
              <w:rPr>
                <w:rFonts w:ascii="Calibri" w:hAnsi="Calibri" w:cs="Calibri"/>
                <w:color w:val="000000"/>
                <w:sz w:val="16"/>
                <w:szCs w:val="16"/>
                <w:lang w:eastAsia="zh-CN"/>
              </w:rPr>
              <w:t>Normandie</w:t>
            </w:r>
            <w:proofErr w:type="spellEnd"/>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ESCE</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ESC Clermont</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ESC La Rochelle</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EDC</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noWrap/>
            <w:textDirection w:val="tbRl"/>
            <w:hideMark/>
          </w:tcPr>
          <w:p w:rsidR="00AF7A58" w:rsidRPr="00AF7A58" w:rsidRDefault="00AF7A58" w:rsidP="00AF7A58">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Total in Class Category</w:t>
            </w:r>
          </w:p>
        </w:tc>
      </w:tr>
      <w:tr w:rsidR="00176FD1" w:rsidRPr="00AF7A58" w:rsidTr="0025280A">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proofErr w:type="spellStart"/>
            <w:r w:rsidRPr="00AF7A58">
              <w:rPr>
                <w:rFonts w:ascii="Calibri" w:hAnsi="Calibri" w:cs="Calibri"/>
                <w:color w:val="000000"/>
                <w:sz w:val="16"/>
                <w:szCs w:val="16"/>
                <w:lang w:eastAsia="zh-CN"/>
              </w:rPr>
              <w:t>MarComs</w:t>
            </w:r>
            <w:proofErr w:type="spellEnd"/>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20</w:t>
            </w:r>
          </w:p>
        </w:tc>
      </w:tr>
      <w:tr w:rsidR="00176FD1" w:rsidRPr="00AF7A58" w:rsidTr="0025280A">
        <w:trPr>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Supply Chain/Logistics</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19</w:t>
            </w:r>
          </w:p>
        </w:tc>
      </w:tr>
      <w:tr w:rsidR="00176FD1" w:rsidRPr="00AF7A58" w:rsidTr="0025280A">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International MKT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17</w:t>
            </w:r>
          </w:p>
        </w:tc>
      </w:tr>
      <w:tr w:rsidR="00176FD1" w:rsidRPr="00AF7A58" w:rsidTr="0025280A">
        <w:trPr>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Strategic Marketing</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16</w:t>
            </w:r>
          </w:p>
        </w:tc>
      </w:tr>
      <w:tr w:rsidR="00176FD1" w:rsidRPr="00AF7A58" w:rsidTr="0025280A">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E-Marketing</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16</w:t>
            </w:r>
          </w:p>
        </w:tc>
      </w:tr>
      <w:tr w:rsidR="00176FD1" w:rsidRPr="00AF7A58" w:rsidTr="0025280A">
        <w:trPr>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Marketing Research</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FFFF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FFFF66"/>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14</w:t>
            </w:r>
          </w:p>
        </w:tc>
      </w:tr>
      <w:tr w:rsidR="00176FD1" w:rsidRPr="00AF7A58" w:rsidTr="0025280A">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 xml:space="preserve">Product/Brand </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13</w:t>
            </w:r>
          </w:p>
        </w:tc>
      </w:tr>
      <w:tr w:rsidR="00176FD1" w:rsidRPr="00AF7A58" w:rsidTr="0025280A">
        <w:trPr>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Sales Management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13</w:t>
            </w:r>
          </w:p>
        </w:tc>
      </w:tr>
      <w:tr w:rsidR="00176FD1" w:rsidRPr="00AF7A58" w:rsidTr="0025280A">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Services Marketing</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11</w:t>
            </w:r>
          </w:p>
        </w:tc>
      </w:tr>
      <w:tr w:rsidR="00176FD1" w:rsidRPr="00AF7A58" w:rsidTr="0025280A">
        <w:trPr>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B2B/Industrial</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11</w:t>
            </w:r>
          </w:p>
        </w:tc>
      </w:tr>
      <w:tr w:rsidR="00176FD1" w:rsidRPr="00AF7A58" w:rsidTr="0025280A">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Innovation/NPD</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11</w:t>
            </w:r>
          </w:p>
        </w:tc>
      </w:tr>
      <w:tr w:rsidR="00176FD1" w:rsidRPr="00AF7A58" w:rsidTr="0025280A">
        <w:trPr>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Purchasing</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9</w:t>
            </w:r>
          </w:p>
        </w:tc>
      </w:tr>
      <w:tr w:rsidR="00176FD1" w:rsidRPr="00AF7A58" w:rsidTr="0025280A">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CB</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E5B8B7" w:themeFill="accent2" w:themeFillTint="66"/>
            <w:noWrap/>
            <w:hideMark/>
          </w:tcPr>
          <w:p w:rsidR="00AF7A58" w:rsidRPr="00AF7A58" w:rsidRDefault="00AF7A58" w:rsidP="00AF7A5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8</w:t>
            </w:r>
          </w:p>
        </w:tc>
      </w:tr>
      <w:tr w:rsidR="00176FD1" w:rsidRPr="00AF7A58" w:rsidTr="0025280A">
        <w:trPr>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RM/CRM</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7</w:t>
            </w:r>
          </w:p>
        </w:tc>
      </w:tr>
      <w:tr w:rsidR="00176FD1" w:rsidRPr="00AF7A58" w:rsidTr="0025280A">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MKT Management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7</w:t>
            </w:r>
          </w:p>
        </w:tc>
      </w:tr>
      <w:tr w:rsidR="00176FD1" w:rsidRPr="00AF7A58" w:rsidTr="0025280A">
        <w:trPr>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Event Marketing</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7</w:t>
            </w:r>
          </w:p>
        </w:tc>
      </w:tr>
      <w:tr w:rsidR="00176FD1" w:rsidRPr="00AF7A58" w:rsidTr="0025280A">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Luxury Marketing</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6</w:t>
            </w:r>
          </w:p>
        </w:tc>
      </w:tr>
      <w:tr w:rsidR="00176FD1" w:rsidRPr="00AF7A58" w:rsidTr="0025280A">
        <w:trPr>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Principles of MKT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5</w:t>
            </w:r>
          </w:p>
        </w:tc>
      </w:tr>
      <w:tr w:rsidR="00176FD1" w:rsidRPr="00AF7A58" w:rsidTr="0025280A">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Retail Marketing</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5</w:t>
            </w:r>
          </w:p>
        </w:tc>
      </w:tr>
      <w:tr w:rsidR="00176FD1" w:rsidRPr="00AF7A58" w:rsidTr="0025280A">
        <w:trPr>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Public Relations</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5</w:t>
            </w:r>
          </w:p>
        </w:tc>
      </w:tr>
      <w:tr w:rsidR="00176FD1" w:rsidRPr="00AF7A58" w:rsidTr="0025280A">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proofErr w:type="spellStart"/>
            <w:r w:rsidRPr="00AF7A58">
              <w:rPr>
                <w:rFonts w:ascii="Calibri" w:hAnsi="Calibri" w:cs="Calibri"/>
                <w:color w:val="000000"/>
                <w:sz w:val="16"/>
                <w:szCs w:val="16"/>
                <w:lang w:eastAsia="zh-CN"/>
              </w:rPr>
              <w:t>Misc</w:t>
            </w:r>
            <w:proofErr w:type="spellEnd"/>
            <w:r w:rsidRPr="00AF7A58">
              <w:rPr>
                <w:rFonts w:ascii="Calibri" w:hAnsi="Calibri" w:cs="Calibri"/>
                <w:color w:val="000000"/>
                <w:sz w:val="16"/>
                <w:szCs w:val="16"/>
                <w:lang w:eastAsia="zh-CN"/>
              </w:rPr>
              <w:t>/Speciality</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4</w:t>
            </w:r>
          </w:p>
        </w:tc>
      </w:tr>
      <w:tr w:rsidR="00176FD1" w:rsidRPr="00AF7A58" w:rsidTr="0025280A">
        <w:trPr>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Direct Marketing</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4</w:t>
            </w:r>
          </w:p>
        </w:tc>
      </w:tr>
      <w:tr w:rsidR="00176FD1" w:rsidRPr="00AF7A58" w:rsidTr="0025280A">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Creativity</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4</w:t>
            </w:r>
          </w:p>
        </w:tc>
      </w:tr>
      <w:tr w:rsidR="00176FD1" w:rsidRPr="00AF7A58" w:rsidTr="0025280A">
        <w:trPr>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Marketing Ethics</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3</w:t>
            </w:r>
          </w:p>
        </w:tc>
      </w:tr>
      <w:tr w:rsidR="00176FD1" w:rsidRPr="00AF7A58" w:rsidTr="0025280A">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Pricing Policy</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p>
        </w:tc>
        <w:tc>
          <w:tcPr>
            <w:tcW w:w="0" w:type="auto"/>
            <w:shd w:val="clear" w:color="auto" w:fill="B8CCE4" w:themeFill="accent1" w:themeFillTint="66"/>
            <w:noWrap/>
            <w:hideMark/>
          </w:tcPr>
          <w:p w:rsidR="00AF7A58" w:rsidRPr="00AF7A58" w:rsidRDefault="00AF7A58" w:rsidP="00AF7A5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2</w:t>
            </w:r>
          </w:p>
        </w:tc>
      </w:tr>
      <w:tr w:rsidR="00AF7A58" w:rsidRPr="00AF7A58" w:rsidTr="0025280A">
        <w:trPr>
          <w:trHeight w:val="22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DDD9C3" w:themeFill="background2" w:themeFillShade="E6"/>
            <w:noWrap/>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Institution Total</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12</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9</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10</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18</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11</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7</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15</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10</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10</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16</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4</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8</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2</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7</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5</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0</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17</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9</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15</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3</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2</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9</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0</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0</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1</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3</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4</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10</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6</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4</w:t>
            </w:r>
          </w:p>
        </w:tc>
        <w:tc>
          <w:tcPr>
            <w:tcW w:w="0" w:type="auto"/>
            <w:noWrap/>
            <w:hideMark/>
          </w:tcPr>
          <w:p w:rsidR="00AF7A58" w:rsidRPr="00AF7A58" w:rsidRDefault="00AF7A58" w:rsidP="00AF7A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zh-CN"/>
              </w:rPr>
            </w:pPr>
            <w:r w:rsidRPr="00AF7A58">
              <w:rPr>
                <w:rFonts w:ascii="Calibri" w:hAnsi="Calibri" w:cs="Calibri"/>
                <w:color w:val="000000"/>
                <w:sz w:val="16"/>
                <w:szCs w:val="16"/>
                <w:lang w:eastAsia="zh-CN"/>
              </w:rPr>
              <w:t>10</w:t>
            </w:r>
          </w:p>
        </w:tc>
        <w:tc>
          <w:tcPr>
            <w:tcW w:w="0" w:type="auto"/>
            <w:noWrap/>
            <w:hideMark/>
          </w:tcPr>
          <w:p w:rsidR="00AF7A58" w:rsidRPr="00AF7A58" w:rsidRDefault="00AF7A58" w:rsidP="00AF7A5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zh-CN"/>
              </w:rPr>
            </w:pPr>
          </w:p>
        </w:tc>
      </w:tr>
    </w:tbl>
    <w:p w:rsidR="00AF7A58" w:rsidRDefault="00AF7A58" w:rsidP="009E0B8B">
      <w:pPr>
        <w:pStyle w:val="Heading3"/>
      </w:pPr>
      <w:proofErr w:type="gramStart"/>
      <w:r>
        <w:lastRenderedPageBreak/>
        <w:t>Table 5.</w:t>
      </w:r>
      <w:proofErr w:type="gramEnd"/>
      <w:r>
        <w:t xml:space="preserve"> UG Class Prevalence</w:t>
      </w:r>
    </w:p>
    <w:tbl>
      <w:tblPr>
        <w:tblW w:w="14081" w:type="dxa"/>
        <w:tblInd w:w="93" w:type="dxa"/>
        <w:tblLook w:val="04A0" w:firstRow="1" w:lastRow="0" w:firstColumn="1" w:lastColumn="0" w:noHBand="0" w:noVBand="1"/>
      </w:tblPr>
      <w:tblGrid>
        <w:gridCol w:w="1645"/>
        <w:gridCol w:w="388"/>
        <w:gridCol w:w="388"/>
        <w:gridCol w:w="388"/>
        <w:gridCol w:w="388"/>
        <w:gridCol w:w="388"/>
        <w:gridCol w:w="388"/>
        <w:gridCol w:w="388"/>
        <w:gridCol w:w="388"/>
        <w:gridCol w:w="388"/>
        <w:gridCol w:w="388"/>
        <w:gridCol w:w="388"/>
        <w:gridCol w:w="388"/>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tblGrid>
      <w:tr w:rsidR="007E47AC" w:rsidRPr="00AF7A58" w:rsidTr="00AF7A58">
        <w:trPr>
          <w:trHeight w:val="2355"/>
        </w:trPr>
        <w:tc>
          <w:tcPr>
            <w:tcW w:w="193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tcPr>
          <w:p w:rsidR="00AF7A58" w:rsidRPr="00AF7A58" w:rsidRDefault="00AF7A58" w:rsidP="00AF7A58">
            <w:pPr>
              <w:jc w:val="right"/>
              <w:rPr>
                <w:rFonts w:ascii="Calibri" w:hAnsi="Calibri" w:cs="Calibri"/>
                <w:b/>
                <w:bCs/>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HEC</w:t>
            </w:r>
          </w:p>
        </w:tc>
        <w:tc>
          <w:tcPr>
            <w:tcW w:w="379"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ESSEC</w:t>
            </w:r>
          </w:p>
        </w:tc>
        <w:tc>
          <w:tcPr>
            <w:tcW w:w="379"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ESCP</w:t>
            </w:r>
          </w:p>
        </w:tc>
        <w:tc>
          <w:tcPr>
            <w:tcW w:w="379"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EM Lyon</w:t>
            </w:r>
          </w:p>
        </w:tc>
        <w:tc>
          <w:tcPr>
            <w:tcW w:w="379"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EDHEC</w:t>
            </w:r>
          </w:p>
        </w:tc>
        <w:tc>
          <w:tcPr>
            <w:tcW w:w="379"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proofErr w:type="spellStart"/>
            <w:r w:rsidRPr="00AF7A58">
              <w:rPr>
                <w:rFonts w:ascii="Calibri" w:hAnsi="Calibri" w:cs="Calibri"/>
                <w:color w:val="000000"/>
                <w:sz w:val="16"/>
                <w:szCs w:val="16"/>
                <w:lang w:eastAsia="zh-CN"/>
              </w:rPr>
              <w:t>Audencia</w:t>
            </w:r>
            <w:proofErr w:type="spellEnd"/>
          </w:p>
        </w:tc>
        <w:tc>
          <w:tcPr>
            <w:tcW w:w="379"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ESC Grenoble</w:t>
            </w:r>
          </w:p>
        </w:tc>
        <w:tc>
          <w:tcPr>
            <w:tcW w:w="379"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Sup de Co Reims</w:t>
            </w:r>
          </w:p>
        </w:tc>
        <w:tc>
          <w:tcPr>
            <w:tcW w:w="379"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Rouen Business School (ESC)</w:t>
            </w:r>
          </w:p>
        </w:tc>
        <w:tc>
          <w:tcPr>
            <w:tcW w:w="379"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IESEG</w:t>
            </w:r>
          </w:p>
        </w:tc>
        <w:tc>
          <w:tcPr>
            <w:tcW w:w="38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proofErr w:type="spellStart"/>
            <w:r w:rsidRPr="00AF7A58">
              <w:rPr>
                <w:rFonts w:ascii="Calibri" w:hAnsi="Calibri" w:cs="Calibri"/>
                <w:color w:val="000000"/>
                <w:sz w:val="16"/>
                <w:szCs w:val="16"/>
                <w:lang w:eastAsia="zh-CN"/>
              </w:rPr>
              <w:t>Euromed</w:t>
            </w:r>
            <w:proofErr w:type="spellEnd"/>
            <w:r w:rsidRPr="00AF7A58">
              <w:rPr>
                <w:rFonts w:ascii="Calibri" w:hAnsi="Calibri" w:cs="Calibri"/>
                <w:color w:val="000000"/>
                <w:sz w:val="16"/>
                <w:szCs w:val="16"/>
                <w:lang w:eastAsia="zh-CN"/>
              </w:rPr>
              <w:t xml:space="preserve"> Management</w:t>
            </w:r>
          </w:p>
        </w:tc>
        <w:tc>
          <w:tcPr>
            <w:tcW w:w="38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ESC Toulouse</w:t>
            </w:r>
          </w:p>
        </w:tc>
        <w:tc>
          <w:tcPr>
            <w:tcW w:w="38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ESC Bordeaux (BEM)</w:t>
            </w:r>
          </w:p>
        </w:tc>
        <w:tc>
          <w:tcPr>
            <w:tcW w:w="38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EM Strasbourg</w:t>
            </w:r>
          </w:p>
        </w:tc>
        <w:tc>
          <w:tcPr>
            <w:tcW w:w="38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ESC Lille (SKEMA)</w:t>
            </w:r>
          </w:p>
        </w:tc>
        <w:tc>
          <w:tcPr>
            <w:tcW w:w="38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CERAM (SKEMA)</w:t>
            </w:r>
          </w:p>
        </w:tc>
        <w:tc>
          <w:tcPr>
            <w:tcW w:w="38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ESC Rennes</w:t>
            </w:r>
          </w:p>
        </w:tc>
        <w:tc>
          <w:tcPr>
            <w:tcW w:w="38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ESSCA</w:t>
            </w:r>
          </w:p>
        </w:tc>
        <w:tc>
          <w:tcPr>
            <w:tcW w:w="38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ESG</w:t>
            </w:r>
          </w:p>
        </w:tc>
        <w:tc>
          <w:tcPr>
            <w:tcW w:w="38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ESC Tours-Poitiers (ESCEM)</w:t>
            </w:r>
          </w:p>
        </w:tc>
        <w:tc>
          <w:tcPr>
            <w:tcW w:w="38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ESC Montpellier</w:t>
            </w:r>
          </w:p>
        </w:tc>
        <w:tc>
          <w:tcPr>
            <w:tcW w:w="38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 xml:space="preserve">Telecom </w:t>
            </w:r>
            <w:proofErr w:type="spellStart"/>
            <w:r w:rsidRPr="00AF7A58">
              <w:rPr>
                <w:rFonts w:ascii="Calibri" w:hAnsi="Calibri" w:cs="Calibri"/>
                <w:color w:val="000000"/>
                <w:sz w:val="16"/>
                <w:szCs w:val="16"/>
                <w:lang w:eastAsia="zh-CN"/>
              </w:rPr>
              <w:t>Ecole</w:t>
            </w:r>
            <w:proofErr w:type="spellEnd"/>
            <w:r w:rsidRPr="00AF7A58">
              <w:rPr>
                <w:rFonts w:ascii="Calibri" w:hAnsi="Calibri" w:cs="Calibri"/>
                <w:color w:val="000000"/>
                <w:sz w:val="16"/>
                <w:szCs w:val="16"/>
                <w:lang w:eastAsia="zh-CN"/>
              </w:rPr>
              <w:t xml:space="preserve"> de Management</w:t>
            </w:r>
          </w:p>
        </w:tc>
        <w:tc>
          <w:tcPr>
            <w:tcW w:w="38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ISC</w:t>
            </w:r>
          </w:p>
        </w:tc>
        <w:tc>
          <w:tcPr>
            <w:tcW w:w="38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INSEEC</w:t>
            </w:r>
          </w:p>
        </w:tc>
        <w:tc>
          <w:tcPr>
            <w:tcW w:w="38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ICN Business School</w:t>
            </w:r>
          </w:p>
        </w:tc>
        <w:tc>
          <w:tcPr>
            <w:tcW w:w="38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ESC Dijon</w:t>
            </w:r>
          </w:p>
        </w:tc>
        <w:tc>
          <w:tcPr>
            <w:tcW w:w="38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 xml:space="preserve">EM </w:t>
            </w:r>
            <w:proofErr w:type="spellStart"/>
            <w:r w:rsidRPr="00AF7A58">
              <w:rPr>
                <w:rFonts w:ascii="Calibri" w:hAnsi="Calibri" w:cs="Calibri"/>
                <w:color w:val="000000"/>
                <w:sz w:val="16"/>
                <w:szCs w:val="16"/>
                <w:lang w:eastAsia="zh-CN"/>
              </w:rPr>
              <w:t>Normandie</w:t>
            </w:r>
            <w:proofErr w:type="spellEnd"/>
          </w:p>
        </w:tc>
        <w:tc>
          <w:tcPr>
            <w:tcW w:w="38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ESCE</w:t>
            </w:r>
          </w:p>
        </w:tc>
        <w:tc>
          <w:tcPr>
            <w:tcW w:w="38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ESC Clermont</w:t>
            </w:r>
          </w:p>
        </w:tc>
        <w:tc>
          <w:tcPr>
            <w:tcW w:w="38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ESC La Rochelle</w:t>
            </w:r>
          </w:p>
        </w:tc>
        <w:tc>
          <w:tcPr>
            <w:tcW w:w="38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EDC</w:t>
            </w:r>
          </w:p>
        </w:tc>
        <w:tc>
          <w:tcPr>
            <w:tcW w:w="38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bottom"/>
            <w:hideMark/>
          </w:tcPr>
          <w:p w:rsidR="00AF7A58" w:rsidRPr="00AF7A58" w:rsidRDefault="00AF7A58" w:rsidP="00AF7A58">
            <w:pPr>
              <w:jc w:val="right"/>
              <w:rPr>
                <w:rFonts w:ascii="Calibri" w:hAnsi="Calibri" w:cs="Calibri"/>
                <w:b/>
                <w:bCs/>
                <w:color w:val="000000"/>
                <w:sz w:val="16"/>
                <w:szCs w:val="16"/>
                <w:lang w:eastAsia="zh-CN"/>
              </w:rPr>
            </w:pPr>
            <w:r w:rsidRPr="00AF7A58">
              <w:rPr>
                <w:rFonts w:ascii="Calibri" w:hAnsi="Calibri" w:cs="Calibri"/>
                <w:b/>
                <w:bCs/>
                <w:color w:val="000000"/>
                <w:sz w:val="16"/>
                <w:szCs w:val="16"/>
                <w:lang w:eastAsia="zh-CN"/>
              </w:rPr>
              <w:t>Class Total</w:t>
            </w:r>
          </w:p>
        </w:tc>
      </w:tr>
      <w:tr w:rsidR="007E47AC" w:rsidRPr="00AF7A58" w:rsidTr="00AF7A58">
        <w:trPr>
          <w:trHeight w:val="255"/>
        </w:trPr>
        <w:tc>
          <w:tcPr>
            <w:tcW w:w="193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hideMark/>
          </w:tcPr>
          <w:p w:rsidR="00AF7A58" w:rsidRPr="00AF7A58" w:rsidRDefault="00AF7A58" w:rsidP="00C12E69">
            <w:pPr>
              <w:rPr>
                <w:rFonts w:ascii="Calibri" w:hAnsi="Calibri" w:cs="Calibri"/>
                <w:color w:val="000000"/>
                <w:sz w:val="16"/>
                <w:szCs w:val="16"/>
                <w:lang w:eastAsia="zh-CN"/>
              </w:rPr>
            </w:pPr>
            <w:r w:rsidRPr="00AF7A58">
              <w:rPr>
                <w:rFonts w:ascii="Calibri" w:hAnsi="Calibri" w:cs="Calibri"/>
                <w:color w:val="000000"/>
                <w:sz w:val="16"/>
                <w:szCs w:val="16"/>
                <w:lang w:eastAsia="zh-CN"/>
              </w:rPr>
              <w:t xml:space="preserve">Principles </w:t>
            </w:r>
          </w:p>
        </w:tc>
        <w:tc>
          <w:tcPr>
            <w:tcW w:w="379"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66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66FF66"/>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22</w:t>
            </w:r>
          </w:p>
        </w:tc>
      </w:tr>
      <w:tr w:rsidR="007E47AC" w:rsidRPr="00AF7A58" w:rsidTr="00AF7A58">
        <w:trPr>
          <w:trHeight w:val="255"/>
        </w:trPr>
        <w:tc>
          <w:tcPr>
            <w:tcW w:w="193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hideMark/>
          </w:tcPr>
          <w:p w:rsidR="00AF7A58" w:rsidRPr="00AF7A58" w:rsidRDefault="00AF7A58" w:rsidP="00AF7A58">
            <w:pPr>
              <w:rPr>
                <w:rFonts w:ascii="Calibri" w:hAnsi="Calibri" w:cs="Calibri"/>
                <w:color w:val="000000"/>
                <w:sz w:val="16"/>
                <w:szCs w:val="16"/>
                <w:lang w:eastAsia="zh-CN"/>
              </w:rPr>
            </w:pPr>
            <w:proofErr w:type="spellStart"/>
            <w:r w:rsidRPr="00AF7A58">
              <w:rPr>
                <w:rFonts w:ascii="Calibri" w:hAnsi="Calibri" w:cs="Calibri"/>
                <w:color w:val="000000"/>
                <w:sz w:val="16"/>
                <w:szCs w:val="16"/>
                <w:lang w:eastAsia="zh-CN"/>
              </w:rPr>
              <w:t>MarComs</w:t>
            </w:r>
            <w:proofErr w:type="spellEnd"/>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12</w:t>
            </w:r>
          </w:p>
        </w:tc>
      </w:tr>
      <w:tr w:rsidR="007E47AC" w:rsidRPr="00AF7A58" w:rsidTr="00AF7A58">
        <w:trPr>
          <w:trHeight w:val="255"/>
        </w:trPr>
        <w:tc>
          <w:tcPr>
            <w:tcW w:w="193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Marketing Research</w:t>
            </w: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11</w:t>
            </w:r>
          </w:p>
        </w:tc>
      </w:tr>
      <w:tr w:rsidR="007E47AC" w:rsidRPr="00AF7A58" w:rsidTr="00AF7A58">
        <w:trPr>
          <w:trHeight w:val="255"/>
        </w:trPr>
        <w:tc>
          <w:tcPr>
            <w:tcW w:w="193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Strategic Marketing</w:t>
            </w: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FF66"/>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11</w:t>
            </w:r>
          </w:p>
        </w:tc>
      </w:tr>
      <w:tr w:rsidR="007E47AC" w:rsidRPr="00AF7A58" w:rsidTr="00AF7A58">
        <w:trPr>
          <w:trHeight w:val="255"/>
        </w:trPr>
        <w:tc>
          <w:tcPr>
            <w:tcW w:w="193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International Marketing</w:t>
            </w: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10</w:t>
            </w:r>
          </w:p>
        </w:tc>
      </w:tr>
      <w:tr w:rsidR="007E47AC" w:rsidRPr="00AF7A58" w:rsidTr="00AF7A58">
        <w:trPr>
          <w:trHeight w:val="255"/>
        </w:trPr>
        <w:tc>
          <w:tcPr>
            <w:tcW w:w="193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Supply Chain/Logistics</w:t>
            </w: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10</w:t>
            </w:r>
          </w:p>
        </w:tc>
      </w:tr>
      <w:tr w:rsidR="007E47AC" w:rsidRPr="00AF7A58" w:rsidTr="00AF7A58">
        <w:trPr>
          <w:trHeight w:val="255"/>
        </w:trPr>
        <w:tc>
          <w:tcPr>
            <w:tcW w:w="193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Operational Marketing</w:t>
            </w: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FF7C80"/>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7</w:t>
            </w:r>
          </w:p>
        </w:tc>
      </w:tr>
      <w:tr w:rsidR="007E47AC" w:rsidRPr="00AF7A58" w:rsidTr="00AF7A58">
        <w:trPr>
          <w:trHeight w:val="255"/>
        </w:trPr>
        <w:tc>
          <w:tcPr>
            <w:tcW w:w="193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Consumer Behaviour</w:t>
            </w: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5</w:t>
            </w:r>
          </w:p>
        </w:tc>
      </w:tr>
      <w:tr w:rsidR="007E47AC" w:rsidRPr="00AF7A58" w:rsidTr="00AF7A58">
        <w:trPr>
          <w:trHeight w:val="255"/>
        </w:trPr>
        <w:tc>
          <w:tcPr>
            <w:tcW w:w="193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E-Marketing</w:t>
            </w: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5</w:t>
            </w:r>
          </w:p>
        </w:tc>
      </w:tr>
      <w:tr w:rsidR="007E47AC" w:rsidRPr="00AF7A58" w:rsidTr="00AF7A58">
        <w:trPr>
          <w:trHeight w:val="255"/>
        </w:trPr>
        <w:tc>
          <w:tcPr>
            <w:tcW w:w="193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Direct Marketing</w:t>
            </w: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5</w:t>
            </w:r>
          </w:p>
        </w:tc>
      </w:tr>
      <w:tr w:rsidR="007E47AC" w:rsidRPr="00AF7A58" w:rsidTr="00AF7A58">
        <w:trPr>
          <w:trHeight w:val="255"/>
        </w:trPr>
        <w:tc>
          <w:tcPr>
            <w:tcW w:w="193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Sales Management</w:t>
            </w: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5</w:t>
            </w:r>
          </w:p>
        </w:tc>
      </w:tr>
      <w:tr w:rsidR="007E47AC" w:rsidRPr="00AF7A58" w:rsidTr="00AF7A58">
        <w:trPr>
          <w:trHeight w:val="255"/>
        </w:trPr>
        <w:tc>
          <w:tcPr>
            <w:tcW w:w="193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Product/Brand Marketing</w:t>
            </w: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4</w:t>
            </w:r>
          </w:p>
        </w:tc>
      </w:tr>
      <w:tr w:rsidR="007E47AC" w:rsidRPr="00AF7A58" w:rsidTr="00AF7A58">
        <w:trPr>
          <w:trHeight w:val="255"/>
        </w:trPr>
        <w:tc>
          <w:tcPr>
            <w:tcW w:w="193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 xml:space="preserve">B2B </w:t>
            </w: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4</w:t>
            </w:r>
          </w:p>
        </w:tc>
      </w:tr>
      <w:tr w:rsidR="007E47AC" w:rsidRPr="00AF7A58" w:rsidTr="00AF7A58">
        <w:trPr>
          <w:trHeight w:val="255"/>
        </w:trPr>
        <w:tc>
          <w:tcPr>
            <w:tcW w:w="193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Luxury Marketing</w:t>
            </w: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4</w:t>
            </w:r>
          </w:p>
        </w:tc>
      </w:tr>
      <w:tr w:rsidR="007E47AC" w:rsidRPr="00AF7A58" w:rsidTr="00AF7A58">
        <w:trPr>
          <w:trHeight w:val="255"/>
        </w:trPr>
        <w:tc>
          <w:tcPr>
            <w:tcW w:w="193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Purchasing</w:t>
            </w: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4</w:t>
            </w:r>
          </w:p>
        </w:tc>
      </w:tr>
      <w:tr w:rsidR="007E47AC" w:rsidRPr="00AF7A58" w:rsidTr="00AF7A58">
        <w:trPr>
          <w:trHeight w:val="255"/>
        </w:trPr>
        <w:tc>
          <w:tcPr>
            <w:tcW w:w="193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RM/CRM</w:t>
            </w: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3</w:t>
            </w:r>
          </w:p>
        </w:tc>
      </w:tr>
      <w:tr w:rsidR="007E47AC" w:rsidRPr="00AF7A58" w:rsidTr="00AF7A58">
        <w:trPr>
          <w:trHeight w:val="255"/>
        </w:trPr>
        <w:tc>
          <w:tcPr>
            <w:tcW w:w="193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hideMark/>
          </w:tcPr>
          <w:p w:rsidR="00AF7A58" w:rsidRPr="00AF7A58" w:rsidRDefault="00AF7A58" w:rsidP="00AF7A58">
            <w:pPr>
              <w:rPr>
                <w:rFonts w:ascii="Calibri" w:hAnsi="Calibri" w:cs="Calibri"/>
                <w:color w:val="000000"/>
                <w:sz w:val="16"/>
                <w:szCs w:val="16"/>
                <w:lang w:eastAsia="zh-CN"/>
              </w:rPr>
            </w:pPr>
            <w:proofErr w:type="spellStart"/>
            <w:r w:rsidRPr="00AF7A58">
              <w:rPr>
                <w:rFonts w:ascii="Calibri" w:hAnsi="Calibri" w:cs="Calibri"/>
                <w:color w:val="000000"/>
                <w:sz w:val="16"/>
                <w:szCs w:val="16"/>
                <w:lang w:eastAsia="zh-CN"/>
              </w:rPr>
              <w:t>Misc</w:t>
            </w:r>
            <w:proofErr w:type="spellEnd"/>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3</w:t>
            </w:r>
          </w:p>
        </w:tc>
      </w:tr>
      <w:tr w:rsidR="007E47AC" w:rsidRPr="00AF7A58" w:rsidTr="00AF7A58">
        <w:trPr>
          <w:trHeight w:val="255"/>
        </w:trPr>
        <w:tc>
          <w:tcPr>
            <w:tcW w:w="193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Services Marketing</w:t>
            </w: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2</w:t>
            </w:r>
          </w:p>
        </w:tc>
      </w:tr>
      <w:tr w:rsidR="007E47AC" w:rsidRPr="00AF7A58" w:rsidTr="00AF7A58">
        <w:trPr>
          <w:trHeight w:val="255"/>
        </w:trPr>
        <w:tc>
          <w:tcPr>
            <w:tcW w:w="193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Retail Marketing</w:t>
            </w: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2</w:t>
            </w:r>
          </w:p>
        </w:tc>
      </w:tr>
      <w:tr w:rsidR="007E47AC" w:rsidRPr="00AF7A58" w:rsidTr="00AF7A58">
        <w:trPr>
          <w:trHeight w:val="255"/>
        </w:trPr>
        <w:tc>
          <w:tcPr>
            <w:tcW w:w="193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hideMark/>
          </w:tcPr>
          <w:p w:rsidR="00AF7A58" w:rsidRPr="00AF7A58" w:rsidRDefault="00AF7A58" w:rsidP="00AF7A58">
            <w:pPr>
              <w:rPr>
                <w:rFonts w:ascii="Calibri" w:hAnsi="Calibri" w:cs="Calibri"/>
                <w:color w:val="000000"/>
                <w:sz w:val="16"/>
                <w:szCs w:val="16"/>
                <w:lang w:eastAsia="zh-CN"/>
              </w:rPr>
            </w:pPr>
            <w:r w:rsidRPr="00AF7A58">
              <w:rPr>
                <w:rFonts w:ascii="Calibri" w:hAnsi="Calibri" w:cs="Calibri"/>
                <w:color w:val="000000"/>
                <w:sz w:val="16"/>
                <w:szCs w:val="16"/>
                <w:lang w:eastAsia="zh-CN"/>
              </w:rPr>
              <w:t>Marketing Management</w:t>
            </w: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r w:rsidRPr="00AF7A58">
              <w:rPr>
                <w:rFonts w:ascii="Calibri" w:hAnsi="Calibri" w:cs="Calibri"/>
                <w:color w:val="000000"/>
                <w:sz w:val="16"/>
                <w:szCs w:val="16"/>
                <w:lang w:eastAsia="zh-CN"/>
              </w:rPr>
              <w:t>*</w:t>
            </w: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F7A58" w:rsidRPr="00AF7A58" w:rsidRDefault="00AF7A58" w:rsidP="00AF7A58">
            <w:pPr>
              <w:jc w:val="center"/>
              <w:rPr>
                <w:rFonts w:ascii="Calibri" w:hAnsi="Calibri" w:cs="Calibri"/>
                <w:color w:val="000000"/>
                <w:sz w:val="16"/>
                <w:szCs w:val="16"/>
                <w:lang w:eastAsia="zh-CN"/>
              </w:rPr>
            </w:pPr>
          </w:p>
        </w:tc>
        <w:tc>
          <w:tcPr>
            <w:tcW w:w="38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2</w:t>
            </w:r>
          </w:p>
        </w:tc>
      </w:tr>
      <w:tr w:rsidR="007E47AC" w:rsidRPr="00AF7A58" w:rsidTr="00AF7A58">
        <w:trPr>
          <w:trHeight w:val="255"/>
        </w:trPr>
        <w:tc>
          <w:tcPr>
            <w:tcW w:w="193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hideMark/>
          </w:tcPr>
          <w:p w:rsidR="00AF7A58" w:rsidRPr="00AF7A58" w:rsidRDefault="00AF7A58" w:rsidP="00AF7A58">
            <w:pPr>
              <w:rPr>
                <w:rFonts w:ascii="Calibri" w:hAnsi="Calibri" w:cs="Calibri"/>
                <w:b/>
                <w:bCs/>
                <w:color w:val="000000"/>
                <w:sz w:val="16"/>
                <w:szCs w:val="16"/>
                <w:lang w:eastAsia="zh-CN"/>
              </w:rPr>
            </w:pPr>
            <w:r w:rsidRPr="00AF7A58">
              <w:rPr>
                <w:rFonts w:ascii="Calibri" w:hAnsi="Calibri" w:cs="Calibri"/>
                <w:b/>
                <w:bCs/>
                <w:color w:val="000000"/>
                <w:sz w:val="16"/>
                <w:szCs w:val="16"/>
                <w:lang w:eastAsia="zh-CN"/>
              </w:rPr>
              <w:t>Institution Total</w:t>
            </w:r>
          </w:p>
        </w:tc>
        <w:tc>
          <w:tcPr>
            <w:tcW w:w="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0</w:t>
            </w:r>
          </w:p>
        </w:tc>
        <w:tc>
          <w:tcPr>
            <w:tcW w:w="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5</w:t>
            </w:r>
          </w:p>
        </w:tc>
        <w:tc>
          <w:tcPr>
            <w:tcW w:w="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0</w:t>
            </w:r>
          </w:p>
        </w:tc>
        <w:tc>
          <w:tcPr>
            <w:tcW w:w="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0</w:t>
            </w:r>
          </w:p>
        </w:tc>
        <w:tc>
          <w:tcPr>
            <w:tcW w:w="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0</w:t>
            </w:r>
          </w:p>
        </w:tc>
        <w:tc>
          <w:tcPr>
            <w:tcW w:w="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0</w:t>
            </w:r>
          </w:p>
        </w:tc>
        <w:tc>
          <w:tcPr>
            <w:tcW w:w="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8</w:t>
            </w:r>
          </w:p>
        </w:tc>
        <w:tc>
          <w:tcPr>
            <w:tcW w:w="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5</w:t>
            </w:r>
          </w:p>
        </w:tc>
        <w:tc>
          <w:tcPr>
            <w:tcW w:w="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9</w:t>
            </w:r>
          </w:p>
        </w:tc>
        <w:tc>
          <w:tcPr>
            <w:tcW w:w="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5</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4</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8</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2</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0</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0</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0</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0</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4</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3</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4</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2</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5</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16</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16</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8</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3</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3</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5</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4</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10</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jc w:val="right"/>
              <w:rPr>
                <w:rFonts w:ascii="Calibri" w:hAnsi="Calibri" w:cs="Calibri"/>
                <w:color w:val="000000"/>
                <w:sz w:val="16"/>
                <w:szCs w:val="16"/>
                <w:lang w:eastAsia="zh-CN"/>
              </w:rPr>
            </w:pPr>
            <w:r w:rsidRPr="00AF7A58">
              <w:rPr>
                <w:rFonts w:ascii="Calibri" w:hAnsi="Calibri" w:cs="Calibri"/>
                <w:color w:val="000000"/>
                <w:sz w:val="16"/>
                <w:szCs w:val="16"/>
                <w:lang w:eastAsia="zh-CN"/>
              </w:rPr>
              <w:t>2</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F7A58" w:rsidRPr="00AF7A58" w:rsidRDefault="00AF7A58" w:rsidP="00AF7A58">
            <w:pPr>
              <w:rPr>
                <w:rFonts w:ascii="Calibri" w:hAnsi="Calibri" w:cs="Calibri"/>
                <w:color w:val="000000"/>
                <w:sz w:val="16"/>
                <w:szCs w:val="16"/>
                <w:lang w:eastAsia="zh-CN"/>
              </w:rPr>
            </w:pPr>
          </w:p>
        </w:tc>
      </w:tr>
    </w:tbl>
    <w:p w:rsidR="00AF7A58" w:rsidRDefault="00CD0889" w:rsidP="009E0B8B">
      <w:pPr>
        <w:pStyle w:val="Heading3"/>
      </w:pPr>
      <w:proofErr w:type="gramStart"/>
      <w:r>
        <w:lastRenderedPageBreak/>
        <w:t>Table 6.</w:t>
      </w:r>
      <w:proofErr w:type="gramEnd"/>
      <w:r>
        <w:t xml:space="preserve"> Collated UK and French Marketing Programme </w:t>
      </w:r>
      <w:r w:rsidR="00864612">
        <w:t xml:space="preserve">Class Prevalence </w:t>
      </w:r>
    </w:p>
    <w:p w:rsidR="007B4A56" w:rsidRPr="007B4A56" w:rsidRDefault="007B4A56" w:rsidP="009E0B8B"/>
    <w:tbl>
      <w:tblPr>
        <w:tblW w:w="0" w:type="auto"/>
        <w:tblInd w:w="93" w:type="dxa"/>
        <w:tblLook w:val="04A0" w:firstRow="1" w:lastRow="0" w:firstColumn="1" w:lastColumn="0" w:noHBand="0" w:noVBand="1"/>
      </w:tblPr>
      <w:tblGrid>
        <w:gridCol w:w="2768"/>
        <w:gridCol w:w="2207"/>
        <w:gridCol w:w="2038"/>
        <w:gridCol w:w="2783"/>
        <w:gridCol w:w="3869"/>
      </w:tblGrid>
      <w:tr w:rsidR="007B4A56" w:rsidRPr="007B4A56" w:rsidTr="007B4A56">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948A54"/>
            <w:noWrap/>
            <w:vAlign w:val="bottom"/>
            <w:hideMark/>
          </w:tcPr>
          <w:p w:rsidR="007B4A56" w:rsidRPr="009E0B8B" w:rsidRDefault="007B4A56">
            <w:pPr>
              <w:jc w:val="center"/>
              <w:rPr>
                <w:rFonts w:ascii="Arial" w:hAnsi="Arial" w:cs="Arial"/>
                <w:b/>
                <w:bCs/>
                <w:sz w:val="22"/>
                <w:lang w:eastAsia="zh-CN"/>
              </w:rPr>
            </w:pPr>
            <w:r w:rsidRPr="009E0B8B">
              <w:rPr>
                <w:rFonts w:ascii="Arial" w:hAnsi="Arial" w:cs="Arial"/>
                <w:b/>
                <w:bCs/>
                <w:sz w:val="22"/>
                <w:lang w:eastAsia="zh-CN"/>
              </w:rPr>
              <w:t>UK UG</w:t>
            </w:r>
          </w:p>
        </w:tc>
        <w:tc>
          <w:tcPr>
            <w:tcW w:w="0" w:type="auto"/>
            <w:tcBorders>
              <w:top w:val="single" w:sz="4" w:space="0" w:color="auto"/>
              <w:left w:val="nil"/>
              <w:bottom w:val="single" w:sz="4" w:space="0" w:color="auto"/>
              <w:right w:val="single" w:sz="4" w:space="0" w:color="auto"/>
            </w:tcBorders>
            <w:shd w:val="clear" w:color="000000" w:fill="B1A0C7"/>
            <w:noWrap/>
            <w:vAlign w:val="bottom"/>
            <w:hideMark/>
          </w:tcPr>
          <w:p w:rsidR="007B4A56" w:rsidRPr="009E0B8B" w:rsidRDefault="007B4A56">
            <w:pPr>
              <w:jc w:val="center"/>
              <w:rPr>
                <w:rFonts w:ascii="Arial" w:hAnsi="Arial" w:cs="Arial"/>
                <w:b/>
                <w:bCs/>
                <w:color w:val="000000"/>
                <w:sz w:val="22"/>
                <w:lang w:eastAsia="zh-CN"/>
              </w:rPr>
            </w:pPr>
            <w:r w:rsidRPr="009E0B8B">
              <w:rPr>
                <w:rFonts w:ascii="Arial" w:hAnsi="Arial" w:cs="Arial"/>
                <w:b/>
                <w:bCs/>
                <w:color w:val="000000"/>
                <w:sz w:val="22"/>
                <w:lang w:eastAsia="zh-CN"/>
              </w:rPr>
              <w:t>French UG</w:t>
            </w:r>
          </w:p>
        </w:tc>
        <w:tc>
          <w:tcPr>
            <w:tcW w:w="0" w:type="auto"/>
            <w:tcBorders>
              <w:top w:val="single" w:sz="4" w:space="0" w:color="auto"/>
              <w:left w:val="nil"/>
              <w:bottom w:val="single" w:sz="4" w:space="0" w:color="auto"/>
              <w:right w:val="single" w:sz="4" w:space="0" w:color="auto"/>
            </w:tcBorders>
            <w:shd w:val="clear" w:color="000000" w:fill="CCC0DA"/>
            <w:noWrap/>
            <w:vAlign w:val="bottom"/>
            <w:hideMark/>
          </w:tcPr>
          <w:p w:rsidR="007B4A56" w:rsidRPr="009E0B8B" w:rsidRDefault="007B4A56">
            <w:pPr>
              <w:jc w:val="center"/>
              <w:rPr>
                <w:rFonts w:ascii="Arial" w:hAnsi="Arial" w:cs="Arial"/>
                <w:b/>
                <w:bCs/>
                <w:color w:val="000000"/>
                <w:sz w:val="22"/>
                <w:lang w:eastAsia="zh-CN"/>
              </w:rPr>
            </w:pPr>
            <w:r w:rsidRPr="009E0B8B">
              <w:rPr>
                <w:rFonts w:ascii="Arial" w:hAnsi="Arial" w:cs="Arial"/>
                <w:b/>
                <w:bCs/>
                <w:color w:val="000000"/>
                <w:sz w:val="22"/>
                <w:lang w:eastAsia="zh-CN"/>
              </w:rPr>
              <w:t>French PG</w:t>
            </w:r>
          </w:p>
        </w:tc>
        <w:tc>
          <w:tcPr>
            <w:tcW w:w="0" w:type="auto"/>
            <w:tcBorders>
              <w:top w:val="single" w:sz="4" w:space="0" w:color="auto"/>
              <w:left w:val="nil"/>
              <w:bottom w:val="single" w:sz="4" w:space="0" w:color="auto"/>
              <w:right w:val="single" w:sz="4" w:space="0" w:color="auto"/>
            </w:tcBorders>
            <w:shd w:val="clear" w:color="000000" w:fill="DDD9C4"/>
            <w:vAlign w:val="bottom"/>
            <w:hideMark/>
          </w:tcPr>
          <w:p w:rsidR="007B4A56" w:rsidRPr="009E0B8B" w:rsidRDefault="007B4A56">
            <w:pPr>
              <w:jc w:val="center"/>
              <w:rPr>
                <w:rFonts w:ascii="Arial" w:hAnsi="Arial" w:cs="Arial"/>
                <w:b/>
                <w:bCs/>
                <w:color w:val="000000"/>
                <w:sz w:val="22"/>
                <w:lang w:eastAsia="zh-CN"/>
              </w:rPr>
            </w:pPr>
            <w:r w:rsidRPr="009E0B8B">
              <w:rPr>
                <w:rFonts w:ascii="Arial" w:hAnsi="Arial" w:cs="Arial"/>
                <w:b/>
                <w:bCs/>
                <w:color w:val="000000"/>
                <w:sz w:val="22"/>
                <w:lang w:eastAsia="zh-CN"/>
              </w:rPr>
              <w:t xml:space="preserve">UK PG - </w:t>
            </w:r>
            <w:r w:rsidR="00864612" w:rsidRPr="009E0B8B">
              <w:rPr>
                <w:rFonts w:ascii="Arial" w:hAnsi="Arial" w:cs="Arial"/>
                <w:b/>
                <w:bCs/>
                <w:color w:val="000000"/>
                <w:sz w:val="22"/>
                <w:lang w:eastAsia="zh-CN"/>
              </w:rPr>
              <w:t>MSc</w:t>
            </w:r>
            <w:r w:rsidRPr="009E0B8B">
              <w:rPr>
                <w:rFonts w:ascii="Arial" w:hAnsi="Arial" w:cs="Arial"/>
                <w:b/>
                <w:bCs/>
                <w:color w:val="000000"/>
                <w:sz w:val="22"/>
                <w:lang w:eastAsia="zh-CN"/>
              </w:rPr>
              <w:t xml:space="preserve"> MKT Comp</w:t>
            </w:r>
          </w:p>
        </w:tc>
        <w:tc>
          <w:tcPr>
            <w:tcW w:w="0" w:type="auto"/>
            <w:tcBorders>
              <w:top w:val="single" w:sz="4" w:space="0" w:color="auto"/>
              <w:left w:val="nil"/>
              <w:bottom w:val="single" w:sz="4" w:space="0" w:color="auto"/>
              <w:right w:val="single" w:sz="4" w:space="0" w:color="auto"/>
            </w:tcBorders>
            <w:shd w:val="clear" w:color="000000" w:fill="C4BD97"/>
            <w:vAlign w:val="bottom"/>
            <w:hideMark/>
          </w:tcPr>
          <w:p w:rsidR="007B4A56" w:rsidRPr="009E0B8B" w:rsidRDefault="007B4A56">
            <w:pPr>
              <w:jc w:val="center"/>
              <w:rPr>
                <w:rFonts w:ascii="Arial" w:hAnsi="Arial" w:cs="Arial"/>
                <w:b/>
                <w:bCs/>
                <w:color w:val="000000"/>
                <w:sz w:val="22"/>
                <w:lang w:eastAsia="zh-CN"/>
              </w:rPr>
            </w:pPr>
            <w:r w:rsidRPr="009E0B8B">
              <w:rPr>
                <w:rFonts w:ascii="Arial" w:hAnsi="Arial" w:cs="Arial"/>
                <w:b/>
                <w:bCs/>
                <w:color w:val="000000"/>
                <w:sz w:val="22"/>
                <w:lang w:eastAsia="zh-CN"/>
              </w:rPr>
              <w:t xml:space="preserve">UG PG - </w:t>
            </w:r>
            <w:r w:rsidR="00864612" w:rsidRPr="009E0B8B">
              <w:rPr>
                <w:rFonts w:ascii="Arial" w:hAnsi="Arial" w:cs="Arial"/>
                <w:b/>
                <w:bCs/>
                <w:color w:val="000000"/>
                <w:sz w:val="22"/>
                <w:lang w:eastAsia="zh-CN"/>
              </w:rPr>
              <w:t>MSc</w:t>
            </w:r>
            <w:r w:rsidRPr="009E0B8B">
              <w:rPr>
                <w:rFonts w:ascii="Arial" w:hAnsi="Arial" w:cs="Arial"/>
                <w:b/>
                <w:bCs/>
                <w:color w:val="000000"/>
                <w:sz w:val="22"/>
                <w:lang w:eastAsia="zh-CN"/>
              </w:rPr>
              <w:t xml:space="preserve"> </w:t>
            </w:r>
            <w:proofErr w:type="spellStart"/>
            <w:r w:rsidRPr="009E0B8B">
              <w:rPr>
                <w:rFonts w:ascii="Arial" w:hAnsi="Arial" w:cs="Arial"/>
                <w:b/>
                <w:bCs/>
                <w:color w:val="000000"/>
                <w:sz w:val="22"/>
                <w:lang w:eastAsia="zh-CN"/>
              </w:rPr>
              <w:t>Int</w:t>
            </w:r>
            <w:proofErr w:type="spellEnd"/>
            <w:r w:rsidRPr="009E0B8B">
              <w:rPr>
                <w:rFonts w:ascii="Arial" w:hAnsi="Arial" w:cs="Arial"/>
                <w:b/>
                <w:bCs/>
                <w:color w:val="000000"/>
                <w:sz w:val="22"/>
                <w:lang w:eastAsia="zh-CN"/>
              </w:rPr>
              <w:t xml:space="preserve"> MKT Comp</w:t>
            </w:r>
          </w:p>
        </w:tc>
      </w:tr>
      <w:tr w:rsidR="007B4A56" w:rsidRPr="007B4A56" w:rsidTr="00BC3ADE">
        <w:trPr>
          <w:trHeight w:val="300"/>
        </w:trPr>
        <w:tc>
          <w:tcPr>
            <w:tcW w:w="0" w:type="auto"/>
            <w:tcBorders>
              <w:top w:val="nil"/>
              <w:left w:val="single" w:sz="4" w:space="0" w:color="auto"/>
              <w:bottom w:val="single" w:sz="4" w:space="0" w:color="auto"/>
              <w:right w:val="single" w:sz="4" w:space="0" w:color="auto"/>
            </w:tcBorders>
            <w:shd w:val="clear" w:color="000000" w:fill="66FF33"/>
            <w:noWrap/>
            <w:vAlign w:val="bottom"/>
            <w:hideMark/>
          </w:tcPr>
          <w:p w:rsidR="007B4A56" w:rsidRPr="009E0B8B" w:rsidRDefault="007B4A56">
            <w:pPr>
              <w:jc w:val="center"/>
              <w:rPr>
                <w:rFonts w:ascii="Arial" w:hAnsi="Arial" w:cs="Arial"/>
                <w:sz w:val="18"/>
                <w:szCs w:val="20"/>
                <w:lang w:eastAsia="zh-CN"/>
              </w:rPr>
            </w:pPr>
            <w:r w:rsidRPr="009E0B8B">
              <w:rPr>
                <w:rFonts w:ascii="Arial" w:hAnsi="Arial" w:cs="Arial"/>
                <w:sz w:val="18"/>
                <w:szCs w:val="20"/>
                <w:lang w:eastAsia="zh-CN"/>
              </w:rPr>
              <w:t>Strategic Marketing</w:t>
            </w:r>
          </w:p>
        </w:tc>
        <w:tc>
          <w:tcPr>
            <w:tcW w:w="0" w:type="auto"/>
            <w:tcBorders>
              <w:top w:val="nil"/>
              <w:left w:val="nil"/>
              <w:bottom w:val="single" w:sz="4" w:space="0" w:color="auto"/>
              <w:right w:val="single" w:sz="4" w:space="0" w:color="auto"/>
            </w:tcBorders>
            <w:shd w:val="clear" w:color="000000" w:fill="66FF33"/>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Principles of Marketing</w:t>
            </w:r>
          </w:p>
        </w:tc>
        <w:tc>
          <w:tcPr>
            <w:tcW w:w="0" w:type="auto"/>
            <w:tcBorders>
              <w:top w:val="nil"/>
              <w:left w:val="nil"/>
              <w:bottom w:val="single" w:sz="4" w:space="0" w:color="auto"/>
              <w:right w:val="single" w:sz="4" w:space="0" w:color="auto"/>
            </w:tcBorders>
            <w:shd w:val="clear" w:color="auto" w:fill="FFFF66"/>
            <w:noWrap/>
            <w:vAlign w:val="bottom"/>
            <w:hideMark/>
          </w:tcPr>
          <w:p w:rsidR="007B4A56" w:rsidRPr="009E0B8B" w:rsidRDefault="007B4A56">
            <w:pPr>
              <w:jc w:val="center"/>
              <w:rPr>
                <w:rFonts w:ascii="Arial" w:hAnsi="Arial" w:cs="Arial"/>
                <w:color w:val="000000"/>
                <w:sz w:val="18"/>
                <w:szCs w:val="20"/>
                <w:lang w:eastAsia="zh-CN"/>
              </w:rPr>
            </w:pPr>
            <w:proofErr w:type="spellStart"/>
            <w:r w:rsidRPr="009E0B8B">
              <w:rPr>
                <w:rFonts w:ascii="Arial" w:hAnsi="Arial" w:cs="Arial"/>
                <w:color w:val="000000"/>
                <w:sz w:val="18"/>
                <w:szCs w:val="20"/>
                <w:lang w:eastAsia="zh-CN"/>
              </w:rPr>
              <w:t>MarComs</w:t>
            </w:r>
            <w:proofErr w:type="spellEnd"/>
          </w:p>
        </w:tc>
        <w:tc>
          <w:tcPr>
            <w:tcW w:w="0" w:type="auto"/>
            <w:tcBorders>
              <w:top w:val="nil"/>
              <w:left w:val="nil"/>
              <w:bottom w:val="single" w:sz="4" w:space="0" w:color="auto"/>
              <w:right w:val="single" w:sz="4" w:space="0" w:color="auto"/>
            </w:tcBorders>
            <w:shd w:val="clear" w:color="auto" w:fill="FFFF66"/>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 xml:space="preserve">Mktg. </w:t>
            </w:r>
            <w:proofErr w:type="spellStart"/>
            <w:r w:rsidRPr="009E0B8B">
              <w:rPr>
                <w:rFonts w:ascii="Arial" w:hAnsi="Arial" w:cs="Arial"/>
                <w:color w:val="000000"/>
                <w:sz w:val="18"/>
                <w:szCs w:val="20"/>
                <w:lang w:eastAsia="zh-CN"/>
              </w:rPr>
              <w:t>Commun</w:t>
            </w:r>
            <w:proofErr w:type="spellEnd"/>
            <w:r w:rsidRPr="009E0B8B">
              <w:rPr>
                <w:rFonts w:ascii="Arial" w:hAnsi="Arial" w:cs="Arial"/>
                <w:color w:val="000000"/>
                <w:sz w:val="18"/>
                <w:szCs w:val="20"/>
                <w:lang w:eastAsia="zh-CN"/>
              </w:rPr>
              <w:t>.</w:t>
            </w:r>
          </w:p>
        </w:tc>
        <w:tc>
          <w:tcPr>
            <w:tcW w:w="0" w:type="auto"/>
            <w:tcBorders>
              <w:top w:val="nil"/>
              <w:left w:val="nil"/>
              <w:bottom w:val="single" w:sz="4" w:space="0" w:color="auto"/>
              <w:right w:val="single" w:sz="4" w:space="0" w:color="auto"/>
            </w:tcBorders>
            <w:shd w:val="clear" w:color="000000" w:fill="66FF33"/>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Int'l. Mktg. Strategy/Mgmt.</w:t>
            </w:r>
          </w:p>
        </w:tc>
      </w:tr>
      <w:tr w:rsidR="007B4A56" w:rsidRPr="007B4A56" w:rsidTr="00BC3ADE">
        <w:trPr>
          <w:trHeight w:val="300"/>
        </w:trPr>
        <w:tc>
          <w:tcPr>
            <w:tcW w:w="0" w:type="auto"/>
            <w:tcBorders>
              <w:top w:val="nil"/>
              <w:left w:val="single" w:sz="4" w:space="0" w:color="auto"/>
              <w:bottom w:val="single" w:sz="4" w:space="0" w:color="auto"/>
              <w:right w:val="single" w:sz="4" w:space="0" w:color="auto"/>
            </w:tcBorders>
            <w:shd w:val="clear" w:color="000000" w:fill="66FF33"/>
            <w:noWrap/>
            <w:vAlign w:val="bottom"/>
            <w:hideMark/>
          </w:tcPr>
          <w:p w:rsidR="007B4A56" w:rsidRPr="009E0B8B" w:rsidRDefault="007B4A56">
            <w:pPr>
              <w:jc w:val="center"/>
              <w:rPr>
                <w:rFonts w:ascii="Arial" w:hAnsi="Arial" w:cs="Arial"/>
                <w:sz w:val="18"/>
                <w:szCs w:val="20"/>
                <w:lang w:eastAsia="zh-CN"/>
              </w:rPr>
            </w:pPr>
            <w:r w:rsidRPr="009E0B8B">
              <w:rPr>
                <w:rFonts w:ascii="Arial" w:hAnsi="Arial" w:cs="Arial"/>
                <w:sz w:val="18"/>
                <w:szCs w:val="20"/>
                <w:lang w:eastAsia="zh-CN"/>
              </w:rPr>
              <w:t>Principles of Marketing</w:t>
            </w:r>
          </w:p>
        </w:tc>
        <w:tc>
          <w:tcPr>
            <w:tcW w:w="0" w:type="auto"/>
            <w:tcBorders>
              <w:top w:val="nil"/>
              <w:left w:val="nil"/>
              <w:bottom w:val="single" w:sz="4" w:space="0" w:color="auto"/>
              <w:right w:val="single" w:sz="4" w:space="0" w:color="auto"/>
            </w:tcBorders>
            <w:shd w:val="clear" w:color="auto" w:fill="FFFF66"/>
            <w:noWrap/>
            <w:vAlign w:val="bottom"/>
            <w:hideMark/>
          </w:tcPr>
          <w:p w:rsidR="007B4A56" w:rsidRPr="009E0B8B" w:rsidRDefault="007B4A56">
            <w:pPr>
              <w:jc w:val="center"/>
              <w:rPr>
                <w:rFonts w:ascii="Arial" w:hAnsi="Arial" w:cs="Arial"/>
                <w:color w:val="000000"/>
                <w:sz w:val="18"/>
                <w:szCs w:val="20"/>
                <w:lang w:eastAsia="zh-CN"/>
              </w:rPr>
            </w:pPr>
            <w:proofErr w:type="spellStart"/>
            <w:r w:rsidRPr="009E0B8B">
              <w:rPr>
                <w:rFonts w:ascii="Arial" w:hAnsi="Arial" w:cs="Arial"/>
                <w:color w:val="000000"/>
                <w:sz w:val="18"/>
                <w:szCs w:val="20"/>
                <w:lang w:eastAsia="zh-CN"/>
              </w:rPr>
              <w:t>MarComs</w:t>
            </w:r>
            <w:proofErr w:type="spellEnd"/>
          </w:p>
        </w:tc>
        <w:tc>
          <w:tcPr>
            <w:tcW w:w="0" w:type="auto"/>
            <w:tcBorders>
              <w:top w:val="nil"/>
              <w:left w:val="nil"/>
              <w:bottom w:val="single" w:sz="4" w:space="0" w:color="auto"/>
              <w:right w:val="single" w:sz="4" w:space="0" w:color="auto"/>
            </w:tcBorders>
            <w:shd w:val="clear" w:color="auto" w:fill="FFFF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Supply Chain/Logistics</w:t>
            </w:r>
          </w:p>
        </w:tc>
        <w:tc>
          <w:tcPr>
            <w:tcW w:w="0" w:type="auto"/>
            <w:tcBorders>
              <w:top w:val="nil"/>
              <w:left w:val="nil"/>
              <w:bottom w:val="single" w:sz="4" w:space="0" w:color="auto"/>
              <w:right w:val="single" w:sz="4" w:space="0" w:color="auto"/>
            </w:tcBorders>
            <w:shd w:val="clear" w:color="auto" w:fill="FFFF66"/>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Core Mktg.</w:t>
            </w:r>
          </w:p>
        </w:tc>
        <w:tc>
          <w:tcPr>
            <w:tcW w:w="0" w:type="auto"/>
            <w:tcBorders>
              <w:top w:val="nil"/>
              <w:left w:val="nil"/>
              <w:bottom w:val="single" w:sz="4" w:space="0" w:color="auto"/>
              <w:right w:val="single" w:sz="4" w:space="0" w:color="auto"/>
            </w:tcBorders>
            <w:shd w:val="clear" w:color="000000" w:fill="66FF33"/>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Finance/</w:t>
            </w:r>
            <w:proofErr w:type="spellStart"/>
            <w:r w:rsidRPr="009E0B8B">
              <w:rPr>
                <w:rFonts w:ascii="Arial" w:hAnsi="Arial" w:cs="Arial"/>
                <w:color w:val="000000"/>
                <w:sz w:val="18"/>
                <w:szCs w:val="20"/>
                <w:lang w:eastAsia="zh-CN"/>
              </w:rPr>
              <w:t>Acctg</w:t>
            </w:r>
            <w:proofErr w:type="spellEnd"/>
            <w:r w:rsidRPr="009E0B8B">
              <w:rPr>
                <w:rFonts w:ascii="Arial" w:hAnsi="Arial" w:cs="Arial"/>
                <w:color w:val="000000"/>
                <w:sz w:val="18"/>
                <w:szCs w:val="20"/>
                <w:lang w:eastAsia="zh-CN"/>
              </w:rPr>
              <w:t>.  Decision Making</w:t>
            </w:r>
          </w:p>
        </w:tc>
      </w:tr>
      <w:tr w:rsidR="007B4A56" w:rsidRPr="007B4A56" w:rsidTr="00BC3ADE">
        <w:trPr>
          <w:trHeight w:val="300"/>
        </w:trPr>
        <w:tc>
          <w:tcPr>
            <w:tcW w:w="0" w:type="auto"/>
            <w:tcBorders>
              <w:top w:val="nil"/>
              <w:left w:val="single" w:sz="4" w:space="0" w:color="auto"/>
              <w:bottom w:val="single" w:sz="4" w:space="0" w:color="auto"/>
              <w:right w:val="single" w:sz="4" w:space="0" w:color="auto"/>
            </w:tcBorders>
            <w:shd w:val="clear" w:color="000000" w:fill="66FF33"/>
            <w:noWrap/>
            <w:vAlign w:val="bottom"/>
            <w:hideMark/>
          </w:tcPr>
          <w:p w:rsidR="007B4A56" w:rsidRPr="009E0B8B" w:rsidRDefault="007B4A56">
            <w:pPr>
              <w:jc w:val="center"/>
              <w:rPr>
                <w:rFonts w:ascii="Arial" w:hAnsi="Arial" w:cs="Arial"/>
                <w:sz w:val="18"/>
                <w:szCs w:val="20"/>
                <w:lang w:eastAsia="zh-CN"/>
              </w:rPr>
            </w:pPr>
            <w:r w:rsidRPr="009E0B8B">
              <w:rPr>
                <w:rFonts w:ascii="Arial" w:hAnsi="Arial" w:cs="Arial"/>
                <w:sz w:val="18"/>
                <w:szCs w:val="20"/>
                <w:lang w:eastAsia="zh-CN"/>
              </w:rPr>
              <w:t>Marketing Research</w:t>
            </w:r>
          </w:p>
        </w:tc>
        <w:tc>
          <w:tcPr>
            <w:tcW w:w="0" w:type="auto"/>
            <w:tcBorders>
              <w:top w:val="nil"/>
              <w:left w:val="nil"/>
              <w:bottom w:val="single" w:sz="4" w:space="0" w:color="auto"/>
              <w:right w:val="single" w:sz="4" w:space="0" w:color="auto"/>
            </w:tcBorders>
            <w:shd w:val="clear" w:color="auto" w:fill="FFFF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Marketing Research</w:t>
            </w:r>
          </w:p>
        </w:tc>
        <w:tc>
          <w:tcPr>
            <w:tcW w:w="0" w:type="auto"/>
            <w:tcBorders>
              <w:top w:val="nil"/>
              <w:left w:val="nil"/>
              <w:bottom w:val="single" w:sz="4" w:space="0" w:color="auto"/>
              <w:right w:val="single" w:sz="4" w:space="0" w:color="auto"/>
            </w:tcBorders>
            <w:shd w:val="clear" w:color="auto" w:fill="FFFF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International MKT</w:t>
            </w:r>
          </w:p>
        </w:tc>
        <w:tc>
          <w:tcPr>
            <w:tcW w:w="0" w:type="auto"/>
            <w:tcBorders>
              <w:top w:val="nil"/>
              <w:left w:val="nil"/>
              <w:bottom w:val="single" w:sz="4" w:space="0" w:color="auto"/>
              <w:right w:val="single" w:sz="4" w:space="0" w:color="auto"/>
            </w:tcBorders>
            <w:shd w:val="clear" w:color="auto" w:fill="FFFF66"/>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Mktg. Research</w:t>
            </w:r>
          </w:p>
        </w:tc>
        <w:tc>
          <w:tcPr>
            <w:tcW w:w="0" w:type="auto"/>
            <w:tcBorders>
              <w:top w:val="nil"/>
              <w:left w:val="nil"/>
              <w:bottom w:val="single" w:sz="4" w:space="0" w:color="auto"/>
              <w:right w:val="single" w:sz="4" w:space="0" w:color="auto"/>
            </w:tcBorders>
            <w:shd w:val="clear" w:color="auto" w:fill="FFFF66"/>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Int'l. Mktg. Research</w:t>
            </w:r>
          </w:p>
        </w:tc>
      </w:tr>
      <w:tr w:rsidR="007B4A56" w:rsidRPr="007B4A56" w:rsidTr="00BC3ADE">
        <w:trPr>
          <w:trHeight w:val="281"/>
        </w:trPr>
        <w:tc>
          <w:tcPr>
            <w:tcW w:w="0" w:type="auto"/>
            <w:tcBorders>
              <w:top w:val="nil"/>
              <w:left w:val="single" w:sz="4" w:space="0" w:color="auto"/>
              <w:bottom w:val="single" w:sz="4" w:space="0" w:color="auto"/>
              <w:right w:val="single" w:sz="4" w:space="0" w:color="auto"/>
            </w:tcBorders>
            <w:shd w:val="clear" w:color="000000" w:fill="66FF33"/>
            <w:noWrap/>
            <w:vAlign w:val="bottom"/>
            <w:hideMark/>
          </w:tcPr>
          <w:p w:rsidR="007B4A56" w:rsidRPr="009E0B8B" w:rsidRDefault="007B4A56">
            <w:pPr>
              <w:jc w:val="center"/>
              <w:rPr>
                <w:rFonts w:ascii="Arial" w:hAnsi="Arial" w:cs="Arial"/>
                <w:sz w:val="18"/>
                <w:szCs w:val="20"/>
                <w:lang w:eastAsia="zh-CN"/>
              </w:rPr>
            </w:pPr>
            <w:r w:rsidRPr="009E0B8B">
              <w:rPr>
                <w:rFonts w:ascii="Arial" w:hAnsi="Arial" w:cs="Arial"/>
                <w:sz w:val="18"/>
                <w:szCs w:val="20"/>
                <w:lang w:eastAsia="zh-CN"/>
              </w:rPr>
              <w:t>Marketing Communications</w:t>
            </w:r>
          </w:p>
        </w:tc>
        <w:tc>
          <w:tcPr>
            <w:tcW w:w="0" w:type="auto"/>
            <w:tcBorders>
              <w:top w:val="nil"/>
              <w:left w:val="nil"/>
              <w:bottom w:val="single" w:sz="4" w:space="0" w:color="auto"/>
              <w:right w:val="single" w:sz="4" w:space="0" w:color="auto"/>
            </w:tcBorders>
            <w:shd w:val="clear" w:color="auto" w:fill="FFFF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Strategic Marketing</w:t>
            </w:r>
          </w:p>
        </w:tc>
        <w:tc>
          <w:tcPr>
            <w:tcW w:w="0" w:type="auto"/>
            <w:tcBorders>
              <w:top w:val="nil"/>
              <w:left w:val="nil"/>
              <w:bottom w:val="single" w:sz="4" w:space="0" w:color="auto"/>
              <w:right w:val="single" w:sz="4" w:space="0" w:color="auto"/>
            </w:tcBorders>
            <w:shd w:val="clear" w:color="auto" w:fill="FFFF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Strategic Marketing</w:t>
            </w:r>
          </w:p>
        </w:tc>
        <w:tc>
          <w:tcPr>
            <w:tcW w:w="0" w:type="auto"/>
            <w:tcBorders>
              <w:top w:val="nil"/>
              <w:left w:val="nil"/>
              <w:bottom w:val="single" w:sz="4" w:space="0" w:color="auto"/>
              <w:right w:val="single" w:sz="4" w:space="0" w:color="auto"/>
            </w:tcBorders>
            <w:shd w:val="clear" w:color="000000" w:fill="DA9694"/>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Research Methods</w:t>
            </w:r>
          </w:p>
        </w:tc>
        <w:tc>
          <w:tcPr>
            <w:tcW w:w="0" w:type="auto"/>
            <w:tcBorders>
              <w:top w:val="nil"/>
              <w:left w:val="nil"/>
              <w:bottom w:val="single" w:sz="4" w:space="0" w:color="auto"/>
              <w:right w:val="single" w:sz="4" w:space="0" w:color="auto"/>
            </w:tcBorders>
            <w:shd w:val="clear" w:color="000000" w:fill="DA9694"/>
            <w:vAlign w:val="bottom"/>
            <w:hideMark/>
          </w:tcPr>
          <w:p w:rsidR="007B4A56" w:rsidRPr="009E0B8B" w:rsidRDefault="007B4A56">
            <w:pPr>
              <w:jc w:val="center"/>
              <w:rPr>
                <w:rFonts w:ascii="Arial" w:hAnsi="Arial" w:cs="Arial"/>
                <w:color w:val="000000"/>
                <w:sz w:val="18"/>
                <w:szCs w:val="20"/>
                <w:lang w:eastAsia="zh-CN"/>
              </w:rPr>
            </w:pPr>
            <w:r>
              <w:rPr>
                <w:rFonts w:ascii="Arial" w:hAnsi="Arial" w:cs="Arial"/>
                <w:color w:val="000000"/>
                <w:sz w:val="18"/>
                <w:szCs w:val="20"/>
                <w:lang w:eastAsia="zh-CN"/>
              </w:rPr>
              <w:t>Research Methods/stats</w:t>
            </w:r>
          </w:p>
        </w:tc>
      </w:tr>
      <w:tr w:rsidR="007B4A56" w:rsidRPr="007B4A56" w:rsidTr="00BC3ADE">
        <w:trPr>
          <w:trHeight w:val="300"/>
        </w:trPr>
        <w:tc>
          <w:tcPr>
            <w:tcW w:w="0" w:type="auto"/>
            <w:tcBorders>
              <w:top w:val="nil"/>
              <w:left w:val="single" w:sz="4" w:space="0" w:color="auto"/>
              <w:bottom w:val="single" w:sz="4" w:space="0" w:color="auto"/>
              <w:right w:val="single" w:sz="4" w:space="0" w:color="auto"/>
            </w:tcBorders>
            <w:shd w:val="clear" w:color="auto" w:fill="FFFF66"/>
            <w:noWrap/>
            <w:vAlign w:val="bottom"/>
            <w:hideMark/>
          </w:tcPr>
          <w:p w:rsidR="007B4A56" w:rsidRPr="009E0B8B" w:rsidRDefault="007B4A56">
            <w:pPr>
              <w:jc w:val="center"/>
              <w:rPr>
                <w:rFonts w:ascii="Arial" w:hAnsi="Arial" w:cs="Arial"/>
                <w:sz w:val="18"/>
                <w:szCs w:val="20"/>
                <w:lang w:eastAsia="zh-CN"/>
              </w:rPr>
            </w:pPr>
            <w:r w:rsidRPr="009E0B8B">
              <w:rPr>
                <w:rFonts w:ascii="Arial" w:hAnsi="Arial" w:cs="Arial"/>
                <w:sz w:val="18"/>
                <w:szCs w:val="20"/>
                <w:lang w:eastAsia="zh-CN"/>
              </w:rPr>
              <w:t>International Marketing</w:t>
            </w:r>
          </w:p>
        </w:tc>
        <w:tc>
          <w:tcPr>
            <w:tcW w:w="0" w:type="auto"/>
            <w:tcBorders>
              <w:top w:val="nil"/>
              <w:left w:val="nil"/>
              <w:bottom w:val="single" w:sz="4" w:space="0" w:color="auto"/>
              <w:right w:val="single" w:sz="4" w:space="0" w:color="auto"/>
            </w:tcBorders>
            <w:shd w:val="clear" w:color="000000" w:fill="D99594"/>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International Marketing</w:t>
            </w:r>
          </w:p>
        </w:tc>
        <w:tc>
          <w:tcPr>
            <w:tcW w:w="0" w:type="auto"/>
            <w:tcBorders>
              <w:top w:val="nil"/>
              <w:left w:val="nil"/>
              <w:bottom w:val="single" w:sz="4" w:space="0" w:color="auto"/>
              <w:right w:val="single" w:sz="4" w:space="0" w:color="auto"/>
            </w:tcBorders>
            <w:shd w:val="clear" w:color="auto" w:fill="FFFF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E-Marketing</w:t>
            </w:r>
          </w:p>
        </w:tc>
        <w:tc>
          <w:tcPr>
            <w:tcW w:w="0" w:type="auto"/>
            <w:tcBorders>
              <w:top w:val="nil"/>
              <w:left w:val="nil"/>
              <w:bottom w:val="single" w:sz="4" w:space="0" w:color="auto"/>
              <w:right w:val="single" w:sz="4" w:space="0" w:color="auto"/>
            </w:tcBorders>
            <w:shd w:val="clear" w:color="000000" w:fill="DA9694"/>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Strategic Mktg.</w:t>
            </w:r>
          </w:p>
        </w:tc>
        <w:tc>
          <w:tcPr>
            <w:tcW w:w="0" w:type="auto"/>
            <w:tcBorders>
              <w:top w:val="nil"/>
              <w:left w:val="nil"/>
              <w:bottom w:val="single" w:sz="4" w:space="0" w:color="auto"/>
              <w:right w:val="single" w:sz="4" w:space="0" w:color="auto"/>
            </w:tcBorders>
            <w:shd w:val="clear" w:color="000000" w:fill="DA9694"/>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Marketing</w:t>
            </w:r>
          </w:p>
        </w:tc>
      </w:tr>
      <w:tr w:rsidR="007B4A56" w:rsidRPr="007B4A56" w:rsidTr="00BC3ADE">
        <w:trPr>
          <w:trHeight w:val="300"/>
        </w:trPr>
        <w:tc>
          <w:tcPr>
            <w:tcW w:w="0" w:type="auto"/>
            <w:tcBorders>
              <w:top w:val="nil"/>
              <w:left w:val="single" w:sz="4" w:space="0" w:color="auto"/>
              <w:bottom w:val="single" w:sz="4" w:space="0" w:color="auto"/>
              <w:right w:val="single" w:sz="4" w:space="0" w:color="auto"/>
            </w:tcBorders>
            <w:shd w:val="clear" w:color="auto" w:fill="FFFF66"/>
            <w:noWrap/>
            <w:vAlign w:val="bottom"/>
            <w:hideMark/>
          </w:tcPr>
          <w:p w:rsidR="007B4A56" w:rsidRPr="009E0B8B" w:rsidRDefault="007B4A56">
            <w:pPr>
              <w:jc w:val="center"/>
              <w:rPr>
                <w:rFonts w:ascii="Arial" w:hAnsi="Arial" w:cs="Arial"/>
                <w:sz w:val="18"/>
                <w:szCs w:val="20"/>
                <w:lang w:eastAsia="zh-CN"/>
              </w:rPr>
            </w:pPr>
            <w:r w:rsidRPr="009E0B8B">
              <w:rPr>
                <w:rFonts w:ascii="Arial" w:hAnsi="Arial" w:cs="Arial"/>
                <w:sz w:val="18"/>
                <w:szCs w:val="20"/>
                <w:lang w:eastAsia="zh-CN"/>
              </w:rPr>
              <w:t>Consumer Behaviour</w:t>
            </w:r>
          </w:p>
        </w:tc>
        <w:tc>
          <w:tcPr>
            <w:tcW w:w="0" w:type="auto"/>
            <w:tcBorders>
              <w:top w:val="nil"/>
              <w:left w:val="nil"/>
              <w:bottom w:val="single" w:sz="4" w:space="0" w:color="auto"/>
              <w:right w:val="single" w:sz="4" w:space="0" w:color="auto"/>
            </w:tcBorders>
            <w:shd w:val="clear" w:color="000000" w:fill="D99594"/>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Supply Chain/Logistics</w:t>
            </w:r>
          </w:p>
        </w:tc>
        <w:tc>
          <w:tcPr>
            <w:tcW w:w="0" w:type="auto"/>
            <w:tcBorders>
              <w:top w:val="nil"/>
              <w:left w:val="nil"/>
              <w:bottom w:val="single" w:sz="4" w:space="0" w:color="auto"/>
              <w:right w:val="single" w:sz="4" w:space="0" w:color="auto"/>
            </w:tcBorders>
            <w:shd w:val="clear" w:color="auto" w:fill="FFFF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Marketing Research</w:t>
            </w:r>
          </w:p>
        </w:tc>
        <w:tc>
          <w:tcPr>
            <w:tcW w:w="0" w:type="auto"/>
            <w:tcBorders>
              <w:top w:val="nil"/>
              <w:left w:val="nil"/>
              <w:bottom w:val="single" w:sz="4" w:space="0" w:color="auto"/>
              <w:right w:val="single" w:sz="4" w:space="0" w:color="auto"/>
            </w:tcBorders>
            <w:shd w:val="clear" w:color="000000" w:fill="DA9694"/>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Strategy</w:t>
            </w:r>
          </w:p>
        </w:tc>
        <w:tc>
          <w:tcPr>
            <w:tcW w:w="0" w:type="auto"/>
            <w:tcBorders>
              <w:top w:val="nil"/>
              <w:left w:val="nil"/>
              <w:bottom w:val="single" w:sz="4" w:space="0" w:color="auto"/>
              <w:right w:val="single" w:sz="4" w:space="0" w:color="auto"/>
            </w:tcBorders>
            <w:shd w:val="clear" w:color="000000" w:fill="DA9694"/>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Mktg. Communications</w:t>
            </w:r>
          </w:p>
        </w:tc>
      </w:tr>
      <w:tr w:rsidR="007B4A56" w:rsidRPr="007B4A56" w:rsidTr="00BC3ADE">
        <w:trPr>
          <w:trHeight w:val="300"/>
        </w:trPr>
        <w:tc>
          <w:tcPr>
            <w:tcW w:w="0" w:type="auto"/>
            <w:tcBorders>
              <w:top w:val="nil"/>
              <w:left w:val="single" w:sz="4" w:space="0" w:color="auto"/>
              <w:bottom w:val="single" w:sz="4" w:space="0" w:color="auto"/>
              <w:right w:val="single" w:sz="4" w:space="0" w:color="auto"/>
            </w:tcBorders>
            <w:shd w:val="clear" w:color="auto" w:fill="FFFF66"/>
            <w:noWrap/>
            <w:vAlign w:val="bottom"/>
            <w:hideMark/>
          </w:tcPr>
          <w:p w:rsidR="007B4A56" w:rsidRPr="009E0B8B" w:rsidRDefault="007B4A56">
            <w:pPr>
              <w:jc w:val="center"/>
              <w:rPr>
                <w:rFonts w:ascii="Arial" w:hAnsi="Arial" w:cs="Arial"/>
                <w:sz w:val="18"/>
                <w:szCs w:val="20"/>
                <w:lang w:eastAsia="zh-CN"/>
              </w:rPr>
            </w:pPr>
            <w:r w:rsidRPr="009E0B8B">
              <w:rPr>
                <w:rFonts w:ascii="Arial" w:hAnsi="Arial" w:cs="Arial"/>
                <w:sz w:val="18"/>
                <w:szCs w:val="20"/>
                <w:lang w:eastAsia="zh-CN"/>
              </w:rPr>
              <w:t>Product/Brand Marketing</w:t>
            </w:r>
          </w:p>
        </w:tc>
        <w:tc>
          <w:tcPr>
            <w:tcW w:w="0" w:type="auto"/>
            <w:tcBorders>
              <w:top w:val="nil"/>
              <w:left w:val="nil"/>
              <w:bottom w:val="single" w:sz="4" w:space="0" w:color="auto"/>
              <w:right w:val="single" w:sz="4" w:space="0" w:color="auto"/>
            </w:tcBorders>
            <w:shd w:val="clear" w:color="000000" w:fill="D99594"/>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Operational Marketing</w:t>
            </w:r>
          </w:p>
        </w:tc>
        <w:tc>
          <w:tcPr>
            <w:tcW w:w="0" w:type="auto"/>
            <w:tcBorders>
              <w:top w:val="nil"/>
              <w:left w:val="nil"/>
              <w:bottom w:val="single" w:sz="4" w:space="0" w:color="auto"/>
              <w:right w:val="single" w:sz="4" w:space="0" w:color="auto"/>
            </w:tcBorders>
            <w:shd w:val="clear" w:color="auto" w:fill="D99594" w:themeFill="accent2" w:themeFillTint="99"/>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Product/Brand</w:t>
            </w:r>
          </w:p>
        </w:tc>
        <w:tc>
          <w:tcPr>
            <w:tcW w:w="0" w:type="auto"/>
            <w:tcBorders>
              <w:top w:val="nil"/>
              <w:left w:val="nil"/>
              <w:bottom w:val="single" w:sz="4" w:space="0" w:color="auto"/>
              <w:right w:val="single" w:sz="4" w:space="0" w:color="auto"/>
            </w:tcBorders>
            <w:shd w:val="clear" w:color="000000" w:fill="DA9694"/>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Finance for Mktg.</w:t>
            </w:r>
          </w:p>
        </w:tc>
        <w:tc>
          <w:tcPr>
            <w:tcW w:w="0" w:type="auto"/>
            <w:tcBorders>
              <w:top w:val="nil"/>
              <w:left w:val="nil"/>
              <w:bottom w:val="single" w:sz="4" w:space="0" w:color="auto"/>
              <w:right w:val="single" w:sz="4" w:space="0" w:color="auto"/>
            </w:tcBorders>
            <w:shd w:val="clear" w:color="000000" w:fill="DA9694"/>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Relationship &amp; Direct Mktg.</w:t>
            </w:r>
          </w:p>
        </w:tc>
      </w:tr>
      <w:tr w:rsidR="007B4A56" w:rsidRPr="007B4A56" w:rsidTr="00BC3ADE">
        <w:trPr>
          <w:trHeight w:val="300"/>
        </w:trPr>
        <w:tc>
          <w:tcPr>
            <w:tcW w:w="0" w:type="auto"/>
            <w:tcBorders>
              <w:top w:val="nil"/>
              <w:left w:val="single" w:sz="4" w:space="0" w:color="auto"/>
              <w:bottom w:val="single" w:sz="4" w:space="0" w:color="auto"/>
              <w:right w:val="single" w:sz="4" w:space="0" w:color="auto"/>
            </w:tcBorders>
            <w:shd w:val="clear" w:color="auto" w:fill="FFFF66"/>
            <w:noWrap/>
            <w:vAlign w:val="bottom"/>
            <w:hideMark/>
          </w:tcPr>
          <w:p w:rsidR="007B4A56" w:rsidRPr="009E0B8B" w:rsidRDefault="007B4A56">
            <w:pPr>
              <w:jc w:val="center"/>
              <w:rPr>
                <w:rFonts w:ascii="Arial" w:hAnsi="Arial" w:cs="Arial"/>
                <w:sz w:val="18"/>
                <w:szCs w:val="20"/>
                <w:lang w:eastAsia="zh-CN"/>
              </w:rPr>
            </w:pPr>
            <w:r w:rsidRPr="009E0B8B">
              <w:rPr>
                <w:rFonts w:ascii="Arial" w:hAnsi="Arial" w:cs="Arial"/>
                <w:sz w:val="18"/>
                <w:szCs w:val="20"/>
                <w:lang w:eastAsia="zh-CN"/>
              </w:rPr>
              <w:t>Services Marketing</w:t>
            </w:r>
          </w:p>
        </w:tc>
        <w:tc>
          <w:tcPr>
            <w:tcW w:w="0" w:type="auto"/>
            <w:tcBorders>
              <w:top w:val="nil"/>
              <w:left w:val="nil"/>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Consumer Behaviour</w:t>
            </w:r>
          </w:p>
        </w:tc>
        <w:tc>
          <w:tcPr>
            <w:tcW w:w="0" w:type="auto"/>
            <w:tcBorders>
              <w:top w:val="nil"/>
              <w:left w:val="nil"/>
              <w:bottom w:val="single" w:sz="4" w:space="0" w:color="auto"/>
              <w:right w:val="single" w:sz="4" w:space="0" w:color="auto"/>
            </w:tcBorders>
            <w:shd w:val="clear" w:color="auto" w:fill="D99594" w:themeFill="accent2" w:themeFillTint="99"/>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Sales Management</w:t>
            </w:r>
          </w:p>
        </w:tc>
        <w:tc>
          <w:tcPr>
            <w:tcW w:w="0" w:type="auto"/>
            <w:tcBorders>
              <w:top w:val="nil"/>
              <w:left w:val="nil"/>
              <w:bottom w:val="single" w:sz="4" w:space="0" w:color="auto"/>
              <w:right w:val="single" w:sz="4" w:space="0" w:color="auto"/>
            </w:tcBorders>
            <w:shd w:val="clear" w:color="000000" w:fill="DA9694"/>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Consumer Behaviour</w:t>
            </w:r>
          </w:p>
        </w:tc>
        <w:tc>
          <w:tcPr>
            <w:tcW w:w="0" w:type="auto"/>
            <w:tcBorders>
              <w:top w:val="nil"/>
              <w:left w:val="nil"/>
              <w:bottom w:val="single" w:sz="4" w:space="0" w:color="auto"/>
              <w:right w:val="single" w:sz="4" w:space="0" w:color="auto"/>
            </w:tcBorders>
            <w:shd w:val="clear" w:color="000000" w:fill="DA9694"/>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Int'l Business Mgmt.</w:t>
            </w:r>
          </w:p>
        </w:tc>
      </w:tr>
      <w:tr w:rsidR="007B4A56" w:rsidRPr="007B4A56" w:rsidTr="00BC3ADE">
        <w:trPr>
          <w:trHeight w:val="352"/>
        </w:trPr>
        <w:tc>
          <w:tcPr>
            <w:tcW w:w="0" w:type="auto"/>
            <w:tcBorders>
              <w:top w:val="nil"/>
              <w:left w:val="single" w:sz="4" w:space="0" w:color="auto"/>
              <w:bottom w:val="single" w:sz="4" w:space="0" w:color="auto"/>
              <w:right w:val="single" w:sz="4" w:space="0" w:color="auto"/>
            </w:tcBorders>
            <w:shd w:val="clear" w:color="auto" w:fill="FFFF66"/>
            <w:noWrap/>
            <w:vAlign w:val="bottom"/>
            <w:hideMark/>
          </w:tcPr>
          <w:p w:rsidR="007B4A56" w:rsidRPr="009E0B8B" w:rsidRDefault="007B4A56">
            <w:pPr>
              <w:jc w:val="center"/>
              <w:rPr>
                <w:rFonts w:ascii="Arial" w:hAnsi="Arial" w:cs="Arial"/>
                <w:sz w:val="18"/>
                <w:szCs w:val="20"/>
                <w:lang w:eastAsia="zh-CN"/>
              </w:rPr>
            </w:pPr>
            <w:r w:rsidRPr="009E0B8B">
              <w:rPr>
                <w:rFonts w:ascii="Arial" w:hAnsi="Arial" w:cs="Arial"/>
                <w:sz w:val="18"/>
                <w:szCs w:val="20"/>
                <w:lang w:eastAsia="zh-CN"/>
              </w:rPr>
              <w:t>Retail Marketing</w:t>
            </w:r>
          </w:p>
        </w:tc>
        <w:tc>
          <w:tcPr>
            <w:tcW w:w="0" w:type="auto"/>
            <w:tcBorders>
              <w:top w:val="nil"/>
              <w:left w:val="nil"/>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E-Marketing</w:t>
            </w:r>
          </w:p>
        </w:tc>
        <w:tc>
          <w:tcPr>
            <w:tcW w:w="0" w:type="auto"/>
            <w:tcBorders>
              <w:top w:val="nil"/>
              <w:left w:val="nil"/>
              <w:bottom w:val="single" w:sz="4" w:space="0" w:color="auto"/>
              <w:right w:val="single" w:sz="4" w:space="0" w:color="auto"/>
            </w:tcBorders>
            <w:shd w:val="clear" w:color="auto" w:fill="D99594" w:themeFill="accent2" w:themeFillTint="99"/>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Services Marketing</w:t>
            </w:r>
          </w:p>
        </w:tc>
        <w:tc>
          <w:tcPr>
            <w:tcW w:w="0" w:type="auto"/>
            <w:tcBorders>
              <w:top w:val="nil"/>
              <w:left w:val="nil"/>
              <w:bottom w:val="single" w:sz="4" w:space="0" w:color="auto"/>
              <w:right w:val="single" w:sz="4" w:space="0" w:color="auto"/>
            </w:tcBorders>
            <w:shd w:val="clear" w:color="000000" w:fill="DA9694"/>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RM</w:t>
            </w:r>
          </w:p>
        </w:tc>
        <w:tc>
          <w:tcPr>
            <w:tcW w:w="0" w:type="auto"/>
            <w:tcBorders>
              <w:top w:val="nil"/>
              <w:left w:val="nil"/>
              <w:bottom w:val="single" w:sz="4" w:space="0" w:color="auto"/>
              <w:right w:val="single" w:sz="4" w:space="0" w:color="auto"/>
            </w:tcBorders>
            <w:shd w:val="clear" w:color="auto" w:fill="B8CCE4" w:themeFill="accent1" w:themeFillTint="66"/>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e-Business/Internet Mktg.</w:t>
            </w:r>
          </w:p>
        </w:tc>
      </w:tr>
      <w:tr w:rsidR="007B4A56" w:rsidRPr="007B4A56" w:rsidTr="00BC3ADE">
        <w:trPr>
          <w:trHeight w:val="287"/>
        </w:trPr>
        <w:tc>
          <w:tcPr>
            <w:tcW w:w="0" w:type="auto"/>
            <w:tcBorders>
              <w:top w:val="nil"/>
              <w:left w:val="single" w:sz="4" w:space="0" w:color="auto"/>
              <w:bottom w:val="single" w:sz="4" w:space="0" w:color="auto"/>
              <w:right w:val="single" w:sz="4" w:space="0" w:color="auto"/>
            </w:tcBorders>
            <w:shd w:val="clear" w:color="auto" w:fill="FFFF66"/>
            <w:noWrap/>
            <w:vAlign w:val="bottom"/>
            <w:hideMark/>
          </w:tcPr>
          <w:p w:rsidR="007B4A56" w:rsidRPr="009E0B8B" w:rsidRDefault="007B4A56">
            <w:pPr>
              <w:jc w:val="center"/>
              <w:rPr>
                <w:rFonts w:ascii="Arial" w:hAnsi="Arial" w:cs="Arial"/>
                <w:sz w:val="18"/>
                <w:szCs w:val="20"/>
                <w:lang w:eastAsia="zh-CN"/>
              </w:rPr>
            </w:pPr>
            <w:r w:rsidRPr="009E0B8B">
              <w:rPr>
                <w:rFonts w:ascii="Arial" w:hAnsi="Arial" w:cs="Arial"/>
                <w:sz w:val="18"/>
                <w:szCs w:val="20"/>
                <w:lang w:eastAsia="zh-CN"/>
              </w:rPr>
              <w:t>B2B Marketing</w:t>
            </w:r>
          </w:p>
        </w:tc>
        <w:tc>
          <w:tcPr>
            <w:tcW w:w="0" w:type="auto"/>
            <w:tcBorders>
              <w:top w:val="nil"/>
              <w:left w:val="nil"/>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Direct Marketing</w:t>
            </w:r>
          </w:p>
        </w:tc>
        <w:tc>
          <w:tcPr>
            <w:tcW w:w="0" w:type="auto"/>
            <w:tcBorders>
              <w:top w:val="nil"/>
              <w:left w:val="nil"/>
              <w:bottom w:val="single" w:sz="4" w:space="0" w:color="auto"/>
              <w:right w:val="single" w:sz="4" w:space="0" w:color="auto"/>
            </w:tcBorders>
            <w:shd w:val="clear" w:color="auto" w:fill="D99594" w:themeFill="accent2" w:themeFillTint="99"/>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B2B/Industrial</w:t>
            </w:r>
          </w:p>
        </w:tc>
        <w:tc>
          <w:tcPr>
            <w:tcW w:w="0" w:type="auto"/>
            <w:tcBorders>
              <w:top w:val="nil"/>
              <w:left w:val="nil"/>
              <w:bottom w:val="single" w:sz="4" w:space="0" w:color="auto"/>
              <w:right w:val="single" w:sz="4" w:space="0" w:color="auto"/>
            </w:tcBorders>
            <w:shd w:val="clear" w:color="000000" w:fill="DA9694"/>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Mktg. Mgmt.</w:t>
            </w:r>
          </w:p>
        </w:tc>
        <w:tc>
          <w:tcPr>
            <w:tcW w:w="0" w:type="auto"/>
            <w:tcBorders>
              <w:top w:val="nil"/>
              <w:left w:val="nil"/>
              <w:bottom w:val="single" w:sz="4" w:space="0" w:color="auto"/>
              <w:right w:val="single" w:sz="4" w:space="0" w:color="auto"/>
            </w:tcBorders>
            <w:shd w:val="clear" w:color="auto" w:fill="B8CCE4" w:themeFill="accent1" w:themeFillTint="66"/>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 xml:space="preserve">Entrepreneurial </w:t>
            </w:r>
            <w:proofErr w:type="spellStart"/>
            <w:r w:rsidRPr="009E0B8B">
              <w:rPr>
                <w:rFonts w:ascii="Arial" w:hAnsi="Arial" w:cs="Arial"/>
                <w:color w:val="000000"/>
                <w:sz w:val="18"/>
                <w:szCs w:val="20"/>
                <w:lang w:eastAsia="zh-CN"/>
              </w:rPr>
              <w:t>Mktg</w:t>
            </w:r>
            <w:proofErr w:type="spellEnd"/>
            <w:r w:rsidRPr="009E0B8B">
              <w:rPr>
                <w:rFonts w:ascii="Arial" w:hAnsi="Arial" w:cs="Arial"/>
                <w:color w:val="000000"/>
                <w:sz w:val="18"/>
                <w:szCs w:val="20"/>
                <w:lang w:eastAsia="zh-CN"/>
              </w:rPr>
              <w:t xml:space="preserve"> &amp; Innovation/ Innovation</w:t>
            </w:r>
          </w:p>
        </w:tc>
      </w:tr>
      <w:tr w:rsidR="007B4A56" w:rsidRPr="007B4A56" w:rsidTr="00BC3ADE">
        <w:trPr>
          <w:trHeight w:val="300"/>
        </w:trPr>
        <w:tc>
          <w:tcPr>
            <w:tcW w:w="0" w:type="auto"/>
            <w:tcBorders>
              <w:top w:val="nil"/>
              <w:left w:val="single" w:sz="4" w:space="0" w:color="auto"/>
              <w:bottom w:val="single" w:sz="4" w:space="0" w:color="auto"/>
              <w:right w:val="single" w:sz="4" w:space="0" w:color="auto"/>
            </w:tcBorders>
            <w:shd w:val="clear" w:color="auto" w:fill="FFFF66"/>
            <w:noWrap/>
            <w:vAlign w:val="bottom"/>
            <w:hideMark/>
          </w:tcPr>
          <w:p w:rsidR="007B4A56" w:rsidRPr="009E0B8B" w:rsidRDefault="007B4A56">
            <w:pPr>
              <w:jc w:val="center"/>
              <w:rPr>
                <w:rFonts w:ascii="Arial" w:hAnsi="Arial" w:cs="Arial"/>
                <w:sz w:val="18"/>
                <w:szCs w:val="20"/>
                <w:lang w:eastAsia="zh-CN"/>
              </w:rPr>
            </w:pPr>
            <w:r w:rsidRPr="009E0B8B">
              <w:rPr>
                <w:rFonts w:ascii="Arial" w:hAnsi="Arial" w:cs="Arial"/>
                <w:sz w:val="18"/>
                <w:szCs w:val="20"/>
                <w:lang w:eastAsia="zh-CN"/>
              </w:rPr>
              <w:t>E-Marketing</w:t>
            </w:r>
          </w:p>
        </w:tc>
        <w:tc>
          <w:tcPr>
            <w:tcW w:w="0" w:type="auto"/>
            <w:tcBorders>
              <w:top w:val="nil"/>
              <w:left w:val="nil"/>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Sales Management</w:t>
            </w:r>
          </w:p>
        </w:tc>
        <w:tc>
          <w:tcPr>
            <w:tcW w:w="0" w:type="auto"/>
            <w:tcBorders>
              <w:top w:val="nil"/>
              <w:left w:val="nil"/>
              <w:bottom w:val="single" w:sz="4" w:space="0" w:color="auto"/>
              <w:right w:val="single" w:sz="4" w:space="0" w:color="auto"/>
            </w:tcBorders>
            <w:shd w:val="clear" w:color="auto" w:fill="D99594" w:themeFill="accent2" w:themeFillTint="99"/>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Innovation/NPD</w:t>
            </w:r>
          </w:p>
        </w:tc>
        <w:tc>
          <w:tcPr>
            <w:tcW w:w="0" w:type="auto"/>
            <w:tcBorders>
              <w:top w:val="nil"/>
              <w:left w:val="nil"/>
              <w:bottom w:val="single" w:sz="4" w:space="0" w:color="auto"/>
              <w:right w:val="single" w:sz="4" w:space="0" w:color="auto"/>
            </w:tcBorders>
            <w:shd w:val="clear" w:color="000000" w:fill="DA9694"/>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Int’l Mktg.</w:t>
            </w:r>
          </w:p>
        </w:tc>
        <w:tc>
          <w:tcPr>
            <w:tcW w:w="0" w:type="auto"/>
            <w:tcBorders>
              <w:top w:val="single" w:sz="4" w:space="0" w:color="auto"/>
              <w:left w:val="nil"/>
              <w:bottom w:val="single" w:sz="4" w:space="0" w:color="auto"/>
              <w:right w:val="single" w:sz="4" w:space="0" w:color="auto"/>
            </w:tcBorders>
            <w:shd w:val="clear" w:color="auto" w:fill="B8CCE4" w:themeFill="accent1" w:themeFillTint="66"/>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Int'l. Buyer Behaviour</w:t>
            </w:r>
          </w:p>
        </w:tc>
      </w:tr>
      <w:tr w:rsidR="007B4A56" w:rsidRPr="007B4A56" w:rsidTr="00BC3ADE">
        <w:trPr>
          <w:trHeight w:val="300"/>
        </w:trPr>
        <w:tc>
          <w:tcPr>
            <w:tcW w:w="0" w:type="auto"/>
            <w:tcBorders>
              <w:top w:val="nil"/>
              <w:left w:val="single" w:sz="4" w:space="0" w:color="auto"/>
              <w:bottom w:val="single" w:sz="4" w:space="0" w:color="auto"/>
              <w:right w:val="single" w:sz="4" w:space="0" w:color="auto"/>
            </w:tcBorders>
            <w:shd w:val="clear" w:color="000000" w:fill="DA9694"/>
            <w:noWrap/>
            <w:vAlign w:val="bottom"/>
            <w:hideMark/>
          </w:tcPr>
          <w:p w:rsidR="007B4A56" w:rsidRPr="009E0B8B" w:rsidRDefault="007B4A56">
            <w:pPr>
              <w:jc w:val="center"/>
              <w:rPr>
                <w:rFonts w:ascii="Arial" w:hAnsi="Arial" w:cs="Arial"/>
                <w:sz w:val="18"/>
                <w:szCs w:val="20"/>
                <w:lang w:eastAsia="zh-CN"/>
              </w:rPr>
            </w:pPr>
            <w:r w:rsidRPr="009E0B8B">
              <w:rPr>
                <w:rFonts w:ascii="Arial" w:hAnsi="Arial" w:cs="Arial"/>
                <w:sz w:val="18"/>
                <w:szCs w:val="20"/>
                <w:lang w:eastAsia="zh-CN"/>
              </w:rPr>
              <w:t>Contemporary Marketing Issues</w:t>
            </w:r>
          </w:p>
        </w:tc>
        <w:tc>
          <w:tcPr>
            <w:tcW w:w="0" w:type="auto"/>
            <w:tcBorders>
              <w:top w:val="nil"/>
              <w:left w:val="nil"/>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Product/Brand Marketing</w:t>
            </w:r>
          </w:p>
        </w:tc>
        <w:tc>
          <w:tcPr>
            <w:tcW w:w="0" w:type="auto"/>
            <w:tcBorders>
              <w:top w:val="nil"/>
              <w:left w:val="nil"/>
              <w:bottom w:val="single" w:sz="4" w:space="0" w:color="auto"/>
              <w:right w:val="single" w:sz="4" w:space="0" w:color="auto"/>
            </w:tcBorders>
            <w:shd w:val="clear" w:color="auto" w:fill="D99594" w:themeFill="accent2" w:themeFillTint="99"/>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Purchasing</w:t>
            </w:r>
          </w:p>
        </w:tc>
        <w:tc>
          <w:tcPr>
            <w:tcW w:w="0" w:type="auto"/>
            <w:tcBorders>
              <w:top w:val="single" w:sz="4" w:space="0" w:color="auto"/>
              <w:left w:val="nil"/>
              <w:bottom w:val="single" w:sz="4" w:space="0" w:color="auto"/>
              <w:right w:val="single" w:sz="4" w:space="0" w:color="auto"/>
            </w:tcBorders>
            <w:shd w:val="clear" w:color="auto" w:fill="B8CCE4" w:themeFill="accent1" w:themeFillTint="66"/>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 xml:space="preserve">Internet </w:t>
            </w:r>
            <w:proofErr w:type="spellStart"/>
            <w:r w:rsidRPr="009E0B8B">
              <w:rPr>
                <w:rFonts w:ascii="Arial" w:hAnsi="Arial" w:cs="Arial"/>
                <w:color w:val="000000"/>
                <w:sz w:val="18"/>
                <w:szCs w:val="20"/>
                <w:lang w:eastAsia="zh-CN"/>
              </w:rPr>
              <w:t>Mktg</w:t>
            </w:r>
            <w:proofErr w:type="spellEnd"/>
          </w:p>
        </w:tc>
        <w:tc>
          <w:tcPr>
            <w:tcW w:w="0" w:type="auto"/>
            <w:tcBorders>
              <w:top w:val="single" w:sz="4" w:space="0" w:color="auto"/>
              <w:left w:val="single" w:sz="4" w:space="0" w:color="auto"/>
              <w:bottom w:val="nil"/>
              <w:right w:val="nil"/>
            </w:tcBorders>
            <w:shd w:val="clear" w:color="auto" w:fill="auto"/>
            <w:noWrap/>
            <w:vAlign w:val="bottom"/>
            <w:hideMark/>
          </w:tcPr>
          <w:p w:rsidR="007B4A56" w:rsidRPr="009E0B8B" w:rsidRDefault="007B4A56" w:rsidP="009E0B8B">
            <w:pPr>
              <w:jc w:val="center"/>
              <w:rPr>
                <w:rFonts w:ascii="Arial" w:hAnsi="Arial" w:cs="Arial"/>
                <w:color w:val="000000"/>
                <w:sz w:val="18"/>
                <w:szCs w:val="20"/>
                <w:lang w:eastAsia="zh-CN"/>
              </w:rPr>
            </w:pPr>
          </w:p>
        </w:tc>
      </w:tr>
      <w:tr w:rsidR="007B4A56" w:rsidRPr="007B4A56" w:rsidTr="00BC3ADE">
        <w:trPr>
          <w:trHeight w:val="300"/>
        </w:trPr>
        <w:tc>
          <w:tcPr>
            <w:tcW w:w="0" w:type="auto"/>
            <w:tcBorders>
              <w:top w:val="nil"/>
              <w:left w:val="single" w:sz="4" w:space="0" w:color="auto"/>
              <w:bottom w:val="single" w:sz="4" w:space="0" w:color="auto"/>
              <w:right w:val="single" w:sz="4" w:space="0" w:color="auto"/>
            </w:tcBorders>
            <w:shd w:val="clear" w:color="000000" w:fill="DA9694"/>
            <w:noWrap/>
            <w:vAlign w:val="bottom"/>
            <w:hideMark/>
          </w:tcPr>
          <w:p w:rsidR="007B4A56" w:rsidRPr="009E0B8B" w:rsidRDefault="007B4A56">
            <w:pPr>
              <w:jc w:val="center"/>
              <w:rPr>
                <w:rFonts w:ascii="Arial" w:hAnsi="Arial" w:cs="Arial"/>
                <w:sz w:val="18"/>
                <w:szCs w:val="20"/>
                <w:lang w:eastAsia="zh-CN"/>
              </w:rPr>
            </w:pPr>
            <w:r w:rsidRPr="009E0B8B">
              <w:rPr>
                <w:rFonts w:ascii="Arial" w:hAnsi="Arial" w:cs="Arial"/>
                <w:sz w:val="18"/>
                <w:szCs w:val="20"/>
                <w:lang w:eastAsia="zh-CN"/>
              </w:rPr>
              <w:t>Small Business Marketing</w:t>
            </w:r>
          </w:p>
        </w:tc>
        <w:tc>
          <w:tcPr>
            <w:tcW w:w="0" w:type="auto"/>
            <w:tcBorders>
              <w:top w:val="nil"/>
              <w:left w:val="nil"/>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B2B</w:t>
            </w:r>
          </w:p>
        </w:tc>
        <w:tc>
          <w:tcPr>
            <w:tcW w:w="0" w:type="auto"/>
            <w:tcBorders>
              <w:top w:val="nil"/>
              <w:left w:val="nil"/>
              <w:bottom w:val="single" w:sz="4" w:space="0" w:color="auto"/>
              <w:right w:val="single" w:sz="4" w:space="0" w:color="auto"/>
            </w:tcBorders>
            <w:shd w:val="clear" w:color="auto" w:fill="D99594" w:themeFill="accent2" w:themeFillTint="99"/>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CB</w:t>
            </w:r>
          </w:p>
        </w:tc>
        <w:tc>
          <w:tcPr>
            <w:tcW w:w="0" w:type="auto"/>
            <w:tcBorders>
              <w:top w:val="single" w:sz="4" w:space="0" w:color="auto"/>
              <w:left w:val="nil"/>
              <w:bottom w:val="single" w:sz="4" w:space="0" w:color="auto"/>
              <w:right w:val="single" w:sz="4" w:space="0" w:color="auto"/>
            </w:tcBorders>
            <w:shd w:val="clear" w:color="auto" w:fill="B8CCE4" w:themeFill="accent1" w:themeFillTint="66"/>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B-to-B Mktg.</w:t>
            </w:r>
          </w:p>
        </w:tc>
        <w:tc>
          <w:tcPr>
            <w:tcW w:w="0" w:type="auto"/>
            <w:tcBorders>
              <w:top w:val="nil"/>
              <w:left w:val="single" w:sz="4" w:space="0" w:color="auto"/>
              <w:bottom w:val="nil"/>
              <w:right w:val="nil"/>
            </w:tcBorders>
            <w:shd w:val="clear" w:color="auto" w:fill="auto"/>
            <w:noWrap/>
            <w:vAlign w:val="bottom"/>
            <w:hideMark/>
          </w:tcPr>
          <w:p w:rsidR="007B4A56" w:rsidRPr="009E0B8B" w:rsidRDefault="007B4A56" w:rsidP="009E0B8B">
            <w:pPr>
              <w:jc w:val="center"/>
              <w:rPr>
                <w:rFonts w:ascii="Arial" w:hAnsi="Arial" w:cs="Arial"/>
                <w:color w:val="000000"/>
                <w:sz w:val="18"/>
                <w:szCs w:val="20"/>
                <w:lang w:eastAsia="zh-CN"/>
              </w:rPr>
            </w:pPr>
          </w:p>
        </w:tc>
      </w:tr>
      <w:tr w:rsidR="007B4A56" w:rsidRPr="007B4A56" w:rsidTr="00BC3ADE">
        <w:trPr>
          <w:trHeight w:val="300"/>
        </w:trPr>
        <w:tc>
          <w:tcPr>
            <w:tcW w:w="0" w:type="auto"/>
            <w:tcBorders>
              <w:top w:val="nil"/>
              <w:left w:val="single" w:sz="4" w:space="0" w:color="auto"/>
              <w:bottom w:val="single" w:sz="4" w:space="0" w:color="auto"/>
              <w:right w:val="single" w:sz="4" w:space="0" w:color="auto"/>
            </w:tcBorders>
            <w:shd w:val="clear" w:color="000000" w:fill="DA9694"/>
            <w:noWrap/>
            <w:vAlign w:val="bottom"/>
            <w:hideMark/>
          </w:tcPr>
          <w:p w:rsidR="007B4A56" w:rsidRPr="009E0B8B" w:rsidRDefault="007B4A56">
            <w:pPr>
              <w:jc w:val="center"/>
              <w:rPr>
                <w:rFonts w:ascii="Arial" w:hAnsi="Arial" w:cs="Arial"/>
                <w:sz w:val="18"/>
                <w:szCs w:val="20"/>
                <w:lang w:eastAsia="zh-CN"/>
              </w:rPr>
            </w:pPr>
            <w:r w:rsidRPr="009E0B8B">
              <w:rPr>
                <w:rFonts w:ascii="Arial" w:hAnsi="Arial" w:cs="Arial"/>
                <w:sz w:val="18"/>
                <w:szCs w:val="20"/>
                <w:lang w:eastAsia="zh-CN"/>
              </w:rPr>
              <w:t>Supply Chain/Logistics</w:t>
            </w:r>
          </w:p>
        </w:tc>
        <w:tc>
          <w:tcPr>
            <w:tcW w:w="0" w:type="auto"/>
            <w:tcBorders>
              <w:top w:val="nil"/>
              <w:left w:val="nil"/>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Luxury Marketing</w:t>
            </w:r>
          </w:p>
        </w:tc>
        <w:tc>
          <w:tcPr>
            <w:tcW w:w="0" w:type="auto"/>
            <w:tcBorders>
              <w:top w:val="nil"/>
              <w:left w:val="nil"/>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RM/CRM</w:t>
            </w:r>
          </w:p>
        </w:tc>
        <w:tc>
          <w:tcPr>
            <w:tcW w:w="0" w:type="auto"/>
            <w:tcBorders>
              <w:top w:val="single" w:sz="4" w:space="0" w:color="auto"/>
              <w:left w:val="nil"/>
              <w:bottom w:val="single" w:sz="4" w:space="0" w:color="auto"/>
              <w:right w:val="single" w:sz="4" w:space="0" w:color="auto"/>
            </w:tcBorders>
            <w:shd w:val="clear" w:color="auto" w:fill="B8CCE4" w:themeFill="accent1" w:themeFillTint="66"/>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NPD</w:t>
            </w:r>
          </w:p>
        </w:tc>
        <w:tc>
          <w:tcPr>
            <w:tcW w:w="0" w:type="auto"/>
            <w:tcBorders>
              <w:top w:val="nil"/>
              <w:left w:val="single" w:sz="4" w:space="0" w:color="auto"/>
              <w:bottom w:val="nil"/>
              <w:right w:val="nil"/>
            </w:tcBorders>
            <w:shd w:val="clear" w:color="auto" w:fill="auto"/>
            <w:noWrap/>
            <w:vAlign w:val="bottom"/>
            <w:hideMark/>
          </w:tcPr>
          <w:p w:rsidR="007B4A56" w:rsidRPr="009E0B8B" w:rsidRDefault="007B4A56" w:rsidP="009E0B8B">
            <w:pPr>
              <w:jc w:val="center"/>
              <w:rPr>
                <w:rFonts w:ascii="Arial" w:hAnsi="Arial" w:cs="Arial"/>
                <w:color w:val="000000"/>
                <w:sz w:val="18"/>
                <w:szCs w:val="20"/>
                <w:lang w:eastAsia="zh-CN"/>
              </w:rPr>
            </w:pPr>
          </w:p>
        </w:tc>
      </w:tr>
      <w:tr w:rsidR="007B4A56" w:rsidRPr="007B4A56" w:rsidTr="00BC3ADE">
        <w:trPr>
          <w:trHeight w:val="300"/>
        </w:trPr>
        <w:tc>
          <w:tcPr>
            <w:tcW w:w="0" w:type="auto"/>
            <w:tcBorders>
              <w:top w:val="nil"/>
              <w:left w:val="single" w:sz="4" w:space="0" w:color="auto"/>
              <w:bottom w:val="single" w:sz="4" w:space="0" w:color="auto"/>
              <w:right w:val="single" w:sz="4" w:space="0" w:color="auto"/>
            </w:tcBorders>
            <w:shd w:val="clear" w:color="000000" w:fill="DA9694"/>
            <w:noWrap/>
            <w:vAlign w:val="bottom"/>
            <w:hideMark/>
          </w:tcPr>
          <w:p w:rsidR="007B4A56" w:rsidRPr="009E0B8B" w:rsidRDefault="007B4A56">
            <w:pPr>
              <w:jc w:val="center"/>
              <w:rPr>
                <w:rFonts w:ascii="Arial" w:hAnsi="Arial" w:cs="Arial"/>
                <w:sz w:val="18"/>
                <w:szCs w:val="20"/>
                <w:lang w:eastAsia="zh-CN"/>
              </w:rPr>
            </w:pPr>
            <w:r w:rsidRPr="009E0B8B">
              <w:rPr>
                <w:rFonts w:ascii="Arial" w:hAnsi="Arial" w:cs="Arial"/>
                <w:sz w:val="18"/>
                <w:szCs w:val="20"/>
                <w:lang w:eastAsia="zh-CN"/>
              </w:rPr>
              <w:t>Simulation/Project/Consultancy</w:t>
            </w:r>
          </w:p>
        </w:tc>
        <w:tc>
          <w:tcPr>
            <w:tcW w:w="0" w:type="auto"/>
            <w:tcBorders>
              <w:top w:val="nil"/>
              <w:left w:val="nil"/>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Purchasing</w:t>
            </w:r>
          </w:p>
        </w:tc>
        <w:tc>
          <w:tcPr>
            <w:tcW w:w="0" w:type="auto"/>
            <w:tcBorders>
              <w:top w:val="nil"/>
              <w:left w:val="nil"/>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MKT Management</w:t>
            </w:r>
          </w:p>
        </w:tc>
        <w:tc>
          <w:tcPr>
            <w:tcW w:w="0" w:type="auto"/>
            <w:tcBorders>
              <w:top w:val="single" w:sz="4" w:space="0" w:color="auto"/>
              <w:left w:val="nil"/>
              <w:bottom w:val="single" w:sz="4" w:space="0" w:color="auto"/>
              <w:right w:val="single" w:sz="4" w:space="0" w:color="auto"/>
            </w:tcBorders>
            <w:shd w:val="clear" w:color="auto" w:fill="B8CCE4" w:themeFill="accent1" w:themeFillTint="66"/>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Channels</w:t>
            </w:r>
          </w:p>
        </w:tc>
        <w:tc>
          <w:tcPr>
            <w:tcW w:w="0" w:type="auto"/>
            <w:tcBorders>
              <w:top w:val="nil"/>
              <w:left w:val="single" w:sz="4" w:space="0" w:color="auto"/>
              <w:bottom w:val="nil"/>
              <w:right w:val="nil"/>
            </w:tcBorders>
            <w:shd w:val="clear" w:color="auto" w:fill="auto"/>
            <w:noWrap/>
            <w:vAlign w:val="bottom"/>
            <w:hideMark/>
          </w:tcPr>
          <w:p w:rsidR="007B4A56" w:rsidRPr="009E0B8B" w:rsidRDefault="007B4A56" w:rsidP="009E0B8B">
            <w:pPr>
              <w:jc w:val="center"/>
              <w:rPr>
                <w:rFonts w:ascii="Arial" w:hAnsi="Arial" w:cs="Arial"/>
                <w:color w:val="000000"/>
                <w:sz w:val="18"/>
                <w:szCs w:val="20"/>
                <w:lang w:eastAsia="zh-CN"/>
              </w:rPr>
            </w:pPr>
          </w:p>
        </w:tc>
      </w:tr>
      <w:tr w:rsidR="007B4A56" w:rsidRPr="007B4A56" w:rsidTr="00BC3ADE">
        <w:trPr>
          <w:trHeight w:val="300"/>
        </w:trPr>
        <w:tc>
          <w:tcPr>
            <w:tcW w:w="0" w:type="auto"/>
            <w:tcBorders>
              <w:top w:val="nil"/>
              <w:left w:val="single" w:sz="4" w:space="0" w:color="auto"/>
              <w:bottom w:val="single" w:sz="4" w:space="0" w:color="auto"/>
              <w:right w:val="single" w:sz="4" w:space="0" w:color="auto"/>
            </w:tcBorders>
            <w:shd w:val="clear" w:color="000000" w:fill="DA9694"/>
            <w:noWrap/>
            <w:vAlign w:val="bottom"/>
            <w:hideMark/>
          </w:tcPr>
          <w:p w:rsidR="007B4A56" w:rsidRPr="009E0B8B" w:rsidRDefault="007B4A56">
            <w:pPr>
              <w:jc w:val="center"/>
              <w:rPr>
                <w:rFonts w:ascii="Arial" w:hAnsi="Arial" w:cs="Arial"/>
                <w:sz w:val="18"/>
                <w:szCs w:val="20"/>
                <w:lang w:eastAsia="zh-CN"/>
              </w:rPr>
            </w:pPr>
            <w:r w:rsidRPr="009E0B8B">
              <w:rPr>
                <w:rFonts w:ascii="Arial" w:hAnsi="Arial" w:cs="Arial"/>
                <w:sz w:val="18"/>
                <w:szCs w:val="20"/>
                <w:lang w:eastAsia="zh-CN"/>
              </w:rPr>
              <w:t>Direct Marketing</w:t>
            </w:r>
          </w:p>
        </w:tc>
        <w:tc>
          <w:tcPr>
            <w:tcW w:w="0" w:type="auto"/>
            <w:tcBorders>
              <w:top w:val="nil"/>
              <w:left w:val="nil"/>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RM/CRM</w:t>
            </w:r>
          </w:p>
        </w:tc>
        <w:tc>
          <w:tcPr>
            <w:tcW w:w="0" w:type="auto"/>
            <w:tcBorders>
              <w:top w:val="nil"/>
              <w:left w:val="nil"/>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Event Marketing</w:t>
            </w:r>
          </w:p>
        </w:tc>
        <w:tc>
          <w:tcPr>
            <w:tcW w:w="0" w:type="auto"/>
            <w:tcBorders>
              <w:top w:val="single" w:sz="4" w:space="0" w:color="auto"/>
              <w:left w:val="nil"/>
              <w:bottom w:val="single" w:sz="4" w:space="0" w:color="auto"/>
              <w:right w:val="single" w:sz="4" w:space="0" w:color="auto"/>
            </w:tcBorders>
            <w:shd w:val="clear" w:color="auto" w:fill="B8CCE4" w:themeFill="accent1" w:themeFillTint="66"/>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Services</w:t>
            </w:r>
          </w:p>
        </w:tc>
        <w:tc>
          <w:tcPr>
            <w:tcW w:w="0" w:type="auto"/>
            <w:tcBorders>
              <w:top w:val="nil"/>
              <w:left w:val="single" w:sz="4" w:space="0" w:color="auto"/>
              <w:bottom w:val="nil"/>
              <w:right w:val="nil"/>
            </w:tcBorders>
            <w:shd w:val="clear" w:color="auto" w:fill="auto"/>
            <w:noWrap/>
            <w:vAlign w:val="bottom"/>
            <w:hideMark/>
          </w:tcPr>
          <w:p w:rsidR="007B4A56" w:rsidRPr="009E0B8B" w:rsidRDefault="007B4A56" w:rsidP="009E0B8B">
            <w:pPr>
              <w:jc w:val="center"/>
              <w:rPr>
                <w:rFonts w:ascii="Arial" w:hAnsi="Arial" w:cs="Arial"/>
                <w:color w:val="000000"/>
                <w:sz w:val="18"/>
                <w:szCs w:val="20"/>
                <w:lang w:eastAsia="zh-CN"/>
              </w:rPr>
            </w:pPr>
          </w:p>
        </w:tc>
      </w:tr>
      <w:tr w:rsidR="007B4A56" w:rsidRPr="007B4A56" w:rsidTr="00BC3ADE">
        <w:trPr>
          <w:trHeight w:val="300"/>
        </w:trPr>
        <w:tc>
          <w:tcPr>
            <w:tcW w:w="0" w:type="auto"/>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sz w:val="18"/>
                <w:szCs w:val="20"/>
                <w:lang w:eastAsia="zh-CN"/>
              </w:rPr>
            </w:pPr>
            <w:r w:rsidRPr="009E0B8B">
              <w:rPr>
                <w:rFonts w:ascii="Arial" w:hAnsi="Arial" w:cs="Arial"/>
                <w:sz w:val="18"/>
                <w:szCs w:val="20"/>
                <w:lang w:eastAsia="zh-CN"/>
              </w:rPr>
              <w:t>Relationship Marketing/CRM</w:t>
            </w:r>
          </w:p>
        </w:tc>
        <w:tc>
          <w:tcPr>
            <w:tcW w:w="0" w:type="auto"/>
            <w:tcBorders>
              <w:top w:val="nil"/>
              <w:left w:val="nil"/>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color w:val="000000"/>
                <w:sz w:val="18"/>
                <w:szCs w:val="20"/>
                <w:lang w:eastAsia="zh-CN"/>
              </w:rPr>
            </w:pPr>
            <w:proofErr w:type="spellStart"/>
            <w:r w:rsidRPr="009E0B8B">
              <w:rPr>
                <w:rFonts w:ascii="Arial" w:hAnsi="Arial" w:cs="Arial"/>
                <w:color w:val="000000"/>
                <w:sz w:val="18"/>
                <w:szCs w:val="20"/>
                <w:lang w:eastAsia="zh-CN"/>
              </w:rPr>
              <w:t>Misc</w:t>
            </w:r>
            <w:proofErr w:type="spellEnd"/>
          </w:p>
        </w:tc>
        <w:tc>
          <w:tcPr>
            <w:tcW w:w="0" w:type="auto"/>
            <w:tcBorders>
              <w:top w:val="nil"/>
              <w:left w:val="nil"/>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Luxury Marketing</w:t>
            </w:r>
          </w:p>
        </w:tc>
        <w:tc>
          <w:tcPr>
            <w:tcW w:w="0" w:type="auto"/>
            <w:tcBorders>
              <w:top w:val="single" w:sz="4" w:space="0" w:color="auto"/>
              <w:left w:val="nil"/>
              <w:bottom w:val="single" w:sz="4" w:space="0" w:color="auto"/>
              <w:right w:val="single" w:sz="4" w:space="0" w:color="auto"/>
            </w:tcBorders>
            <w:shd w:val="clear" w:color="auto" w:fill="B8CCE4" w:themeFill="accent1" w:themeFillTint="66"/>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Perform. Mgmt.</w:t>
            </w:r>
          </w:p>
        </w:tc>
        <w:tc>
          <w:tcPr>
            <w:tcW w:w="0" w:type="auto"/>
            <w:tcBorders>
              <w:top w:val="nil"/>
              <w:left w:val="single" w:sz="4" w:space="0" w:color="auto"/>
              <w:bottom w:val="single" w:sz="4" w:space="0" w:color="auto"/>
              <w:right w:val="nil"/>
            </w:tcBorders>
            <w:shd w:val="clear" w:color="auto" w:fill="auto"/>
            <w:noWrap/>
            <w:vAlign w:val="bottom"/>
            <w:hideMark/>
          </w:tcPr>
          <w:p w:rsidR="007B4A56" w:rsidRPr="009E0B8B" w:rsidRDefault="007B4A56" w:rsidP="009E0B8B">
            <w:pPr>
              <w:jc w:val="center"/>
              <w:rPr>
                <w:rFonts w:ascii="Arial" w:hAnsi="Arial" w:cs="Arial"/>
                <w:color w:val="000000"/>
                <w:sz w:val="18"/>
                <w:szCs w:val="20"/>
                <w:lang w:eastAsia="zh-CN"/>
              </w:rPr>
            </w:pPr>
          </w:p>
        </w:tc>
      </w:tr>
      <w:tr w:rsidR="007B4A56" w:rsidRPr="007B4A56" w:rsidTr="00BC3ADE">
        <w:trPr>
          <w:trHeight w:val="300"/>
        </w:trPr>
        <w:tc>
          <w:tcPr>
            <w:tcW w:w="0" w:type="auto"/>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sz w:val="18"/>
                <w:szCs w:val="20"/>
                <w:lang w:eastAsia="zh-CN"/>
              </w:rPr>
            </w:pPr>
            <w:r w:rsidRPr="009E0B8B">
              <w:rPr>
                <w:rFonts w:ascii="Arial" w:hAnsi="Arial" w:cs="Arial"/>
                <w:sz w:val="18"/>
                <w:szCs w:val="20"/>
                <w:lang w:eastAsia="zh-CN"/>
              </w:rPr>
              <w:t>Public Relations</w:t>
            </w:r>
          </w:p>
        </w:tc>
        <w:tc>
          <w:tcPr>
            <w:tcW w:w="0" w:type="auto"/>
            <w:tcBorders>
              <w:top w:val="nil"/>
              <w:left w:val="nil"/>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Services Marketing</w:t>
            </w:r>
          </w:p>
        </w:tc>
        <w:tc>
          <w:tcPr>
            <w:tcW w:w="0" w:type="auto"/>
            <w:tcBorders>
              <w:top w:val="nil"/>
              <w:left w:val="nil"/>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Principles of MKT</w:t>
            </w:r>
          </w:p>
        </w:tc>
        <w:tc>
          <w:tcPr>
            <w:tcW w:w="0" w:type="auto"/>
            <w:tcBorders>
              <w:top w:val="single" w:sz="4" w:space="0" w:color="auto"/>
              <w:left w:val="nil"/>
              <w:bottom w:val="single" w:sz="4" w:space="0" w:color="auto"/>
              <w:right w:val="single" w:sz="4" w:space="0" w:color="auto"/>
            </w:tcBorders>
            <w:shd w:val="clear" w:color="auto" w:fill="B8CCE4" w:themeFill="accent1" w:themeFillTint="66"/>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Critical Mktg./Mgmt.</w:t>
            </w:r>
          </w:p>
        </w:tc>
        <w:tc>
          <w:tcPr>
            <w:tcW w:w="0" w:type="auto"/>
            <w:tcBorders>
              <w:top w:val="single" w:sz="4" w:space="0" w:color="auto"/>
              <w:left w:val="nil"/>
              <w:bottom w:val="single" w:sz="4" w:space="0" w:color="auto"/>
              <w:right w:val="single" w:sz="4" w:space="0" w:color="auto"/>
            </w:tcBorders>
            <w:shd w:val="clear" w:color="000000" w:fill="000000"/>
            <w:noWrap/>
            <w:vAlign w:val="bottom"/>
            <w:hideMark/>
          </w:tcPr>
          <w:p w:rsidR="007B4A56" w:rsidRPr="009E0B8B" w:rsidRDefault="007B4A56" w:rsidP="009E0B8B">
            <w:pPr>
              <w:jc w:val="center"/>
              <w:rPr>
                <w:rFonts w:ascii="Arial" w:hAnsi="Arial" w:cs="Arial"/>
                <w:color w:val="FFFFFF"/>
                <w:sz w:val="18"/>
                <w:szCs w:val="20"/>
                <w:lang w:eastAsia="zh-CN"/>
              </w:rPr>
            </w:pPr>
            <w:r w:rsidRPr="009E0B8B">
              <w:rPr>
                <w:rFonts w:ascii="Arial" w:hAnsi="Arial" w:cs="Arial"/>
                <w:color w:val="FFFFFF"/>
                <w:sz w:val="18"/>
                <w:szCs w:val="20"/>
                <w:lang w:eastAsia="zh-CN"/>
              </w:rPr>
              <w:t>Key</w:t>
            </w:r>
          </w:p>
        </w:tc>
      </w:tr>
      <w:tr w:rsidR="007B4A56" w:rsidRPr="007B4A56" w:rsidTr="00BC3ADE">
        <w:trPr>
          <w:trHeight w:val="300"/>
        </w:trPr>
        <w:tc>
          <w:tcPr>
            <w:tcW w:w="0" w:type="auto"/>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sz w:val="18"/>
                <w:szCs w:val="20"/>
                <w:lang w:eastAsia="zh-CN"/>
              </w:rPr>
            </w:pPr>
            <w:r w:rsidRPr="009E0B8B">
              <w:rPr>
                <w:rFonts w:ascii="Arial" w:hAnsi="Arial" w:cs="Arial"/>
                <w:sz w:val="18"/>
                <w:szCs w:val="20"/>
                <w:lang w:eastAsia="zh-CN"/>
              </w:rPr>
              <w:t>Sales Management</w:t>
            </w:r>
          </w:p>
        </w:tc>
        <w:tc>
          <w:tcPr>
            <w:tcW w:w="0" w:type="auto"/>
            <w:tcBorders>
              <w:top w:val="nil"/>
              <w:left w:val="nil"/>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Retail Marketing</w:t>
            </w:r>
          </w:p>
        </w:tc>
        <w:tc>
          <w:tcPr>
            <w:tcW w:w="0" w:type="auto"/>
            <w:tcBorders>
              <w:top w:val="nil"/>
              <w:left w:val="nil"/>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Retail Marketing</w:t>
            </w:r>
          </w:p>
        </w:tc>
        <w:tc>
          <w:tcPr>
            <w:tcW w:w="0" w:type="auto"/>
            <w:tcBorders>
              <w:top w:val="nil"/>
              <w:left w:val="nil"/>
              <w:bottom w:val="single" w:sz="4" w:space="0" w:color="auto"/>
              <w:right w:val="single" w:sz="4" w:space="0" w:color="auto"/>
            </w:tcBorders>
            <w:shd w:val="clear" w:color="auto" w:fill="B8CCE4" w:themeFill="accent1" w:themeFillTint="66"/>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Product &amp; Service Mgmt.</w:t>
            </w:r>
          </w:p>
        </w:tc>
        <w:tc>
          <w:tcPr>
            <w:tcW w:w="0" w:type="auto"/>
            <w:tcBorders>
              <w:top w:val="single" w:sz="4" w:space="0" w:color="auto"/>
              <w:left w:val="nil"/>
              <w:bottom w:val="single" w:sz="4" w:space="0" w:color="auto"/>
              <w:right w:val="single" w:sz="4" w:space="0" w:color="auto"/>
            </w:tcBorders>
            <w:shd w:val="clear" w:color="000000" w:fill="00FF00"/>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Green = 75-100 presence</w:t>
            </w:r>
          </w:p>
        </w:tc>
      </w:tr>
      <w:tr w:rsidR="007B4A56" w:rsidRPr="007B4A56" w:rsidTr="00BC3ADE">
        <w:trPr>
          <w:trHeight w:val="300"/>
        </w:trPr>
        <w:tc>
          <w:tcPr>
            <w:tcW w:w="0" w:type="auto"/>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sz w:val="18"/>
                <w:szCs w:val="20"/>
                <w:lang w:eastAsia="zh-CN"/>
              </w:rPr>
            </w:pPr>
            <w:r w:rsidRPr="009E0B8B">
              <w:rPr>
                <w:rFonts w:ascii="Arial" w:hAnsi="Arial" w:cs="Arial"/>
                <w:sz w:val="18"/>
                <w:szCs w:val="20"/>
                <w:lang w:eastAsia="zh-CN"/>
              </w:rPr>
              <w:t>Marketing Ethics</w:t>
            </w:r>
          </w:p>
        </w:tc>
        <w:tc>
          <w:tcPr>
            <w:tcW w:w="0" w:type="auto"/>
            <w:tcBorders>
              <w:top w:val="nil"/>
              <w:left w:val="nil"/>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Marketing Management</w:t>
            </w:r>
          </w:p>
        </w:tc>
        <w:tc>
          <w:tcPr>
            <w:tcW w:w="0" w:type="auto"/>
            <w:tcBorders>
              <w:top w:val="nil"/>
              <w:left w:val="nil"/>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Public Relations</w:t>
            </w:r>
          </w:p>
        </w:tc>
        <w:tc>
          <w:tcPr>
            <w:tcW w:w="0" w:type="auto"/>
            <w:tcBorders>
              <w:top w:val="nil"/>
              <w:left w:val="nil"/>
              <w:bottom w:val="single" w:sz="4" w:space="0" w:color="auto"/>
              <w:right w:val="single" w:sz="4" w:space="0" w:color="auto"/>
            </w:tcBorders>
            <w:shd w:val="clear" w:color="auto" w:fill="B8CCE4" w:themeFill="accent1" w:themeFillTint="66"/>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Reflexive/Reflective Mktg.</w:t>
            </w:r>
          </w:p>
        </w:tc>
        <w:tc>
          <w:tcPr>
            <w:tcW w:w="0" w:type="auto"/>
            <w:tcBorders>
              <w:top w:val="single" w:sz="4" w:space="0" w:color="auto"/>
              <w:left w:val="nil"/>
              <w:bottom w:val="single" w:sz="4" w:space="0" w:color="auto"/>
              <w:right w:val="single" w:sz="4" w:space="0" w:color="auto"/>
            </w:tcBorders>
            <w:shd w:val="clear" w:color="auto" w:fill="FFFF66"/>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Yellow = 50-75% presence</w:t>
            </w:r>
          </w:p>
        </w:tc>
      </w:tr>
      <w:tr w:rsidR="007B4A56" w:rsidRPr="007B4A56" w:rsidTr="00BC3AD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sz w:val="18"/>
                <w:szCs w:val="20"/>
                <w:lang w:eastAsia="zh-CN"/>
              </w:rPr>
            </w:pPr>
            <w:r w:rsidRPr="009E0B8B">
              <w:rPr>
                <w:rFonts w:ascii="Arial" w:hAnsi="Arial" w:cs="Arial"/>
                <w:sz w:val="18"/>
                <w:szCs w:val="20"/>
                <w:lang w:eastAsia="zh-CN"/>
              </w:rPr>
              <w:t>Creativity</w:t>
            </w:r>
          </w:p>
        </w:tc>
        <w:tc>
          <w:tcPr>
            <w:tcW w:w="0" w:type="auto"/>
            <w:tcBorders>
              <w:top w:val="nil"/>
              <w:left w:val="nil"/>
              <w:bottom w:val="nil"/>
              <w:right w:val="single" w:sz="4" w:space="0" w:color="auto"/>
            </w:tcBorders>
            <w:shd w:val="clear" w:color="auto" w:fill="auto"/>
            <w:noWrap/>
            <w:vAlign w:val="bottom"/>
            <w:hideMark/>
          </w:tcPr>
          <w:p w:rsidR="007B4A56" w:rsidRPr="009E0B8B" w:rsidRDefault="007B4A56">
            <w:pPr>
              <w:jc w:val="center"/>
              <w:rPr>
                <w:rFonts w:ascii="Arial" w:hAnsi="Arial" w:cs="Arial"/>
                <w:color w:val="000000"/>
                <w:sz w:val="18"/>
                <w:szCs w:val="20"/>
                <w:lang w:eastAsia="zh-CN"/>
              </w:rPr>
            </w:pP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color w:val="000000"/>
                <w:sz w:val="18"/>
                <w:szCs w:val="20"/>
                <w:lang w:eastAsia="zh-CN"/>
              </w:rPr>
            </w:pPr>
            <w:proofErr w:type="spellStart"/>
            <w:r w:rsidRPr="009E0B8B">
              <w:rPr>
                <w:rFonts w:ascii="Arial" w:hAnsi="Arial" w:cs="Arial"/>
                <w:color w:val="000000"/>
                <w:sz w:val="18"/>
                <w:szCs w:val="20"/>
                <w:lang w:eastAsia="zh-CN"/>
              </w:rPr>
              <w:t>Misc</w:t>
            </w:r>
            <w:proofErr w:type="spellEnd"/>
            <w:r w:rsidRPr="009E0B8B">
              <w:rPr>
                <w:rFonts w:ascii="Arial" w:hAnsi="Arial" w:cs="Arial"/>
                <w:color w:val="000000"/>
                <w:sz w:val="18"/>
                <w:szCs w:val="20"/>
                <w:lang w:eastAsia="zh-CN"/>
              </w:rPr>
              <w:t>/Speciality</w:t>
            </w:r>
          </w:p>
        </w:tc>
        <w:tc>
          <w:tcPr>
            <w:tcW w:w="0" w:type="auto"/>
            <w:tcBorders>
              <w:top w:val="nil"/>
              <w:left w:val="nil"/>
              <w:bottom w:val="single" w:sz="4" w:space="0" w:color="auto"/>
              <w:right w:val="single" w:sz="4" w:space="0" w:color="auto"/>
            </w:tcBorders>
            <w:shd w:val="clear" w:color="auto" w:fill="B8CCE4" w:themeFill="accent1" w:themeFillTint="66"/>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HRM</w:t>
            </w:r>
          </w:p>
        </w:tc>
        <w:tc>
          <w:tcPr>
            <w:tcW w:w="0" w:type="auto"/>
            <w:tcBorders>
              <w:top w:val="single" w:sz="4" w:space="0" w:color="auto"/>
              <w:left w:val="nil"/>
              <w:bottom w:val="single" w:sz="4" w:space="0" w:color="auto"/>
              <w:right w:val="single" w:sz="4" w:space="0" w:color="auto"/>
            </w:tcBorders>
            <w:shd w:val="clear" w:color="000000" w:fill="DA9694"/>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Red= 25-50% presence</w:t>
            </w:r>
          </w:p>
        </w:tc>
      </w:tr>
      <w:tr w:rsidR="007B4A56" w:rsidRPr="007B4A56" w:rsidTr="00BC3ADE">
        <w:trPr>
          <w:trHeight w:val="300"/>
        </w:trPr>
        <w:tc>
          <w:tcPr>
            <w:tcW w:w="0" w:type="auto"/>
            <w:tcBorders>
              <w:top w:val="single" w:sz="4" w:space="0" w:color="auto"/>
              <w:left w:val="nil"/>
              <w:bottom w:val="nil"/>
              <w:right w:val="nil"/>
            </w:tcBorders>
            <w:shd w:val="clear" w:color="auto" w:fill="auto"/>
            <w:noWrap/>
            <w:vAlign w:val="bottom"/>
            <w:hideMark/>
          </w:tcPr>
          <w:p w:rsidR="007B4A56" w:rsidRPr="009E0B8B" w:rsidRDefault="007B4A56">
            <w:pPr>
              <w:jc w:val="center"/>
              <w:rPr>
                <w:rFonts w:ascii="Arial" w:hAnsi="Arial" w:cs="Arial"/>
                <w:color w:val="000000"/>
                <w:sz w:val="18"/>
                <w:szCs w:val="20"/>
                <w:lang w:eastAsia="zh-CN"/>
              </w:rPr>
            </w:pPr>
          </w:p>
        </w:tc>
        <w:tc>
          <w:tcPr>
            <w:tcW w:w="0" w:type="auto"/>
            <w:tcBorders>
              <w:top w:val="nil"/>
              <w:left w:val="nil"/>
              <w:bottom w:val="nil"/>
              <w:right w:val="single" w:sz="4" w:space="0" w:color="auto"/>
            </w:tcBorders>
            <w:shd w:val="clear" w:color="auto" w:fill="auto"/>
            <w:noWrap/>
            <w:vAlign w:val="bottom"/>
            <w:hideMark/>
          </w:tcPr>
          <w:p w:rsidR="007B4A56" w:rsidRPr="009E0B8B" w:rsidRDefault="007B4A56">
            <w:pPr>
              <w:jc w:val="center"/>
              <w:rPr>
                <w:rFonts w:ascii="Arial" w:hAnsi="Arial" w:cs="Arial"/>
                <w:color w:val="000000"/>
                <w:sz w:val="18"/>
                <w:szCs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Direct Marketing</w:t>
            </w:r>
          </w:p>
        </w:tc>
        <w:tc>
          <w:tcPr>
            <w:tcW w:w="0" w:type="auto"/>
            <w:tcBorders>
              <w:top w:val="single" w:sz="4" w:space="0" w:color="auto"/>
              <w:left w:val="nil"/>
              <w:bottom w:val="single" w:sz="4" w:space="0" w:color="auto"/>
              <w:right w:val="single" w:sz="4" w:space="0" w:color="auto"/>
            </w:tcBorders>
            <w:shd w:val="clear" w:color="auto" w:fill="B8CCE4" w:themeFill="accent1" w:themeFillTint="66"/>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Knowledge Mgmt.</w:t>
            </w:r>
          </w:p>
        </w:tc>
        <w:tc>
          <w:tcPr>
            <w:tcW w:w="0" w:type="auto"/>
            <w:tcBorders>
              <w:top w:val="single" w:sz="4" w:space="0" w:color="auto"/>
              <w:left w:val="nil"/>
              <w:bottom w:val="single" w:sz="4" w:space="0" w:color="auto"/>
              <w:right w:val="single" w:sz="4" w:space="0" w:color="auto"/>
            </w:tcBorders>
            <w:shd w:val="clear" w:color="auto" w:fill="B8CCE4" w:themeFill="accent1" w:themeFillTint="66"/>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Blue = 0-25% presence</w:t>
            </w:r>
          </w:p>
        </w:tc>
      </w:tr>
      <w:tr w:rsidR="007B4A56" w:rsidRPr="007B4A56" w:rsidTr="00BC3ADE">
        <w:trPr>
          <w:trHeight w:val="300"/>
        </w:trPr>
        <w:tc>
          <w:tcPr>
            <w:tcW w:w="0" w:type="auto"/>
            <w:tcBorders>
              <w:top w:val="nil"/>
              <w:left w:val="nil"/>
              <w:bottom w:val="nil"/>
              <w:right w:val="nil"/>
            </w:tcBorders>
            <w:shd w:val="clear" w:color="auto" w:fill="auto"/>
            <w:noWrap/>
            <w:vAlign w:val="bottom"/>
            <w:hideMark/>
          </w:tcPr>
          <w:p w:rsidR="007B4A56" w:rsidRPr="009E0B8B" w:rsidRDefault="007B4A56">
            <w:pPr>
              <w:jc w:val="center"/>
              <w:rPr>
                <w:rFonts w:ascii="Arial" w:hAnsi="Arial" w:cs="Arial"/>
                <w:color w:val="000000"/>
                <w:sz w:val="18"/>
                <w:szCs w:val="20"/>
                <w:lang w:eastAsia="zh-CN"/>
              </w:rPr>
            </w:pPr>
          </w:p>
        </w:tc>
        <w:tc>
          <w:tcPr>
            <w:tcW w:w="0" w:type="auto"/>
            <w:tcBorders>
              <w:top w:val="nil"/>
              <w:left w:val="nil"/>
              <w:bottom w:val="nil"/>
              <w:right w:val="single" w:sz="4" w:space="0" w:color="auto"/>
            </w:tcBorders>
            <w:shd w:val="clear" w:color="auto" w:fill="auto"/>
            <w:noWrap/>
            <w:vAlign w:val="bottom"/>
            <w:hideMark/>
          </w:tcPr>
          <w:p w:rsidR="007B4A56" w:rsidRPr="009E0B8B" w:rsidRDefault="007B4A56">
            <w:pPr>
              <w:jc w:val="center"/>
              <w:rPr>
                <w:rFonts w:ascii="Arial" w:hAnsi="Arial" w:cs="Arial"/>
                <w:color w:val="000000"/>
                <w:sz w:val="18"/>
                <w:szCs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Creativity</w:t>
            </w:r>
          </w:p>
        </w:tc>
        <w:tc>
          <w:tcPr>
            <w:tcW w:w="0" w:type="auto"/>
            <w:tcBorders>
              <w:top w:val="single" w:sz="4" w:space="0" w:color="auto"/>
              <w:left w:val="single" w:sz="4" w:space="0" w:color="auto"/>
              <w:bottom w:val="nil"/>
              <w:right w:val="nil"/>
            </w:tcBorders>
            <w:shd w:val="clear" w:color="auto" w:fill="auto"/>
            <w:noWrap/>
            <w:vAlign w:val="bottom"/>
            <w:hideMark/>
          </w:tcPr>
          <w:p w:rsidR="007B4A56" w:rsidRPr="009E0B8B" w:rsidRDefault="007B4A56">
            <w:pPr>
              <w:jc w:val="center"/>
              <w:rPr>
                <w:rFonts w:ascii="Arial" w:hAnsi="Arial" w:cs="Arial"/>
                <w:color w:val="000000"/>
                <w:sz w:val="18"/>
                <w:szCs w:val="20"/>
                <w:lang w:eastAsia="zh-CN"/>
              </w:rPr>
            </w:pPr>
          </w:p>
        </w:tc>
        <w:tc>
          <w:tcPr>
            <w:tcW w:w="0" w:type="auto"/>
            <w:tcBorders>
              <w:top w:val="single" w:sz="4" w:space="0" w:color="auto"/>
              <w:left w:val="nil"/>
              <w:bottom w:val="nil"/>
              <w:right w:val="nil"/>
            </w:tcBorders>
            <w:shd w:val="clear" w:color="auto" w:fill="auto"/>
            <w:noWrap/>
            <w:vAlign w:val="bottom"/>
            <w:hideMark/>
          </w:tcPr>
          <w:p w:rsidR="007B4A56" w:rsidRPr="009E0B8B" w:rsidRDefault="007B4A56" w:rsidP="009E0B8B">
            <w:pPr>
              <w:jc w:val="center"/>
              <w:rPr>
                <w:rFonts w:ascii="Arial" w:hAnsi="Arial" w:cs="Arial"/>
                <w:color w:val="000000"/>
                <w:sz w:val="18"/>
                <w:szCs w:val="20"/>
                <w:lang w:eastAsia="zh-CN"/>
              </w:rPr>
            </w:pPr>
          </w:p>
        </w:tc>
      </w:tr>
      <w:tr w:rsidR="007B4A56" w:rsidRPr="007B4A56" w:rsidTr="00BC3ADE">
        <w:trPr>
          <w:trHeight w:val="300"/>
        </w:trPr>
        <w:tc>
          <w:tcPr>
            <w:tcW w:w="0" w:type="auto"/>
            <w:tcBorders>
              <w:top w:val="nil"/>
              <w:left w:val="nil"/>
              <w:bottom w:val="nil"/>
              <w:right w:val="nil"/>
            </w:tcBorders>
            <w:shd w:val="clear" w:color="auto" w:fill="auto"/>
            <w:noWrap/>
            <w:vAlign w:val="bottom"/>
            <w:hideMark/>
          </w:tcPr>
          <w:p w:rsidR="007B4A56" w:rsidRPr="009E0B8B" w:rsidRDefault="007B4A56">
            <w:pPr>
              <w:jc w:val="center"/>
              <w:rPr>
                <w:rFonts w:ascii="Arial" w:hAnsi="Arial" w:cs="Arial"/>
                <w:color w:val="000000"/>
                <w:sz w:val="18"/>
                <w:szCs w:val="20"/>
                <w:lang w:eastAsia="zh-CN"/>
              </w:rPr>
            </w:pPr>
          </w:p>
        </w:tc>
        <w:tc>
          <w:tcPr>
            <w:tcW w:w="0" w:type="auto"/>
            <w:tcBorders>
              <w:top w:val="nil"/>
              <w:left w:val="nil"/>
              <w:bottom w:val="nil"/>
              <w:right w:val="single" w:sz="4" w:space="0" w:color="auto"/>
            </w:tcBorders>
            <w:shd w:val="clear" w:color="auto" w:fill="auto"/>
            <w:noWrap/>
            <w:vAlign w:val="bottom"/>
            <w:hideMark/>
          </w:tcPr>
          <w:p w:rsidR="007B4A56" w:rsidRPr="009E0B8B" w:rsidRDefault="007B4A56">
            <w:pPr>
              <w:jc w:val="center"/>
              <w:rPr>
                <w:rFonts w:ascii="Arial" w:hAnsi="Arial" w:cs="Arial"/>
                <w:color w:val="000000"/>
                <w:sz w:val="18"/>
                <w:szCs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Marketing Ethics</w:t>
            </w:r>
          </w:p>
        </w:tc>
        <w:tc>
          <w:tcPr>
            <w:tcW w:w="0" w:type="auto"/>
            <w:tcBorders>
              <w:top w:val="nil"/>
              <w:left w:val="single" w:sz="4" w:space="0" w:color="auto"/>
              <w:bottom w:val="nil"/>
              <w:right w:val="nil"/>
            </w:tcBorders>
            <w:shd w:val="clear" w:color="auto" w:fill="auto"/>
            <w:noWrap/>
            <w:vAlign w:val="bottom"/>
            <w:hideMark/>
          </w:tcPr>
          <w:p w:rsidR="007B4A56" w:rsidRPr="009E0B8B" w:rsidRDefault="007B4A56">
            <w:pPr>
              <w:jc w:val="center"/>
              <w:rPr>
                <w:rFonts w:ascii="Arial" w:hAnsi="Arial" w:cs="Arial"/>
                <w:color w:val="000000"/>
                <w:sz w:val="18"/>
                <w:szCs w:val="20"/>
                <w:lang w:eastAsia="zh-CN"/>
              </w:rPr>
            </w:pPr>
          </w:p>
        </w:tc>
        <w:tc>
          <w:tcPr>
            <w:tcW w:w="0" w:type="auto"/>
            <w:tcBorders>
              <w:top w:val="nil"/>
              <w:left w:val="nil"/>
              <w:bottom w:val="nil"/>
              <w:right w:val="nil"/>
            </w:tcBorders>
            <w:shd w:val="clear" w:color="auto" w:fill="auto"/>
            <w:noWrap/>
            <w:vAlign w:val="bottom"/>
            <w:hideMark/>
          </w:tcPr>
          <w:p w:rsidR="007B4A56" w:rsidRPr="009E0B8B" w:rsidRDefault="007B4A56" w:rsidP="009E0B8B">
            <w:pPr>
              <w:jc w:val="center"/>
              <w:rPr>
                <w:rFonts w:ascii="Arial" w:hAnsi="Arial" w:cs="Arial"/>
                <w:color w:val="000000"/>
                <w:sz w:val="18"/>
                <w:szCs w:val="20"/>
                <w:lang w:eastAsia="zh-CN"/>
              </w:rPr>
            </w:pPr>
          </w:p>
        </w:tc>
      </w:tr>
      <w:tr w:rsidR="007B4A56" w:rsidRPr="007B4A56" w:rsidTr="00BC3ADE">
        <w:trPr>
          <w:trHeight w:val="300"/>
        </w:trPr>
        <w:tc>
          <w:tcPr>
            <w:tcW w:w="0" w:type="auto"/>
            <w:tcBorders>
              <w:top w:val="nil"/>
              <w:left w:val="nil"/>
              <w:bottom w:val="nil"/>
              <w:right w:val="nil"/>
            </w:tcBorders>
            <w:shd w:val="clear" w:color="auto" w:fill="auto"/>
            <w:noWrap/>
            <w:vAlign w:val="bottom"/>
            <w:hideMark/>
          </w:tcPr>
          <w:p w:rsidR="007B4A56" w:rsidRPr="009E0B8B" w:rsidRDefault="007B4A56">
            <w:pPr>
              <w:jc w:val="center"/>
              <w:rPr>
                <w:rFonts w:ascii="Arial" w:hAnsi="Arial" w:cs="Arial"/>
                <w:color w:val="000000"/>
                <w:sz w:val="18"/>
                <w:szCs w:val="20"/>
                <w:lang w:eastAsia="zh-CN"/>
              </w:rPr>
            </w:pPr>
          </w:p>
        </w:tc>
        <w:tc>
          <w:tcPr>
            <w:tcW w:w="0" w:type="auto"/>
            <w:tcBorders>
              <w:top w:val="nil"/>
              <w:left w:val="nil"/>
              <w:bottom w:val="nil"/>
              <w:right w:val="single" w:sz="4" w:space="0" w:color="auto"/>
            </w:tcBorders>
            <w:shd w:val="clear" w:color="auto" w:fill="auto"/>
            <w:noWrap/>
            <w:vAlign w:val="bottom"/>
            <w:hideMark/>
          </w:tcPr>
          <w:p w:rsidR="007B4A56" w:rsidRPr="009E0B8B" w:rsidRDefault="007B4A56">
            <w:pPr>
              <w:jc w:val="center"/>
              <w:rPr>
                <w:rFonts w:ascii="Arial" w:hAnsi="Arial" w:cs="Arial"/>
                <w:color w:val="000000"/>
                <w:sz w:val="18"/>
                <w:szCs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7B4A56" w:rsidRPr="009E0B8B" w:rsidRDefault="007B4A56">
            <w:pPr>
              <w:jc w:val="center"/>
              <w:rPr>
                <w:rFonts w:ascii="Arial" w:hAnsi="Arial" w:cs="Arial"/>
                <w:color w:val="000000"/>
                <w:sz w:val="18"/>
                <w:szCs w:val="20"/>
                <w:lang w:eastAsia="zh-CN"/>
              </w:rPr>
            </w:pPr>
            <w:r w:rsidRPr="009E0B8B">
              <w:rPr>
                <w:rFonts w:ascii="Arial" w:hAnsi="Arial" w:cs="Arial"/>
                <w:color w:val="000000"/>
                <w:sz w:val="18"/>
                <w:szCs w:val="20"/>
                <w:lang w:eastAsia="zh-CN"/>
              </w:rPr>
              <w:t>Pricing Policy</w:t>
            </w:r>
          </w:p>
        </w:tc>
        <w:tc>
          <w:tcPr>
            <w:tcW w:w="0" w:type="auto"/>
            <w:tcBorders>
              <w:top w:val="nil"/>
              <w:left w:val="single" w:sz="4" w:space="0" w:color="auto"/>
              <w:bottom w:val="nil"/>
              <w:right w:val="nil"/>
            </w:tcBorders>
            <w:shd w:val="clear" w:color="auto" w:fill="auto"/>
            <w:noWrap/>
            <w:vAlign w:val="bottom"/>
            <w:hideMark/>
          </w:tcPr>
          <w:p w:rsidR="007B4A56" w:rsidRPr="009E0B8B" w:rsidRDefault="007B4A56">
            <w:pPr>
              <w:jc w:val="center"/>
              <w:rPr>
                <w:rFonts w:ascii="Arial" w:hAnsi="Arial" w:cs="Arial"/>
                <w:color w:val="000000"/>
                <w:sz w:val="18"/>
                <w:szCs w:val="20"/>
                <w:lang w:eastAsia="zh-CN"/>
              </w:rPr>
            </w:pPr>
          </w:p>
        </w:tc>
        <w:tc>
          <w:tcPr>
            <w:tcW w:w="0" w:type="auto"/>
            <w:tcBorders>
              <w:top w:val="nil"/>
              <w:left w:val="nil"/>
              <w:bottom w:val="nil"/>
              <w:right w:val="nil"/>
            </w:tcBorders>
            <w:shd w:val="clear" w:color="auto" w:fill="auto"/>
            <w:noWrap/>
            <w:vAlign w:val="bottom"/>
            <w:hideMark/>
          </w:tcPr>
          <w:p w:rsidR="007B4A56" w:rsidRPr="009E0B8B" w:rsidRDefault="007B4A56" w:rsidP="009E0B8B">
            <w:pPr>
              <w:jc w:val="center"/>
              <w:rPr>
                <w:rFonts w:ascii="Arial" w:hAnsi="Arial" w:cs="Arial"/>
                <w:color w:val="000000"/>
                <w:sz w:val="18"/>
                <w:szCs w:val="20"/>
                <w:lang w:eastAsia="zh-CN"/>
              </w:rPr>
            </w:pPr>
          </w:p>
        </w:tc>
      </w:tr>
    </w:tbl>
    <w:p w:rsidR="007B4A56" w:rsidRDefault="007B4A56">
      <w:pPr>
        <w:spacing w:after="200" w:line="276" w:lineRule="auto"/>
        <w:sectPr w:rsidR="007B4A56" w:rsidSect="00AF7A58">
          <w:pgSz w:w="16838" w:h="11906" w:orient="landscape"/>
          <w:pgMar w:top="1440" w:right="1440" w:bottom="1440" w:left="1440" w:header="708" w:footer="708" w:gutter="0"/>
          <w:cols w:space="708"/>
          <w:docGrid w:linePitch="360"/>
        </w:sectPr>
      </w:pPr>
    </w:p>
    <w:p w:rsidR="00145BDE" w:rsidRDefault="00145BDE" w:rsidP="00BC3ADE">
      <w:pPr>
        <w:pStyle w:val="Heading3"/>
      </w:pPr>
      <w:r>
        <w:lastRenderedPageBreak/>
        <w:t>Interpretation and Discussion</w:t>
      </w:r>
    </w:p>
    <w:p w:rsidR="00145BDE" w:rsidRDefault="00145BDE" w:rsidP="00BC3ADE"/>
    <w:p w:rsidR="00145BDE" w:rsidRDefault="00A333D0" w:rsidP="00BC3ADE">
      <w:pPr>
        <w:jc w:val="both"/>
      </w:pPr>
      <w:r>
        <w:t xml:space="preserve">In respect of the mix of PG classes, we have a core of </w:t>
      </w:r>
      <w:r w:rsidR="00BE2228">
        <w:t>6</w:t>
      </w:r>
      <w:r>
        <w:t xml:space="preserve"> taught at </w:t>
      </w:r>
      <w:r w:rsidR="00BE2228">
        <w:t>half</w:t>
      </w:r>
      <w:r>
        <w:t xml:space="preserve"> or more of our sample institutions</w:t>
      </w:r>
      <w:r w:rsidR="00BE2228">
        <w:t xml:space="preserve"> </w:t>
      </w:r>
      <w:r w:rsidR="000733BC">
        <w:t xml:space="preserve">[discounting those </w:t>
      </w:r>
      <w:r w:rsidR="00BE2228">
        <w:t xml:space="preserve">3 </w:t>
      </w:r>
      <w:r w:rsidR="000733BC">
        <w:t>with no PG offering</w:t>
      </w:r>
      <w:r w:rsidR="00BE2228">
        <w:t xml:space="preserve"> at</w:t>
      </w:r>
      <w:r w:rsidR="000733BC">
        <w:t>]</w:t>
      </w:r>
      <w:r>
        <w:t>. Marketing Communications, Supply Chains, International Marketing, Strategic Marketing</w:t>
      </w:r>
      <w:r w:rsidR="00200393">
        <w:t xml:space="preserve"> </w:t>
      </w:r>
      <w:r w:rsidR="00BE2228">
        <w:t xml:space="preserve">and Market Research </w:t>
      </w:r>
      <w:r w:rsidR="00200393">
        <w:t xml:space="preserve">offer no surprises by their high-ranking. E-Marketing does well, perhaps as a still fashionable choice refreshed by the rise of social media and digital products and services. The mean number of PG classes offered is </w:t>
      </w:r>
      <w:r w:rsidR="009B3A97">
        <w:t>8.5</w:t>
      </w:r>
      <w:r w:rsidR="00200393">
        <w:t>.</w:t>
      </w:r>
      <w:r w:rsidR="00BE2228">
        <w:t xml:space="preserve"> </w:t>
      </w:r>
    </w:p>
    <w:p w:rsidR="00200393" w:rsidRDefault="00200393" w:rsidP="00BC3ADE">
      <w:pPr>
        <w:jc w:val="both"/>
      </w:pPr>
    </w:p>
    <w:p w:rsidR="00200393" w:rsidRDefault="00200393" w:rsidP="00BC3ADE">
      <w:pPr>
        <w:jc w:val="both"/>
      </w:pPr>
      <w:r>
        <w:t xml:space="preserve">If we add the supplementary set of classes offered </w:t>
      </w:r>
      <w:r w:rsidR="006906FB">
        <w:t xml:space="preserve">by </w:t>
      </w:r>
      <w:r w:rsidR="00BE2228">
        <w:t xml:space="preserve">at least a quarter </w:t>
      </w:r>
      <w:r>
        <w:t xml:space="preserve">of institutions –Product and Brand Management, Sales, Services, B2B and Innovation/NPD </w:t>
      </w:r>
      <w:r w:rsidR="006906FB">
        <w:t xml:space="preserve">- </w:t>
      </w:r>
      <w:r>
        <w:t>we have a fairly coherent spread of subjects, one with a credible case of being practice-orientated. What is missing</w:t>
      </w:r>
      <w:r w:rsidR="00BE2228">
        <w:t xml:space="preserve">? Retailing is well down the list, and Pricing and Ethics based classes barely make it onto the roster at all. No class is taught at more than 75% of institutions. In comparing French PG data with UK </w:t>
      </w:r>
      <w:r w:rsidR="00EB0A72">
        <w:t xml:space="preserve">PG </w:t>
      </w:r>
      <w:r w:rsidR="00BE2228">
        <w:t xml:space="preserve">data from </w:t>
      </w:r>
      <w:proofErr w:type="spellStart"/>
      <w:r w:rsidR="00BE2228">
        <w:t>Centeno</w:t>
      </w:r>
      <w:proofErr w:type="spellEnd"/>
      <w:r w:rsidR="00BE2228">
        <w:t xml:space="preserve"> et al (2008) we see that </w:t>
      </w:r>
      <w:r w:rsidR="00EB0A72">
        <w:t xml:space="preserve">an initial impression of similarity is exposed as at least partially false beyond the first few classes. France has a core of practical sector/specific skill-set classes towards the top of the list [e.g. logistics, B2B], whilst the UK sector seems to have a preference for more generally themed classes like RM connected at least as much to theory as practice. </w:t>
      </w:r>
      <w:r w:rsidR="00DA68DF">
        <w:t xml:space="preserve">This allows a tentative claim of evidence in support of greater French emphasis on practical teaching and learning. </w:t>
      </w:r>
      <w:r w:rsidR="00EB0A72">
        <w:t>Certainly there seems to be just as much of a lack of standardisation between individual institutions in France as there is in the UK at the PG level.</w:t>
      </w:r>
      <w:r w:rsidR="00505738">
        <w:t xml:space="preserve"> </w:t>
      </w:r>
    </w:p>
    <w:p w:rsidR="00EB0A72" w:rsidRDefault="00EB0A72" w:rsidP="00BC3ADE">
      <w:pPr>
        <w:jc w:val="both"/>
      </w:pPr>
    </w:p>
    <w:p w:rsidR="00325B75" w:rsidRDefault="00EB0A72" w:rsidP="00BC3ADE">
      <w:pPr>
        <w:jc w:val="both"/>
      </w:pPr>
      <w:r>
        <w:t xml:space="preserve">Turning to the UG classes, it is significant that of our sample, 9 offered no UG marketing classes at all - but we remind readers of our previous comments in respect of relatively fuzzy boundaries between French UG and PG programmes. </w:t>
      </w:r>
      <w:r w:rsidR="009B3A97">
        <w:t xml:space="preserve">The mean is 6 classes. </w:t>
      </w:r>
      <w:r>
        <w:t xml:space="preserve">Discounting </w:t>
      </w:r>
      <w:proofErr w:type="gramStart"/>
      <w:r>
        <w:t>these nine, only one class</w:t>
      </w:r>
      <w:proofErr w:type="gramEnd"/>
      <w:r>
        <w:t xml:space="preserve"> is offered at three-quarters or more of institutions and unsurprisingly this is an introductory principles class. </w:t>
      </w:r>
      <w:r w:rsidR="00A82392">
        <w:t>The further three offered at a majority are Marketing Communications, Market Research and Strategic Marketing and the top four together form a respectable basic curriculum. When compared to the equivalent UK</w:t>
      </w:r>
      <w:r w:rsidR="009B3A97">
        <w:t xml:space="preserve"> data</w:t>
      </w:r>
      <w:r w:rsidR="00A82392">
        <w:t xml:space="preserve"> from </w:t>
      </w:r>
      <w:proofErr w:type="spellStart"/>
      <w:r w:rsidR="00A82392">
        <w:t>Stringfellow</w:t>
      </w:r>
      <w:proofErr w:type="spellEnd"/>
      <w:r w:rsidR="00A82392">
        <w:t xml:space="preserve"> et al (2006) there is a distinct similarity</w:t>
      </w:r>
      <w:r w:rsidR="00325B75">
        <w:t xml:space="preserve"> with the majority of classes being ranked at the same or similar levels in the hit-parade. Retailing is much lower ranked in France and Supply Chains much higher [but similar in prevalence]. The imbalance in popularity of B2B classes at the PG level is reversed at the UG level, and it </w:t>
      </w:r>
      <w:r w:rsidR="0025280A">
        <w:t xml:space="preserve">is </w:t>
      </w:r>
      <w:r w:rsidR="00325B75">
        <w:t xml:space="preserve">more than twice as widely available in the UK as France. </w:t>
      </w:r>
      <w:r w:rsidR="00505738">
        <w:t xml:space="preserve">Here there is nothing to support a claim that France has a greater practical focus, but this is a strategic overview, and of course classes with similar </w:t>
      </w:r>
      <w:r w:rsidR="006906FB">
        <w:t>n</w:t>
      </w:r>
      <w:r w:rsidR="00505738">
        <w:t xml:space="preserve">ames may have radically different pedagogic tactics. </w:t>
      </w:r>
      <w:r w:rsidR="00325B75">
        <w:t xml:space="preserve">There is </w:t>
      </w:r>
      <w:r w:rsidR="006906FB">
        <w:t>however</w:t>
      </w:r>
      <w:r w:rsidR="00325B75">
        <w:t xml:space="preserve"> a 6-year gap between the samples, but nothing leaps out as benefitting or suffering from fashion and whim. </w:t>
      </w:r>
    </w:p>
    <w:p w:rsidR="00325B75" w:rsidRDefault="00325B75" w:rsidP="00BC3ADE">
      <w:pPr>
        <w:jc w:val="both"/>
      </w:pPr>
    </w:p>
    <w:p w:rsidR="00EB0A72" w:rsidRPr="00145BDE" w:rsidRDefault="00325B75" w:rsidP="00BC3ADE">
      <w:pPr>
        <w:jc w:val="both"/>
      </w:pPr>
      <w:r>
        <w:t xml:space="preserve">As sets, France has a much narrower range of widely available UG classes and a lengthy tail – nearly 2/3 of our identified class categories are available at a quarter or less of the institutions. For the UK, more than half the classes are available at more than half the institutions. </w:t>
      </w:r>
      <w:r w:rsidR="009B3A97">
        <w:t>Both PG sets have fairly similar shapes.</w:t>
      </w:r>
      <w:r>
        <w:t xml:space="preserve"> </w:t>
      </w:r>
    </w:p>
    <w:p w:rsidR="00907911" w:rsidRDefault="00907911" w:rsidP="00BC3ADE">
      <w:pPr>
        <w:jc w:val="both"/>
      </w:pPr>
    </w:p>
    <w:p w:rsidR="005D1186" w:rsidRDefault="00907911" w:rsidP="00BC3ADE">
      <w:pPr>
        <w:jc w:val="both"/>
      </w:pPr>
      <w:r>
        <w:t xml:space="preserve">In considering the current state of play of the French sector and the environmental pressures acting upon it, we are reminded of the UK sector immediately prior to 1992. Prior to that, it had been divided into two very clear sub-sectors, a set of traditional institutions – traditional enough to already have the title of University with strong research traditions and a focus on arts and sciences and a second sub-sector </w:t>
      </w:r>
      <w:r w:rsidR="005D1186">
        <w:t xml:space="preserve">of polytechnics which were heavily focused on </w:t>
      </w:r>
      <w:r w:rsidR="005D1186">
        <w:lastRenderedPageBreak/>
        <w:t xml:space="preserve">practical and vocational subjects. This focus was reflected in programme design and orientation, faculty background and experience and integration with respective professional sectors. 1992 saw polytechnics entirely rebranded as universities. To the permanent loss of the sector, many of the strengths associated with the polytechnic concept were thrown away as ambitious senior managers attempted to reshape their institutions into clones of </w:t>
      </w:r>
      <w:r w:rsidR="00AA23CB">
        <w:t xml:space="preserve">the </w:t>
      </w:r>
      <w:r w:rsidR="005D1186">
        <w:t xml:space="preserve">established </w:t>
      </w:r>
      <w:r w:rsidR="00AA23CB">
        <w:t>universities.</w:t>
      </w:r>
      <w:r w:rsidR="00AE2E42">
        <w:t xml:space="preserve"> By and large, this has only been partially successful.</w:t>
      </w:r>
      <w:r w:rsidR="00AA23CB">
        <w:t xml:space="preserve"> Twenty years later, it is bitterly ironic that </w:t>
      </w:r>
      <w:r w:rsidR="00AE2E42">
        <w:t xml:space="preserve">the UK sector has created a situation in which many of the ex-polytechnics are held in open contempt by the ignorant and snobbish </w:t>
      </w:r>
      <w:r w:rsidR="00AE2E42" w:rsidRPr="0025280A">
        <w:t>(Gove, passim</w:t>
      </w:r>
      <w:r w:rsidR="0025280A">
        <w:t>)</w:t>
      </w:r>
      <w:r w:rsidR="00AE2E42">
        <w:t xml:space="preserve"> whilst simultaneously many of the ‘ancient’ universities are trying to re-orientate themselves along lines abandoned by those self-same institutions</w:t>
      </w:r>
      <w:r w:rsidR="006906FB">
        <w:t xml:space="preserve"> two decades prior.</w:t>
      </w:r>
    </w:p>
    <w:p w:rsidR="006719D7" w:rsidRDefault="006719D7" w:rsidP="00BC3ADE">
      <w:pPr>
        <w:jc w:val="both"/>
      </w:pPr>
    </w:p>
    <w:p w:rsidR="00DE4CDC" w:rsidRPr="00DE4CDC" w:rsidRDefault="00DE4CDC" w:rsidP="00BC3ADE">
      <w:pPr>
        <w:jc w:val="both"/>
      </w:pPr>
      <w:r>
        <w:t xml:space="preserve">Pressure on the French education system is similar: the Government is under pressure to better fund the Universities whilst maintaining the fee levels. Rising numbers of </w:t>
      </w:r>
      <w:r w:rsidR="0025280A">
        <w:t>students</w:t>
      </w:r>
      <w:r>
        <w:t xml:space="preserve"> in </w:t>
      </w:r>
      <w:r w:rsidR="0025280A">
        <w:t>public universities</w:t>
      </w:r>
      <w:r>
        <w:t xml:space="preserve"> </w:t>
      </w:r>
      <w:r w:rsidR="0025280A">
        <w:t>are debasing the currency, and hence</w:t>
      </w:r>
      <w:r>
        <w:t xml:space="preserve"> increasing</w:t>
      </w:r>
      <w:r w:rsidR="0025280A">
        <w:t xml:space="preserve"> the</w:t>
      </w:r>
      <w:r>
        <w:t xml:space="preserve"> value of the </w:t>
      </w:r>
      <w:r w:rsidR="0025280A">
        <w:t>p</w:t>
      </w:r>
      <w:r>
        <w:t xml:space="preserve">rogrammes offered by Grand </w:t>
      </w:r>
      <w:proofErr w:type="spellStart"/>
      <w:r>
        <w:t>Ecoles</w:t>
      </w:r>
      <w:proofErr w:type="spellEnd"/>
      <w:r>
        <w:t xml:space="preserve">. Rising costs of staff employment due to the need to achieve accreditation and the model offered by the Grand </w:t>
      </w:r>
      <w:proofErr w:type="spellStart"/>
      <w:r>
        <w:t>Ecoles</w:t>
      </w:r>
      <w:proofErr w:type="spellEnd"/>
      <w:r>
        <w:t xml:space="preserve"> of small classes suggests an inherently unsustainable model of education even with reasonably high fee levels. This is reflected in the increasing number of mergers between schools: the creation of France Business School from some of the mid-range Grand </w:t>
      </w:r>
      <w:proofErr w:type="spellStart"/>
      <w:r>
        <w:t>Ecoles</w:t>
      </w:r>
      <w:proofErr w:type="spellEnd"/>
      <w:r>
        <w:t xml:space="preserve">, the merger of Bordeaux and </w:t>
      </w:r>
      <w:proofErr w:type="spellStart"/>
      <w:r>
        <w:t>Euromed</w:t>
      </w:r>
      <w:proofErr w:type="spellEnd"/>
      <w:r>
        <w:t xml:space="preserve">, Rouen and Reims; and rumours of </w:t>
      </w:r>
      <w:proofErr w:type="spellStart"/>
      <w:r>
        <w:t>Audencia</w:t>
      </w:r>
      <w:proofErr w:type="spellEnd"/>
      <w:r>
        <w:t xml:space="preserve"> and Rennes merging the actual number of Grand </w:t>
      </w:r>
      <w:proofErr w:type="spellStart"/>
      <w:r>
        <w:t>Ecoles</w:t>
      </w:r>
      <w:proofErr w:type="spellEnd"/>
      <w:r>
        <w:t xml:space="preserve"> is reducing each year. These mergers increase the pressure on the smaller Grand </w:t>
      </w:r>
      <w:proofErr w:type="spellStart"/>
      <w:r>
        <w:t>Ecoles</w:t>
      </w:r>
      <w:proofErr w:type="spellEnd"/>
      <w:r>
        <w:t xml:space="preserve"> to maintain student numbers, which are largely driven by </w:t>
      </w:r>
      <w:r w:rsidRPr="00DE4CDC">
        <w:rPr>
          <w:i/>
        </w:rPr>
        <w:t>“</w:t>
      </w:r>
      <w:proofErr w:type="spellStart"/>
      <w:r w:rsidRPr="00DE4CDC">
        <w:rPr>
          <w:i/>
        </w:rPr>
        <w:t>classement</w:t>
      </w:r>
      <w:proofErr w:type="spellEnd"/>
      <w:r w:rsidRPr="00DE4CDC">
        <w:rPr>
          <w:i/>
        </w:rPr>
        <w:t>”</w:t>
      </w:r>
      <w:r>
        <w:rPr>
          <w:i/>
        </w:rPr>
        <w:t xml:space="preserve"> </w:t>
      </w:r>
      <w:r>
        <w:t xml:space="preserve">and are becoming a very clear second or third tier. Will France continue with its overcrowded </w:t>
      </w:r>
      <w:r w:rsidR="0025280A">
        <w:t>public u</w:t>
      </w:r>
      <w:r>
        <w:t xml:space="preserve">niversities competing with expensive Grand </w:t>
      </w:r>
      <w:proofErr w:type="spellStart"/>
      <w:r>
        <w:t>Ecoles</w:t>
      </w:r>
      <w:proofErr w:type="spellEnd"/>
      <w:r>
        <w:t xml:space="preserve"> or will there ever be cooperation between the two sets of </w:t>
      </w:r>
      <w:r w:rsidR="0025280A">
        <w:t>i</w:t>
      </w:r>
      <w:r>
        <w:t>nstitutions?</w:t>
      </w:r>
    </w:p>
    <w:p w:rsidR="00DE4CDC" w:rsidRDefault="00DE4CDC" w:rsidP="00BC3ADE">
      <w:pPr>
        <w:jc w:val="both"/>
      </w:pPr>
    </w:p>
    <w:p w:rsidR="005D1186" w:rsidRDefault="00AE2E42" w:rsidP="00BC3ADE">
      <w:pPr>
        <w:jc w:val="both"/>
      </w:pPr>
      <w:r>
        <w:t xml:space="preserve">It is necessary to ask though, whether such adaptations </w:t>
      </w:r>
      <w:r w:rsidR="006719D7">
        <w:t xml:space="preserve">– accreditation, publication-fixation - </w:t>
      </w:r>
      <w:r>
        <w:t>are improvements to what and how things are done, or merely acts to conform to global [</w:t>
      </w:r>
      <w:proofErr w:type="spellStart"/>
      <w:r>
        <w:t>i.e</w:t>
      </w:r>
      <w:proofErr w:type="spellEnd"/>
      <w:r>
        <w:t xml:space="preserve"> US-centric] standards and methods and in so doing to lose the inherent, traditional strengths they currently have</w:t>
      </w:r>
      <w:r w:rsidR="00A333D0">
        <w:t>, all</w:t>
      </w:r>
      <w:r>
        <w:t xml:space="preserve"> without gaining replac</w:t>
      </w:r>
      <w:r w:rsidR="006719D7">
        <w:t xml:space="preserve">ement quality or reputation. Without care, this could be a case of throwing </w:t>
      </w:r>
      <w:proofErr w:type="spellStart"/>
      <w:r w:rsidR="005D1186" w:rsidRPr="00BC3ADE">
        <w:rPr>
          <w:i/>
        </w:rPr>
        <w:t>bébé</w:t>
      </w:r>
      <w:proofErr w:type="spellEnd"/>
      <w:r w:rsidR="005D1186" w:rsidRPr="00BC3ADE">
        <w:rPr>
          <w:i/>
        </w:rPr>
        <w:t xml:space="preserve"> avec </w:t>
      </w:r>
      <w:proofErr w:type="spellStart"/>
      <w:r w:rsidR="005D1186" w:rsidRPr="00BC3ADE">
        <w:rPr>
          <w:i/>
        </w:rPr>
        <w:t>l'eau</w:t>
      </w:r>
      <w:proofErr w:type="spellEnd"/>
      <w:r w:rsidR="005D1186" w:rsidRPr="00BC3ADE">
        <w:rPr>
          <w:i/>
        </w:rPr>
        <w:t xml:space="preserve"> du </w:t>
      </w:r>
      <w:proofErr w:type="spellStart"/>
      <w:r w:rsidR="005D1186" w:rsidRPr="00BC3ADE">
        <w:rPr>
          <w:i/>
        </w:rPr>
        <w:t>bain</w:t>
      </w:r>
      <w:proofErr w:type="spellEnd"/>
      <w:r w:rsidR="006719D7">
        <w:t>.</w:t>
      </w:r>
    </w:p>
    <w:p w:rsidR="006719D7" w:rsidRPr="006719D7" w:rsidRDefault="006719D7" w:rsidP="00BC3ADE">
      <w:pPr>
        <w:jc w:val="both"/>
      </w:pPr>
    </w:p>
    <w:p w:rsidR="00907911" w:rsidRDefault="00907911">
      <w:pPr>
        <w:spacing w:after="200" w:line="276" w:lineRule="auto"/>
        <w:rPr>
          <w:rFonts w:asciiTheme="majorHAnsi" w:eastAsiaTheme="majorEastAsia" w:hAnsiTheme="majorHAnsi" w:cstheme="majorBidi"/>
          <w:b/>
          <w:bCs/>
          <w:color w:val="4F81BD" w:themeColor="accent1"/>
        </w:rPr>
      </w:pPr>
      <w:r>
        <w:br w:type="page"/>
      </w:r>
    </w:p>
    <w:p w:rsidR="007E61FE" w:rsidRDefault="007E61FE" w:rsidP="00BC3ADE">
      <w:pPr>
        <w:pStyle w:val="Heading3"/>
      </w:pPr>
      <w:r>
        <w:lastRenderedPageBreak/>
        <w:t>References</w:t>
      </w:r>
    </w:p>
    <w:p w:rsidR="00907911" w:rsidRPr="00BC3ADE" w:rsidRDefault="00907911" w:rsidP="00BC3ADE"/>
    <w:p w:rsidR="00A46CB0" w:rsidRDefault="00A46CB0" w:rsidP="00A46CB0">
      <w:proofErr w:type="spellStart"/>
      <w:proofErr w:type="gramStart"/>
      <w:r>
        <w:t>Abdessemed</w:t>
      </w:r>
      <w:proofErr w:type="spellEnd"/>
      <w:r>
        <w:t>, T. (2007).</w:t>
      </w:r>
      <w:proofErr w:type="gramEnd"/>
      <w:r>
        <w:t xml:space="preserve"> </w:t>
      </w:r>
      <w:proofErr w:type="gramStart"/>
      <w:r>
        <w:t xml:space="preserve">“Le </w:t>
      </w:r>
      <w:proofErr w:type="spellStart"/>
      <w:r>
        <w:t>modèle</w:t>
      </w:r>
      <w:proofErr w:type="spellEnd"/>
      <w:r>
        <w:t xml:space="preserve"> Grande </w:t>
      </w:r>
      <w:proofErr w:type="spellStart"/>
      <w:r>
        <w:t>Ecole</w:t>
      </w:r>
      <w:proofErr w:type="spellEnd"/>
      <w:r>
        <w:t xml:space="preserve"> </w:t>
      </w:r>
      <w:proofErr w:type="spellStart"/>
      <w:r>
        <w:t>dans</w:t>
      </w:r>
      <w:proofErr w:type="spellEnd"/>
      <w:r>
        <w:t xml:space="preserve"> la </w:t>
      </w:r>
      <w:proofErr w:type="spellStart"/>
      <w:r>
        <w:t>compétition</w:t>
      </w:r>
      <w:proofErr w:type="spellEnd"/>
      <w:r>
        <w:t xml:space="preserve"> </w:t>
      </w:r>
      <w:proofErr w:type="spellStart"/>
      <w:r>
        <w:t>mondiale</w:t>
      </w:r>
      <w:proofErr w:type="spellEnd"/>
      <w:r>
        <w:t xml:space="preserve">”, </w:t>
      </w:r>
      <w:proofErr w:type="spellStart"/>
      <w:r>
        <w:rPr>
          <w:i/>
        </w:rPr>
        <w:t>Révue</w:t>
      </w:r>
      <w:proofErr w:type="spellEnd"/>
      <w:r>
        <w:rPr>
          <w:i/>
        </w:rPr>
        <w:t xml:space="preserve"> </w:t>
      </w:r>
      <w:proofErr w:type="spellStart"/>
      <w:r>
        <w:rPr>
          <w:i/>
        </w:rPr>
        <w:t>Française</w:t>
      </w:r>
      <w:proofErr w:type="spellEnd"/>
      <w:r>
        <w:rPr>
          <w:i/>
        </w:rPr>
        <w:t xml:space="preserve"> de </w:t>
      </w:r>
      <w:proofErr w:type="spellStart"/>
      <w:r>
        <w:rPr>
          <w:i/>
        </w:rPr>
        <w:t>Gestion</w:t>
      </w:r>
      <w:proofErr w:type="spellEnd"/>
      <w:r>
        <w:rPr>
          <w:i/>
        </w:rPr>
        <w:t>,</w:t>
      </w:r>
      <w:r>
        <w:t xml:space="preserve"> 2007/9, No. 178-179, 157-172.</w:t>
      </w:r>
      <w:proofErr w:type="gramEnd"/>
    </w:p>
    <w:p w:rsidR="00A46CB0" w:rsidRDefault="00A46CB0" w:rsidP="00A46CB0"/>
    <w:p w:rsidR="00A46CB0" w:rsidRDefault="00A46CB0" w:rsidP="00A46CB0">
      <w:pPr>
        <w:ind w:left="720" w:hanging="720"/>
        <w:jc w:val="both"/>
      </w:pPr>
      <w:proofErr w:type="spellStart"/>
      <w:r>
        <w:t>AdAge</w:t>
      </w:r>
      <w:proofErr w:type="spellEnd"/>
      <w:r w:rsidR="00505738">
        <w:t xml:space="preserve"> (2010) </w:t>
      </w:r>
      <w:r w:rsidR="00505738" w:rsidRPr="00BC3ADE">
        <w:rPr>
          <w:i/>
        </w:rPr>
        <w:t>Adage in 2010</w:t>
      </w:r>
      <w:r w:rsidR="00505738">
        <w:t>:</w:t>
      </w:r>
      <w:r>
        <w:t xml:space="preserve"> </w:t>
      </w:r>
      <w:hyperlink r:id="rId14" w:history="1">
        <w:r w:rsidRPr="005B0543">
          <w:rPr>
            <w:rStyle w:val="Hyperlink"/>
          </w:rPr>
          <w:t>http://adage.com/datacenter/globalmarketers2010</w:t>
        </w:r>
      </w:hyperlink>
    </w:p>
    <w:p w:rsidR="00A46CB0" w:rsidRDefault="00A46CB0" w:rsidP="00A46CB0">
      <w:pPr>
        <w:ind w:left="720" w:hanging="720"/>
        <w:jc w:val="both"/>
      </w:pPr>
    </w:p>
    <w:p w:rsidR="00A46CB0" w:rsidRDefault="00A46CB0" w:rsidP="00A46CB0">
      <w:pPr>
        <w:ind w:left="720" w:hanging="720"/>
        <w:jc w:val="both"/>
      </w:pPr>
      <w:proofErr w:type="spellStart"/>
      <w:proofErr w:type="gramStart"/>
      <w:r>
        <w:t>Ankers</w:t>
      </w:r>
      <w:proofErr w:type="spellEnd"/>
      <w:r>
        <w:t>, P., &amp; Brennan, R. (2002).</w:t>
      </w:r>
      <w:proofErr w:type="gramEnd"/>
      <w:r>
        <w:t xml:space="preserve"> Managerial relevance in academic research: an exploratory study. </w:t>
      </w:r>
      <w:proofErr w:type="gramStart"/>
      <w:r>
        <w:t>Marketing Intelligence and Planning, Vol. 20, No. 1, pp.15-21.</w:t>
      </w:r>
      <w:proofErr w:type="gramEnd"/>
    </w:p>
    <w:p w:rsidR="00A46CB0" w:rsidRDefault="00A46CB0" w:rsidP="00A46CB0">
      <w:pPr>
        <w:ind w:left="720" w:hanging="720"/>
        <w:jc w:val="both"/>
      </w:pPr>
    </w:p>
    <w:p w:rsidR="00A46CB0" w:rsidRDefault="00A46CB0" w:rsidP="00A46CB0">
      <w:pPr>
        <w:ind w:left="720" w:hanging="720"/>
        <w:jc w:val="both"/>
      </w:pPr>
      <w:proofErr w:type="gramStart"/>
      <w:r>
        <w:t xml:space="preserve">Aram, J. D., &amp; </w:t>
      </w:r>
      <w:proofErr w:type="spellStart"/>
      <w:r>
        <w:t>Salipante</w:t>
      </w:r>
      <w:proofErr w:type="spellEnd"/>
      <w:r>
        <w:t>, P. F. (2003).</w:t>
      </w:r>
      <w:proofErr w:type="gramEnd"/>
      <w:r>
        <w:t xml:space="preserve"> </w:t>
      </w:r>
      <w:proofErr w:type="gramStart"/>
      <w:r>
        <w:t>Bridging scholarship in management: epistemological reflections.</w:t>
      </w:r>
      <w:proofErr w:type="gramEnd"/>
      <w:r>
        <w:t xml:space="preserve"> </w:t>
      </w:r>
      <w:proofErr w:type="gramStart"/>
      <w:r>
        <w:t>British Journal of Management, Vo1.</w:t>
      </w:r>
      <w:proofErr w:type="gramEnd"/>
      <w:r>
        <w:t xml:space="preserve"> 4 No. 3, 189-206.</w:t>
      </w:r>
    </w:p>
    <w:p w:rsidR="00A46CB0" w:rsidRDefault="00A46CB0" w:rsidP="00A46CB0">
      <w:pPr>
        <w:ind w:left="720" w:hanging="720"/>
        <w:jc w:val="both"/>
      </w:pPr>
    </w:p>
    <w:p w:rsidR="00A46CB0" w:rsidRDefault="00A46CB0" w:rsidP="00A46CB0">
      <w:r>
        <w:t xml:space="preserve">Bourdieu, P. (1989). </w:t>
      </w:r>
      <w:r>
        <w:rPr>
          <w:i/>
        </w:rPr>
        <w:t xml:space="preserve">La noblesse </w:t>
      </w:r>
      <w:proofErr w:type="spellStart"/>
      <w:r>
        <w:rPr>
          <w:i/>
        </w:rPr>
        <w:t>d’Etat</w:t>
      </w:r>
      <w:proofErr w:type="spellEnd"/>
      <w:r>
        <w:rPr>
          <w:i/>
        </w:rPr>
        <w:t xml:space="preserve">. </w:t>
      </w:r>
      <w:proofErr w:type="spellStart"/>
      <w:r>
        <w:rPr>
          <w:i/>
        </w:rPr>
        <w:t>Grandes</w:t>
      </w:r>
      <w:proofErr w:type="spellEnd"/>
      <w:r>
        <w:rPr>
          <w:i/>
        </w:rPr>
        <w:t xml:space="preserve"> </w:t>
      </w:r>
      <w:proofErr w:type="spellStart"/>
      <w:r>
        <w:rPr>
          <w:i/>
        </w:rPr>
        <w:t>écoles</w:t>
      </w:r>
      <w:proofErr w:type="spellEnd"/>
      <w:r>
        <w:rPr>
          <w:i/>
        </w:rPr>
        <w:t xml:space="preserve"> </w:t>
      </w:r>
      <w:proofErr w:type="gramStart"/>
      <w:r>
        <w:rPr>
          <w:i/>
        </w:rPr>
        <w:t>et</w:t>
      </w:r>
      <w:proofErr w:type="gramEnd"/>
      <w:r>
        <w:rPr>
          <w:i/>
        </w:rPr>
        <w:t xml:space="preserve"> esprit de corps</w:t>
      </w:r>
      <w:r>
        <w:t xml:space="preserve">. </w:t>
      </w:r>
      <w:proofErr w:type="gramStart"/>
      <w:r>
        <w:t>Paris, Editions de Minuit.</w:t>
      </w:r>
      <w:proofErr w:type="gramEnd"/>
    </w:p>
    <w:p w:rsidR="00A46CB0" w:rsidRDefault="00A46CB0" w:rsidP="00A46CB0"/>
    <w:p w:rsidR="00A46CB0" w:rsidRDefault="00A46CB0" w:rsidP="00A46CB0">
      <w:pPr>
        <w:ind w:left="720" w:hanging="720"/>
        <w:jc w:val="both"/>
      </w:pPr>
      <w:r>
        <w:t>Brennan, R. (2004), “Should we worry about an academic-practitioner divide in marketing?</w:t>
      </w:r>
      <w:proofErr w:type="gramStart"/>
      <w:r>
        <w:t>”,</w:t>
      </w:r>
      <w:proofErr w:type="gramEnd"/>
      <w:r>
        <w:t xml:space="preserve"> Marketing Intelligence and Planning, Vol. 22, No. 5, pp.</w:t>
      </w:r>
    </w:p>
    <w:p w:rsidR="00A46CB0" w:rsidRDefault="00A46CB0" w:rsidP="00A46CB0">
      <w:pPr>
        <w:ind w:left="720" w:hanging="720"/>
        <w:jc w:val="both"/>
      </w:pPr>
    </w:p>
    <w:p w:rsidR="00A46CB0" w:rsidRDefault="00A46CB0" w:rsidP="00A46CB0">
      <w:proofErr w:type="spellStart"/>
      <w:proofErr w:type="gramStart"/>
      <w:r>
        <w:t>Calmand</w:t>
      </w:r>
      <w:proofErr w:type="spellEnd"/>
      <w:r>
        <w:t xml:space="preserve">, </w:t>
      </w:r>
      <w:proofErr w:type="spellStart"/>
      <w:r>
        <w:t>Julien</w:t>
      </w:r>
      <w:proofErr w:type="spellEnd"/>
      <w:r>
        <w:t xml:space="preserve">, </w:t>
      </w:r>
      <w:proofErr w:type="spellStart"/>
      <w:r>
        <w:t>Giret</w:t>
      </w:r>
      <w:proofErr w:type="spellEnd"/>
      <w:r>
        <w:t xml:space="preserve">, Jean-François, </w:t>
      </w:r>
      <w:proofErr w:type="spellStart"/>
      <w:r>
        <w:t>Guégnar</w:t>
      </w:r>
      <w:proofErr w:type="spellEnd"/>
      <w:r>
        <w:t>, Christine, Paul, Jean-Jacques (2009).</w:t>
      </w:r>
      <w:proofErr w:type="gramEnd"/>
      <w:r>
        <w:t xml:space="preserve"> “Why </w:t>
      </w:r>
      <w:proofErr w:type="spellStart"/>
      <w:r>
        <w:t>Grandes</w:t>
      </w:r>
      <w:proofErr w:type="spellEnd"/>
      <w:r>
        <w:t xml:space="preserve"> </w:t>
      </w:r>
      <w:proofErr w:type="spellStart"/>
      <w:r>
        <w:t>Ecoles</w:t>
      </w:r>
      <w:proofErr w:type="spellEnd"/>
      <w:r>
        <w:t xml:space="preserve"> are so valued?</w:t>
      </w:r>
      <w:proofErr w:type="gramStart"/>
      <w:r>
        <w:t>”,</w:t>
      </w:r>
      <w:proofErr w:type="gramEnd"/>
      <w:r>
        <w:t xml:space="preserve"> </w:t>
      </w:r>
      <w:r>
        <w:rPr>
          <w:i/>
        </w:rPr>
        <w:t>17</w:t>
      </w:r>
      <w:r>
        <w:rPr>
          <w:i/>
          <w:vertAlign w:val="superscript"/>
        </w:rPr>
        <w:t>th</w:t>
      </w:r>
      <w:r>
        <w:rPr>
          <w:i/>
        </w:rPr>
        <w:t xml:space="preserve"> annual workshop of the European Research Network in Transitions in Youth IREDU, </w:t>
      </w:r>
      <w:r>
        <w:t>Dijon.</w:t>
      </w:r>
    </w:p>
    <w:p w:rsidR="00A46CB0" w:rsidRDefault="00A46CB0" w:rsidP="00A46CB0"/>
    <w:p w:rsidR="00A46CB0" w:rsidRDefault="00A46CB0" w:rsidP="00A46CB0">
      <w:pPr>
        <w:ind w:left="720" w:hanging="720"/>
        <w:jc w:val="both"/>
      </w:pPr>
      <w:proofErr w:type="spellStart"/>
      <w:proofErr w:type="gramStart"/>
      <w:r>
        <w:t>Celuch</w:t>
      </w:r>
      <w:proofErr w:type="spellEnd"/>
      <w:r>
        <w:t xml:space="preserve">, K., &amp; </w:t>
      </w:r>
      <w:proofErr w:type="spellStart"/>
      <w:r>
        <w:t>Slama</w:t>
      </w:r>
      <w:proofErr w:type="spellEnd"/>
      <w:r>
        <w:t>, M. (1998).</w:t>
      </w:r>
      <w:proofErr w:type="gramEnd"/>
      <w:r>
        <w:t xml:space="preserve"> </w:t>
      </w:r>
      <w:proofErr w:type="gramStart"/>
      <w:r>
        <w:t>Critical Thinking as an Integrative Theme for Teaching Lifelong Learning Skills in Marketing.</w:t>
      </w:r>
      <w:proofErr w:type="gramEnd"/>
      <w:r>
        <w:t xml:space="preserve"> </w:t>
      </w:r>
      <w:proofErr w:type="gramStart"/>
      <w:r>
        <w:t>Marketing Education Review, Vol. 8, No. 3, pp. 1-12.</w:t>
      </w:r>
      <w:proofErr w:type="gramEnd"/>
    </w:p>
    <w:p w:rsidR="009546EB" w:rsidRDefault="009546EB" w:rsidP="00A46CB0">
      <w:pPr>
        <w:ind w:left="720" w:hanging="720"/>
        <w:jc w:val="both"/>
      </w:pPr>
    </w:p>
    <w:p w:rsidR="009546EB" w:rsidRDefault="009546EB" w:rsidP="00A46CB0">
      <w:pPr>
        <w:ind w:left="720" w:hanging="720"/>
        <w:jc w:val="both"/>
      </w:pPr>
      <w:proofErr w:type="spellStart"/>
      <w:r w:rsidRPr="009546EB">
        <w:t>Centeno</w:t>
      </w:r>
      <w:proofErr w:type="spellEnd"/>
      <w:r w:rsidRPr="009546EB">
        <w:t xml:space="preserve">, E., Harker, M.J. and Ibrahim, E. (2008) </w:t>
      </w:r>
      <w:proofErr w:type="gramStart"/>
      <w:r w:rsidRPr="009546EB">
        <w:t>What</w:t>
      </w:r>
      <w:proofErr w:type="gramEnd"/>
      <w:r w:rsidRPr="009546EB">
        <w:t xml:space="preserve"> is postgraduate marketing education for? Observations from the UK European Business Review – Special issue – Management Theory and Practice: Bridging the Gap through a Multidisciplinary Lens, Vol. 21, no. 6, pp. 547-566</w:t>
      </w:r>
    </w:p>
    <w:p w:rsidR="00A46CB0" w:rsidRDefault="00A46CB0" w:rsidP="00A46CB0">
      <w:pPr>
        <w:ind w:left="720" w:hanging="720"/>
        <w:jc w:val="both"/>
      </w:pPr>
    </w:p>
    <w:p w:rsidR="00A46CB0" w:rsidRDefault="00A46CB0" w:rsidP="00A46CB0">
      <w:pPr>
        <w:ind w:left="720" w:hanging="720"/>
        <w:jc w:val="both"/>
      </w:pPr>
      <w:proofErr w:type="gramStart"/>
      <w:r>
        <w:t xml:space="preserve">Christopher, M, </w:t>
      </w:r>
      <w:proofErr w:type="spellStart"/>
      <w:r>
        <w:t>Magrill</w:t>
      </w:r>
      <w:proofErr w:type="spellEnd"/>
      <w:r>
        <w:t>, L. and Wills, G. (1998), “Educational development for marketing logistics”, International Journal of Physical Distribution and Logistics, Vol. 28, No. 4, pp. 234-241.</w:t>
      </w:r>
      <w:proofErr w:type="gramEnd"/>
    </w:p>
    <w:p w:rsidR="00A46CB0" w:rsidRDefault="00A46CB0" w:rsidP="00A46CB0">
      <w:pPr>
        <w:ind w:left="720" w:hanging="720"/>
        <w:jc w:val="both"/>
      </w:pPr>
    </w:p>
    <w:p w:rsidR="00A46CB0" w:rsidRDefault="00A46CB0" w:rsidP="00A46CB0">
      <w:pPr>
        <w:ind w:left="720" w:hanging="720"/>
        <w:jc w:val="both"/>
      </w:pPr>
      <w:r>
        <w:t xml:space="preserve">Coates, N. F., &amp; </w:t>
      </w:r>
      <w:proofErr w:type="spellStart"/>
      <w:r>
        <w:t>Koerner</w:t>
      </w:r>
      <w:proofErr w:type="spellEnd"/>
      <w:r>
        <w:t>, R. E. (1996</w:t>
      </w:r>
      <w:proofErr w:type="gramStart"/>
      <w:r>
        <w:t>) ”</w:t>
      </w:r>
      <w:proofErr w:type="gramEnd"/>
      <w:r>
        <w:t>How Market Oriented are Business Studies Degrees?”, Journal of Marketing Management, Vol. 12, No.5, pp.455-475.</w:t>
      </w:r>
    </w:p>
    <w:p w:rsidR="00A46CB0" w:rsidRDefault="00A46CB0" w:rsidP="00A46CB0">
      <w:pPr>
        <w:ind w:left="720" w:hanging="720"/>
        <w:jc w:val="both"/>
      </w:pPr>
    </w:p>
    <w:p w:rsidR="00A46CB0" w:rsidRDefault="00A46CB0" w:rsidP="00A46CB0">
      <w:pPr>
        <w:ind w:left="720" w:hanging="720"/>
        <w:jc w:val="both"/>
      </w:pPr>
      <w:r>
        <w:t xml:space="preserve">Conway, T. Mackay, S. and </w:t>
      </w:r>
      <w:proofErr w:type="spellStart"/>
      <w:r>
        <w:t>Yorke</w:t>
      </w:r>
      <w:proofErr w:type="spellEnd"/>
      <w:r>
        <w:t>, D. (1994), “Strategic Planning in Higher Education: Who are the Customers?</w:t>
      </w:r>
      <w:proofErr w:type="gramStart"/>
      <w:r>
        <w:t>”,</w:t>
      </w:r>
      <w:proofErr w:type="gramEnd"/>
      <w:r>
        <w:t xml:space="preserve"> International Journal of Educational Management, Vol. 8, No. 6, pp.29-36.</w:t>
      </w:r>
    </w:p>
    <w:p w:rsidR="006B2B27" w:rsidRDefault="006B2B27" w:rsidP="00A46CB0">
      <w:pPr>
        <w:ind w:left="720" w:hanging="720"/>
        <w:jc w:val="both"/>
      </w:pPr>
    </w:p>
    <w:p w:rsidR="00A46CB0" w:rsidRDefault="00A46CB0" w:rsidP="00A46CB0">
      <w:pPr>
        <w:ind w:left="720" w:hanging="720"/>
        <w:jc w:val="both"/>
      </w:pPr>
      <w:r>
        <w:t>Crosier, K. (2004), “How effectively do marketing journals transfer useful learning from scholars to practitioners?</w:t>
      </w:r>
      <w:proofErr w:type="gramStart"/>
      <w:r>
        <w:t>”,</w:t>
      </w:r>
      <w:proofErr w:type="gramEnd"/>
      <w:r>
        <w:t xml:space="preserve"> Marketing Intelligence and Planning, Vol. 22, No.5, pp.540-556.</w:t>
      </w:r>
    </w:p>
    <w:p w:rsidR="00A46CB0" w:rsidRDefault="00A46CB0" w:rsidP="00A46CB0">
      <w:pPr>
        <w:ind w:left="720" w:hanging="720"/>
        <w:jc w:val="both"/>
      </w:pPr>
    </w:p>
    <w:p w:rsidR="00A46CB0" w:rsidRDefault="00A46CB0" w:rsidP="00A46CB0">
      <w:pPr>
        <w:ind w:left="720" w:hanging="720"/>
        <w:jc w:val="both"/>
      </w:pPr>
      <w:r>
        <w:t>Cuthbert, P. (1996), “Managing service quality in HE: is SERVQUAL the answer?</w:t>
      </w:r>
      <w:proofErr w:type="gramStart"/>
      <w:r>
        <w:t>”,</w:t>
      </w:r>
      <w:proofErr w:type="gramEnd"/>
      <w:r>
        <w:t xml:space="preserve"> Part 1, Managing Service quality Bedford, Vol. 6, No.3, pp.11-16.</w:t>
      </w:r>
    </w:p>
    <w:p w:rsidR="00A46CB0" w:rsidRDefault="00A46CB0" w:rsidP="00A46CB0">
      <w:pPr>
        <w:ind w:left="720" w:hanging="720"/>
        <w:jc w:val="both"/>
      </w:pPr>
    </w:p>
    <w:p w:rsidR="00A46CB0" w:rsidRDefault="00A46CB0" w:rsidP="00A46CB0">
      <w:pPr>
        <w:ind w:left="720" w:hanging="720"/>
        <w:jc w:val="both"/>
      </w:pPr>
      <w:proofErr w:type="gramStart"/>
      <w:r>
        <w:lastRenderedPageBreak/>
        <w:t>Danaher, P.J. and Starr, R.G. (1998), “A study of marketing departments in Australian universities”, European Journal of Marketing, Vol. 32, No. 9/10, pp.771-784.</w:t>
      </w:r>
      <w:proofErr w:type="gramEnd"/>
    </w:p>
    <w:p w:rsidR="00A46CB0" w:rsidRDefault="00A46CB0" w:rsidP="00A46CB0">
      <w:pPr>
        <w:ind w:left="720" w:hanging="720"/>
        <w:jc w:val="both"/>
      </w:pPr>
    </w:p>
    <w:p w:rsidR="00A46CB0" w:rsidRDefault="00A46CB0" w:rsidP="00A46CB0">
      <w:pPr>
        <w:ind w:left="720" w:hanging="720"/>
        <w:jc w:val="both"/>
      </w:pPr>
      <w:r>
        <w:t>Das, T. K. (2003). Managerial perceptions and the essence of the managerial world: what is an interloper business executive to make of the academic-researcher perceptions of managers? British Journal of Management, Vol. 14</w:t>
      </w:r>
      <w:proofErr w:type="gramStart"/>
      <w:r>
        <w:t>,  No</w:t>
      </w:r>
      <w:proofErr w:type="gramEnd"/>
      <w:r>
        <w:t>. 1, pp. 23-32.</w:t>
      </w:r>
    </w:p>
    <w:p w:rsidR="00A46CB0" w:rsidRDefault="00A46CB0" w:rsidP="00A46CB0">
      <w:pPr>
        <w:ind w:left="720" w:hanging="720"/>
        <w:jc w:val="both"/>
      </w:pPr>
    </w:p>
    <w:p w:rsidR="00A46CB0" w:rsidRDefault="00A46CB0" w:rsidP="00A46CB0">
      <w:pPr>
        <w:ind w:left="720" w:hanging="720"/>
        <w:jc w:val="both"/>
      </w:pPr>
      <w:proofErr w:type="spellStart"/>
      <w:r>
        <w:t>Garneau</w:t>
      </w:r>
      <w:proofErr w:type="spellEnd"/>
      <w:r>
        <w:t xml:space="preserve">, J. P., &amp; Brennan, R. (1999), “New Relevance in the Marketing Curriculum: Stakeholder Perceptions of the Effectiveness of Marketing Education”, </w:t>
      </w:r>
      <w:proofErr w:type="gramStart"/>
      <w:r>
        <w:t>The</w:t>
      </w:r>
      <w:proofErr w:type="gramEnd"/>
      <w:r>
        <w:t xml:space="preserve"> Proceedings of Academy of Marketing Annual Conference, Stirling, July 1999.</w:t>
      </w:r>
    </w:p>
    <w:p w:rsidR="00622DF7" w:rsidRDefault="00622DF7" w:rsidP="00A46CB0">
      <w:pPr>
        <w:ind w:left="720" w:hanging="720"/>
        <w:jc w:val="both"/>
      </w:pPr>
    </w:p>
    <w:p w:rsidR="00622DF7" w:rsidRDefault="00622DF7" w:rsidP="00A46CB0">
      <w:pPr>
        <w:ind w:left="720" w:hanging="720"/>
        <w:jc w:val="both"/>
      </w:pPr>
      <w:r w:rsidRPr="00622DF7">
        <w:t xml:space="preserve">Gibson-Sweet, M., Brennan, R., Foy, A., Lynch, J. and Rudolph, P. (2010) "Key issues in marketing education: the marketing educators' view", Marketing Intelligence &amp; Planning, Vol. 28 </w:t>
      </w:r>
      <w:proofErr w:type="spellStart"/>
      <w:r w:rsidRPr="00622DF7">
        <w:t>Iss</w:t>
      </w:r>
      <w:proofErr w:type="spellEnd"/>
      <w:r w:rsidRPr="00622DF7">
        <w:t>: 7, pp.931 - 943</w:t>
      </w:r>
    </w:p>
    <w:p w:rsidR="00F06663" w:rsidRDefault="00F06663" w:rsidP="00A46CB0">
      <w:pPr>
        <w:ind w:left="720" w:hanging="720"/>
        <w:jc w:val="both"/>
      </w:pPr>
    </w:p>
    <w:p w:rsidR="00F06663" w:rsidRDefault="00F06663" w:rsidP="00A46CB0">
      <w:pPr>
        <w:ind w:left="720" w:hanging="720"/>
        <w:jc w:val="both"/>
      </w:pPr>
      <w:proofErr w:type="spellStart"/>
      <w:r w:rsidRPr="00F06663">
        <w:t>Gray</w:t>
      </w:r>
      <w:proofErr w:type="spellEnd"/>
      <w:r w:rsidRPr="00F06663">
        <w:t xml:space="preserve">, B.J., </w:t>
      </w:r>
      <w:proofErr w:type="spellStart"/>
      <w:r w:rsidRPr="00F06663">
        <w:t>Ottesen</w:t>
      </w:r>
      <w:proofErr w:type="spellEnd"/>
      <w:r w:rsidRPr="00F06663">
        <w:t>, G.G., Bell, J., Chapman, C., Whiten, J. (2007) "What are the essential capabilities of marketers</w:t>
      </w:r>
      <w:proofErr w:type="gramStart"/>
      <w:r w:rsidRPr="00F06663">
        <w:t>?:</w:t>
      </w:r>
      <w:proofErr w:type="gramEnd"/>
      <w:r w:rsidRPr="00F06663">
        <w:t xml:space="preserve"> A comparative study of managers', academics' and students' perceptions", Marketing Intelligence &amp; Planning, Vol. 25 </w:t>
      </w:r>
      <w:proofErr w:type="spellStart"/>
      <w:r w:rsidRPr="00F06663">
        <w:t>Iss</w:t>
      </w:r>
      <w:proofErr w:type="spellEnd"/>
      <w:r w:rsidRPr="00F06663">
        <w:t>: 3, pp.271 - 295</w:t>
      </w:r>
    </w:p>
    <w:p w:rsidR="00A46CB0" w:rsidRDefault="00A46CB0" w:rsidP="00A46CB0">
      <w:pPr>
        <w:ind w:left="720" w:hanging="720"/>
        <w:jc w:val="both"/>
      </w:pPr>
    </w:p>
    <w:p w:rsidR="00A46CB0" w:rsidRDefault="00A46CB0" w:rsidP="00A46CB0">
      <w:proofErr w:type="spellStart"/>
      <w:proofErr w:type="gramStart"/>
      <w:r>
        <w:t>Godelier</w:t>
      </w:r>
      <w:proofErr w:type="spellEnd"/>
      <w:r>
        <w:t>, N.</w:t>
      </w:r>
      <w:proofErr w:type="gramEnd"/>
      <w:r>
        <w:t xml:space="preserve">  (2005). “Les élites </w:t>
      </w:r>
      <w:proofErr w:type="spellStart"/>
      <w:r>
        <w:t>managériales</w:t>
      </w:r>
      <w:proofErr w:type="spellEnd"/>
      <w:r>
        <w:t xml:space="preserve"> entre </w:t>
      </w:r>
      <w:proofErr w:type="spellStart"/>
      <w:r>
        <w:t>logiques</w:t>
      </w:r>
      <w:proofErr w:type="spellEnd"/>
      <w:r>
        <w:t xml:space="preserve"> </w:t>
      </w:r>
      <w:proofErr w:type="spellStart"/>
      <w:r>
        <w:t>nationales</w:t>
      </w:r>
      <w:proofErr w:type="spellEnd"/>
      <w:r>
        <w:t xml:space="preserve"> </w:t>
      </w:r>
      <w:proofErr w:type="spellStart"/>
      <w:r>
        <w:t>endogènes</w:t>
      </w:r>
      <w:proofErr w:type="spellEnd"/>
      <w:r>
        <w:t xml:space="preserve"> et globalisation </w:t>
      </w:r>
      <w:proofErr w:type="spellStart"/>
      <w:r>
        <w:t>exogènes</w:t>
      </w:r>
      <w:proofErr w:type="spellEnd"/>
      <w:r>
        <w:t xml:space="preserve">”, </w:t>
      </w:r>
      <w:proofErr w:type="spellStart"/>
      <w:r>
        <w:rPr>
          <w:i/>
        </w:rPr>
        <w:t>Entreprise</w:t>
      </w:r>
      <w:proofErr w:type="spellEnd"/>
      <w:r>
        <w:rPr>
          <w:i/>
        </w:rPr>
        <w:t xml:space="preserve"> </w:t>
      </w:r>
      <w:proofErr w:type="gramStart"/>
      <w:r>
        <w:rPr>
          <w:i/>
        </w:rPr>
        <w:t>et</w:t>
      </w:r>
      <w:proofErr w:type="gramEnd"/>
      <w:r>
        <w:rPr>
          <w:i/>
        </w:rPr>
        <w:t xml:space="preserve"> Histoire</w:t>
      </w:r>
      <w:r>
        <w:t>, No. 41, 6-14.</w:t>
      </w:r>
    </w:p>
    <w:p w:rsidR="00A46CB0" w:rsidRDefault="00A46CB0" w:rsidP="00A46CB0"/>
    <w:p w:rsidR="00A46CB0" w:rsidRDefault="00A46CB0" w:rsidP="00A46CB0">
      <w:pPr>
        <w:ind w:left="720" w:hanging="720"/>
        <w:jc w:val="both"/>
      </w:pPr>
      <w:r>
        <w:t xml:space="preserve">Harker, M.J., Brennan, R., Ward, J. and </w:t>
      </w:r>
      <w:proofErr w:type="spellStart"/>
      <w:r>
        <w:t>Camrie</w:t>
      </w:r>
      <w:proofErr w:type="spellEnd"/>
      <w:r>
        <w:t>, J. (2007), “The Teaching and Learning of Relationship Marketing” May, EMAC, Reykjavik.</w:t>
      </w:r>
    </w:p>
    <w:p w:rsidR="00A46CB0" w:rsidRDefault="00A46CB0" w:rsidP="00A46CB0">
      <w:pPr>
        <w:ind w:left="720" w:hanging="720"/>
        <w:jc w:val="both"/>
      </w:pPr>
    </w:p>
    <w:p w:rsidR="00793EBB" w:rsidRDefault="00793EBB" w:rsidP="00A46CB0">
      <w:pPr>
        <w:ind w:left="720" w:hanging="720"/>
        <w:jc w:val="both"/>
      </w:pPr>
      <w:r w:rsidRPr="00793EBB">
        <w:t xml:space="preserve">Haywood, H. and </w:t>
      </w:r>
      <w:proofErr w:type="spellStart"/>
      <w:r w:rsidRPr="00793EBB">
        <w:t>Molesworth</w:t>
      </w:r>
      <w:proofErr w:type="spellEnd"/>
      <w:r w:rsidRPr="00793EBB">
        <w:t xml:space="preserve">, M. (2010) "The uncomfortable mix of seduction and inexperience in vocational students' decision making", Marketing Intelligence &amp; Planning, Vol. 28 </w:t>
      </w:r>
      <w:proofErr w:type="spellStart"/>
      <w:r w:rsidRPr="00793EBB">
        <w:t>Iss</w:t>
      </w:r>
      <w:proofErr w:type="spellEnd"/>
      <w:r w:rsidRPr="00793EBB">
        <w:t>: 7, pp.831 – 846</w:t>
      </w:r>
    </w:p>
    <w:p w:rsidR="00A46CB0" w:rsidRDefault="00A46CB0" w:rsidP="00A46CB0">
      <w:pPr>
        <w:ind w:left="720" w:hanging="720"/>
        <w:jc w:val="both"/>
      </w:pPr>
    </w:p>
    <w:p w:rsidR="00A46CB0" w:rsidRDefault="00A46CB0" w:rsidP="00A46CB0">
      <w:pPr>
        <w:ind w:left="720" w:hanging="720"/>
        <w:jc w:val="both"/>
      </w:pPr>
      <w:proofErr w:type="spellStart"/>
      <w:proofErr w:type="gramStart"/>
      <w:r>
        <w:t>Hawawini</w:t>
      </w:r>
      <w:proofErr w:type="spellEnd"/>
      <w:r>
        <w:t>, G. (2005), “The future of business schools”, Journal of Management Development, Vol. 24, No. 9, pp.770-782.</w:t>
      </w:r>
      <w:proofErr w:type="gramEnd"/>
    </w:p>
    <w:p w:rsidR="00A46CB0" w:rsidRDefault="00A46CB0" w:rsidP="00A46CB0">
      <w:pPr>
        <w:ind w:left="720" w:hanging="720"/>
        <w:jc w:val="both"/>
      </w:pPr>
    </w:p>
    <w:p w:rsidR="00A46CB0" w:rsidRDefault="00A46CB0" w:rsidP="00A46CB0">
      <w:pPr>
        <w:ind w:left="720" w:hanging="720"/>
        <w:jc w:val="both"/>
      </w:pPr>
      <w:proofErr w:type="spellStart"/>
      <w:proofErr w:type="gramStart"/>
      <w:r>
        <w:t>Hodgkinson</w:t>
      </w:r>
      <w:proofErr w:type="spellEnd"/>
      <w:r>
        <w:t>, G. P., Herriot, P., &amp; Anderson, N. (2001).</w:t>
      </w:r>
      <w:proofErr w:type="gramEnd"/>
      <w:r>
        <w:t xml:space="preserve"> </w:t>
      </w:r>
      <w:proofErr w:type="gramStart"/>
      <w:r>
        <w:t>Re-aligning the Stakeholders in Management Research: Lessons from Industrial, Work and Organizational Psychology.</w:t>
      </w:r>
      <w:proofErr w:type="gramEnd"/>
      <w:r>
        <w:t xml:space="preserve"> </w:t>
      </w:r>
      <w:proofErr w:type="gramStart"/>
      <w:r>
        <w:t>British Journal of Management, Vol. 12 Special Issue, S41-S48.</w:t>
      </w:r>
      <w:proofErr w:type="gramEnd"/>
    </w:p>
    <w:p w:rsidR="00A46CB0" w:rsidRDefault="00A46CB0" w:rsidP="00A46CB0">
      <w:pPr>
        <w:ind w:left="720" w:hanging="720"/>
        <w:jc w:val="both"/>
      </w:pPr>
    </w:p>
    <w:p w:rsidR="00A46CB0" w:rsidRDefault="00A46CB0" w:rsidP="00A46CB0">
      <w:pPr>
        <w:ind w:left="720" w:hanging="720"/>
        <w:jc w:val="both"/>
      </w:pPr>
      <w:r>
        <w:t xml:space="preserve">Howard, D. G., &amp; </w:t>
      </w:r>
      <w:proofErr w:type="spellStart"/>
      <w:r>
        <w:t>Ryans</w:t>
      </w:r>
      <w:proofErr w:type="spellEnd"/>
      <w:r>
        <w:t>, J. K. J. (1993), “What role should marketing theory play in marketing education: A cross-national comparison of marketing educators”, Asia Pacific Journal of Marketing and Logistics, Vol. 5, No.2, pp.29-43.</w:t>
      </w:r>
    </w:p>
    <w:p w:rsidR="00A46CB0" w:rsidRDefault="00A46CB0" w:rsidP="00A46CB0">
      <w:pPr>
        <w:ind w:left="720" w:hanging="720"/>
        <w:jc w:val="both"/>
      </w:pPr>
    </w:p>
    <w:p w:rsidR="00A46CB0" w:rsidRDefault="00A46CB0" w:rsidP="00A46CB0">
      <w:pPr>
        <w:ind w:left="720" w:hanging="720"/>
        <w:jc w:val="both"/>
      </w:pPr>
      <w:proofErr w:type="gramStart"/>
      <w:r>
        <w:t xml:space="preserve">Howard, D. G., </w:t>
      </w:r>
      <w:proofErr w:type="spellStart"/>
      <w:r>
        <w:t>Savins</w:t>
      </w:r>
      <w:proofErr w:type="spellEnd"/>
      <w:r>
        <w:t xml:space="preserve">, D. M., Howell, W., &amp; </w:t>
      </w:r>
      <w:proofErr w:type="spellStart"/>
      <w:r>
        <w:t>Ryans</w:t>
      </w:r>
      <w:proofErr w:type="spellEnd"/>
      <w:r>
        <w:t>, J. K. J. (1991), “The Evolution of Marketing Theory in the United States and Europe”, European Journal of Marketing, Vol. 25, No. 2, pp.7-16.</w:t>
      </w:r>
      <w:proofErr w:type="gramEnd"/>
    </w:p>
    <w:p w:rsidR="00A46CB0" w:rsidRDefault="00A46CB0" w:rsidP="00A46CB0">
      <w:pPr>
        <w:ind w:left="720" w:hanging="720"/>
        <w:jc w:val="both"/>
      </w:pPr>
    </w:p>
    <w:p w:rsidR="00A46CB0" w:rsidRDefault="00A46CB0" w:rsidP="00A46CB0">
      <w:pPr>
        <w:ind w:left="720" w:hanging="720"/>
        <w:jc w:val="both"/>
      </w:pPr>
      <w:proofErr w:type="spellStart"/>
      <w:r>
        <w:t>Interbrand</w:t>
      </w:r>
      <w:proofErr w:type="spellEnd"/>
      <w:r>
        <w:t xml:space="preserve"> (2011) Best Global Brandshttp://www.interbrand.com/en/best-global-brands/best-global-brands-2008/best-global-brands-2011.aspx</w:t>
      </w:r>
    </w:p>
    <w:p w:rsidR="00182391" w:rsidRDefault="00182391" w:rsidP="00A46CB0">
      <w:pPr>
        <w:ind w:left="720" w:hanging="720"/>
        <w:jc w:val="both"/>
      </w:pPr>
    </w:p>
    <w:p w:rsidR="00A46CB0" w:rsidRDefault="00182391" w:rsidP="00A46CB0">
      <w:pPr>
        <w:ind w:left="720" w:hanging="720"/>
        <w:jc w:val="both"/>
      </w:pPr>
      <w:proofErr w:type="gramStart"/>
      <w:r w:rsidRPr="00182391">
        <w:t>Kaiser, F. (2007).</w:t>
      </w:r>
      <w:proofErr w:type="gramEnd"/>
      <w:r w:rsidRPr="00182391">
        <w:t xml:space="preserve"> </w:t>
      </w:r>
      <w:proofErr w:type="gramStart"/>
      <w:r w:rsidRPr="00182391">
        <w:t xml:space="preserve">“Higher Education in France – Country Report”, International Higher Education Monitor, </w:t>
      </w:r>
      <w:proofErr w:type="spellStart"/>
      <w:r w:rsidRPr="00182391">
        <w:t>Center</w:t>
      </w:r>
      <w:proofErr w:type="spellEnd"/>
      <w:r w:rsidRPr="00182391">
        <w:t xml:space="preserve"> for Higher Education Policy Studies, </w:t>
      </w:r>
      <w:proofErr w:type="spellStart"/>
      <w:r w:rsidRPr="00182391">
        <w:t>Enschede</w:t>
      </w:r>
      <w:proofErr w:type="spellEnd"/>
      <w:r w:rsidRPr="00182391">
        <w:t>.</w:t>
      </w:r>
      <w:proofErr w:type="gramEnd"/>
    </w:p>
    <w:p w:rsidR="00A46CB0" w:rsidRDefault="00A46CB0" w:rsidP="00A46CB0"/>
    <w:p w:rsidR="00A46CB0" w:rsidRDefault="00A46CB0" w:rsidP="00A46CB0">
      <w:pPr>
        <w:ind w:left="720" w:hanging="720"/>
        <w:jc w:val="both"/>
      </w:pPr>
      <w:r>
        <w:t>Kennedy, E. J., Lawton, L., &amp; Walker, E. (2001), “The Case for Using Live Case Studies: Shifting the Paradigm in Marketing Education”, Journal of Marketing Education, Vol. 23, No. 2, pp.145-151.</w:t>
      </w:r>
    </w:p>
    <w:p w:rsidR="00A46CB0" w:rsidRDefault="00A46CB0" w:rsidP="00A46CB0">
      <w:pPr>
        <w:ind w:left="720" w:hanging="720"/>
        <w:jc w:val="both"/>
      </w:pPr>
    </w:p>
    <w:p w:rsidR="00A46CB0" w:rsidRDefault="00A46CB0" w:rsidP="00A46CB0">
      <w:pPr>
        <w:ind w:left="720" w:hanging="720"/>
        <w:jc w:val="both"/>
      </w:pPr>
      <w:proofErr w:type="spellStart"/>
      <w:proofErr w:type="gramStart"/>
      <w:r>
        <w:t>Küster</w:t>
      </w:r>
      <w:proofErr w:type="spellEnd"/>
      <w:r>
        <w:t>, I. and Vila, N. (2006), “A comparison of teaching methods in North American and European universities”, Marketing Intelligence and Planning, Vol. 24, No. 3, pp.319-331.</w:t>
      </w:r>
      <w:proofErr w:type="gramEnd"/>
    </w:p>
    <w:p w:rsidR="00A46CB0" w:rsidRDefault="00A46CB0" w:rsidP="00A46CB0">
      <w:pPr>
        <w:ind w:left="720" w:hanging="720"/>
        <w:jc w:val="both"/>
      </w:pPr>
    </w:p>
    <w:p w:rsidR="00A46CB0" w:rsidRDefault="00A46CB0" w:rsidP="00A46CB0">
      <w:pPr>
        <w:ind w:left="720" w:hanging="720"/>
        <w:jc w:val="both"/>
      </w:pPr>
      <w:proofErr w:type="gramStart"/>
      <w:r>
        <w:t xml:space="preserve">Kumar, R., &amp; </w:t>
      </w:r>
      <w:proofErr w:type="spellStart"/>
      <w:r>
        <w:t>Usunier</w:t>
      </w:r>
      <w:proofErr w:type="spellEnd"/>
      <w:r>
        <w:t>, J.-C.</w:t>
      </w:r>
      <w:proofErr w:type="gramEnd"/>
      <w:r>
        <w:t xml:space="preserve"> </w:t>
      </w:r>
      <w:proofErr w:type="gramStart"/>
      <w:r>
        <w:t>(2001). Management Education in a Globalizing World.</w:t>
      </w:r>
      <w:proofErr w:type="gramEnd"/>
      <w:r>
        <w:t xml:space="preserve"> </w:t>
      </w:r>
      <w:proofErr w:type="gramStart"/>
      <w:r>
        <w:t>Lessons from French Experience.</w:t>
      </w:r>
      <w:proofErr w:type="gramEnd"/>
      <w:r>
        <w:t xml:space="preserve"> Management Learning, Vol. 32, No. 3, pp. 363-391.</w:t>
      </w:r>
    </w:p>
    <w:p w:rsidR="00A46CB0" w:rsidRDefault="00A46CB0" w:rsidP="00A46CB0">
      <w:pPr>
        <w:ind w:left="720" w:hanging="720"/>
        <w:jc w:val="both"/>
      </w:pPr>
    </w:p>
    <w:p w:rsidR="00A46CB0" w:rsidRDefault="00A46CB0" w:rsidP="00A46CB0">
      <w:pPr>
        <w:ind w:left="720" w:hanging="720"/>
        <w:jc w:val="both"/>
      </w:pPr>
      <w:r>
        <w:t>Lawrence, R. (1970), “Management development as a continuous process: The role of post-graduate and post-experience marketing courses”, Journal of Management Studies, Vol. 7, No.1, pp.45-60.</w:t>
      </w:r>
    </w:p>
    <w:p w:rsidR="00A46CB0" w:rsidRDefault="00A46CB0" w:rsidP="00A46CB0">
      <w:pPr>
        <w:ind w:left="720" w:hanging="720"/>
        <w:jc w:val="both"/>
      </w:pPr>
    </w:p>
    <w:p w:rsidR="00A46CB0" w:rsidRDefault="00A46CB0" w:rsidP="00A46CB0">
      <w:pPr>
        <w:ind w:left="720" w:hanging="720"/>
        <w:jc w:val="both"/>
      </w:pPr>
      <w:r>
        <w:t xml:space="preserve">Mason, J. B. (1990). </w:t>
      </w:r>
      <w:proofErr w:type="gramStart"/>
      <w:r>
        <w:t>Improving Marketing Education in the 1990s - A Dean's Perspective.</w:t>
      </w:r>
      <w:proofErr w:type="gramEnd"/>
      <w:r>
        <w:t xml:space="preserve"> </w:t>
      </w:r>
      <w:proofErr w:type="gramStart"/>
      <w:r>
        <w:t>Marketing Education Review, Vol. 1, November, pp. 10-22.</w:t>
      </w:r>
      <w:proofErr w:type="gramEnd"/>
    </w:p>
    <w:p w:rsidR="00793EBB" w:rsidRDefault="00793EBB" w:rsidP="00A46CB0">
      <w:pPr>
        <w:ind w:left="720" w:hanging="720"/>
        <w:jc w:val="both"/>
      </w:pPr>
    </w:p>
    <w:p w:rsidR="00793EBB" w:rsidRDefault="00793EBB" w:rsidP="00A46CB0">
      <w:pPr>
        <w:ind w:left="720" w:hanging="720"/>
        <w:jc w:val="both"/>
      </w:pPr>
      <w:r>
        <w:t xml:space="preserve">Matthews, D. (2013) </w:t>
      </w:r>
      <w:r w:rsidRPr="00793EBB">
        <w:t>Insurance against UK Border raids 'essential'</w:t>
      </w:r>
      <w:r>
        <w:t xml:space="preserve"> </w:t>
      </w:r>
      <w:r w:rsidRPr="00BC3ADE">
        <w:rPr>
          <w:i/>
        </w:rPr>
        <w:t>Times Higher Education</w:t>
      </w:r>
      <w:r>
        <w:t>, 3</w:t>
      </w:r>
      <w:r w:rsidRPr="00BC3ADE">
        <w:rPr>
          <w:vertAlign w:val="superscript"/>
        </w:rPr>
        <w:t>rd</w:t>
      </w:r>
      <w:r>
        <w:t xml:space="preserve"> January</w:t>
      </w:r>
    </w:p>
    <w:p w:rsidR="00A46CB0" w:rsidRDefault="00A46CB0" w:rsidP="00A46CB0">
      <w:pPr>
        <w:ind w:left="720" w:hanging="720"/>
        <w:jc w:val="both"/>
      </w:pPr>
    </w:p>
    <w:p w:rsidR="00A46CB0" w:rsidRDefault="00A46CB0" w:rsidP="00A46CB0">
      <w:pPr>
        <w:ind w:left="720" w:hanging="720"/>
        <w:jc w:val="both"/>
      </w:pPr>
      <w:proofErr w:type="spellStart"/>
      <w:proofErr w:type="gramStart"/>
      <w:r>
        <w:t>Mazzarol</w:t>
      </w:r>
      <w:proofErr w:type="spellEnd"/>
      <w:r>
        <w:t xml:space="preserve">, T. and </w:t>
      </w:r>
      <w:proofErr w:type="spellStart"/>
      <w:r>
        <w:t>Soutar</w:t>
      </w:r>
      <w:proofErr w:type="spellEnd"/>
      <w:r>
        <w:t>, G.N. (2002), “Push-pull factors influencing international student destination choice”, The International Journal of Educational Management, Vol. 16, No.2, pp.82-90.</w:t>
      </w:r>
      <w:proofErr w:type="gramEnd"/>
    </w:p>
    <w:p w:rsidR="00A46CB0" w:rsidRDefault="00A46CB0" w:rsidP="00A46CB0">
      <w:pPr>
        <w:ind w:left="720" w:hanging="720"/>
        <w:jc w:val="both"/>
      </w:pPr>
    </w:p>
    <w:p w:rsidR="00A46CB0" w:rsidRDefault="00A46CB0" w:rsidP="00A46CB0">
      <w:pPr>
        <w:ind w:left="720" w:hanging="720"/>
        <w:jc w:val="both"/>
      </w:pPr>
      <w:r>
        <w:t xml:space="preserve">McKenzie, C.J., Wright, S., Ball, D.F and Baron, P.J. </w:t>
      </w:r>
      <w:r w:rsidR="006B2B27">
        <w:t xml:space="preserve">(2002) </w:t>
      </w:r>
      <w:proofErr w:type="gramStart"/>
      <w:r>
        <w:t>The</w:t>
      </w:r>
      <w:proofErr w:type="gramEnd"/>
      <w:r>
        <w:t xml:space="preserve"> publications of marketing faculty, who are we really talking to? European Journal of Marketing, Vol. 36, No. 11/1, pp. 1196-1208.</w:t>
      </w:r>
    </w:p>
    <w:p w:rsidR="00A46CB0" w:rsidRDefault="00A46CB0" w:rsidP="00A46CB0">
      <w:pPr>
        <w:ind w:left="720" w:hanging="720"/>
        <w:jc w:val="both"/>
      </w:pPr>
    </w:p>
    <w:p w:rsidR="00A46CB0" w:rsidRDefault="00A46CB0" w:rsidP="00A46CB0">
      <w:pPr>
        <w:ind w:left="720" w:hanging="720"/>
        <w:jc w:val="both"/>
      </w:pPr>
      <w:proofErr w:type="spellStart"/>
      <w:r>
        <w:t>Meidan</w:t>
      </w:r>
      <w:proofErr w:type="spellEnd"/>
      <w:r>
        <w:t>, A. (1977), “Smallest Space Analysis of Students’ Attitudes on Marketing Education”, European Journal of Marketing, Vol. 11, No.1, pp. xx-xx</w:t>
      </w:r>
    </w:p>
    <w:p w:rsidR="00A46CB0" w:rsidRDefault="00A46CB0" w:rsidP="00A46CB0">
      <w:pPr>
        <w:ind w:left="720" w:hanging="720"/>
        <w:jc w:val="both"/>
      </w:pPr>
    </w:p>
    <w:p w:rsidR="00A46CB0" w:rsidRDefault="00A46CB0" w:rsidP="00A46CB0">
      <w:pPr>
        <w:ind w:left="720" w:hanging="720"/>
        <w:jc w:val="both"/>
      </w:pPr>
      <w:proofErr w:type="gramStart"/>
      <w:r>
        <w:t>Monks, K. and Walsh, J.S. (2001), “The Role of postgraduate education in management development”, Journal of European Industrial Training, Vol. 25, No. 2/3/4, pp.148-156.</w:t>
      </w:r>
      <w:proofErr w:type="gramEnd"/>
    </w:p>
    <w:p w:rsidR="00A46CB0" w:rsidRDefault="00A46CB0" w:rsidP="00A46CB0">
      <w:pPr>
        <w:ind w:left="720" w:hanging="720"/>
        <w:jc w:val="both"/>
      </w:pPr>
    </w:p>
    <w:p w:rsidR="00A46CB0" w:rsidRDefault="00A46CB0" w:rsidP="00A46CB0">
      <w:pPr>
        <w:ind w:left="720" w:hanging="720"/>
        <w:jc w:val="both"/>
      </w:pPr>
      <w:proofErr w:type="spellStart"/>
      <w:r>
        <w:t>Monye</w:t>
      </w:r>
      <w:proofErr w:type="spellEnd"/>
      <w:r>
        <w:t>, S.O. (1995), “Research note international marketing management: a separate academic discipline?</w:t>
      </w:r>
      <w:proofErr w:type="gramStart"/>
      <w:r>
        <w:t>”,</w:t>
      </w:r>
      <w:proofErr w:type="gramEnd"/>
      <w:r>
        <w:t xml:space="preserve"> International Marketing Review, Vol. 12, No.3, pp.5-14.</w:t>
      </w:r>
    </w:p>
    <w:p w:rsidR="00A46CB0" w:rsidRDefault="00A46CB0" w:rsidP="00A46CB0">
      <w:pPr>
        <w:ind w:left="720" w:hanging="720"/>
        <w:jc w:val="both"/>
      </w:pPr>
    </w:p>
    <w:p w:rsidR="00A46CB0" w:rsidRDefault="00A46CB0" w:rsidP="00A46CB0">
      <w:pPr>
        <w:ind w:left="720" w:hanging="720"/>
        <w:jc w:val="both"/>
      </w:pPr>
      <w:proofErr w:type="spellStart"/>
      <w:proofErr w:type="gramStart"/>
      <w:r>
        <w:t>Narayandas</w:t>
      </w:r>
      <w:proofErr w:type="spellEnd"/>
      <w:r>
        <w:t xml:space="preserve">, N., </w:t>
      </w:r>
      <w:proofErr w:type="spellStart"/>
      <w:r>
        <w:t>Rangan</w:t>
      </w:r>
      <w:proofErr w:type="spellEnd"/>
      <w:r>
        <w:t xml:space="preserve">, V. K., &amp; </w:t>
      </w:r>
      <w:proofErr w:type="spellStart"/>
      <w:r>
        <w:t>Zaltman</w:t>
      </w:r>
      <w:proofErr w:type="spellEnd"/>
      <w:r>
        <w:t>, G. (1998), “The Pedagogy of Executive Education in Business Markets”, Journal of Business-to-Business Marketing, Vol.5, No.1/2, pp.41-64.</w:t>
      </w:r>
      <w:proofErr w:type="gramEnd"/>
    </w:p>
    <w:p w:rsidR="00A46CB0" w:rsidRDefault="00A46CB0" w:rsidP="00A46CB0">
      <w:pPr>
        <w:ind w:left="720" w:hanging="720"/>
        <w:jc w:val="both"/>
      </w:pPr>
    </w:p>
    <w:p w:rsidR="00A46CB0" w:rsidRDefault="00A46CB0" w:rsidP="00A46CB0">
      <w:pPr>
        <w:ind w:left="720" w:hanging="720"/>
        <w:jc w:val="both"/>
      </w:pPr>
      <w:proofErr w:type="spellStart"/>
      <w:proofErr w:type="gramStart"/>
      <w:r>
        <w:t>Narayandas</w:t>
      </w:r>
      <w:proofErr w:type="spellEnd"/>
      <w:r>
        <w:t xml:space="preserve">, N., </w:t>
      </w:r>
      <w:proofErr w:type="spellStart"/>
      <w:r>
        <w:t>Rangan</w:t>
      </w:r>
      <w:proofErr w:type="spellEnd"/>
      <w:r>
        <w:t xml:space="preserve">, V. K., &amp; </w:t>
      </w:r>
      <w:proofErr w:type="spellStart"/>
      <w:r>
        <w:t>Zaltman</w:t>
      </w:r>
      <w:proofErr w:type="spellEnd"/>
      <w:r>
        <w:t>, G. (1998).</w:t>
      </w:r>
      <w:proofErr w:type="gramEnd"/>
      <w:r>
        <w:t xml:space="preserve"> </w:t>
      </w:r>
      <w:proofErr w:type="gramStart"/>
      <w:r>
        <w:t>The Pedagogy of Executive Education in Business Markets.</w:t>
      </w:r>
      <w:proofErr w:type="gramEnd"/>
      <w:r>
        <w:t xml:space="preserve"> Journal of Business-to-Business Marketing, Vol. 5, No.1/2, pp. 41-64.</w:t>
      </w:r>
    </w:p>
    <w:p w:rsidR="00A46CB0" w:rsidRDefault="00A46CB0" w:rsidP="00A46CB0">
      <w:pPr>
        <w:ind w:left="720" w:hanging="720"/>
        <w:jc w:val="both"/>
      </w:pPr>
    </w:p>
    <w:p w:rsidR="00A46CB0" w:rsidRDefault="00A46CB0" w:rsidP="00A46CB0">
      <w:pPr>
        <w:ind w:left="720" w:hanging="720"/>
        <w:jc w:val="both"/>
      </w:pPr>
      <w:proofErr w:type="spellStart"/>
      <w:proofErr w:type="gramStart"/>
      <w:r>
        <w:lastRenderedPageBreak/>
        <w:t>O’Driscoll</w:t>
      </w:r>
      <w:proofErr w:type="spellEnd"/>
      <w:r>
        <w:t>, A., &amp; Murray, J. A. (1998).</w:t>
      </w:r>
      <w:proofErr w:type="gramEnd"/>
      <w:r>
        <w:t xml:space="preserve"> The changing nature of theory and practice in marketing: on the value of synchrony. Journal of Marketing Management, Vol. 14, No. 5, pp. 391-416.</w:t>
      </w:r>
    </w:p>
    <w:p w:rsidR="00A46CB0" w:rsidRDefault="00A46CB0" w:rsidP="00A46CB0">
      <w:pPr>
        <w:ind w:left="720" w:hanging="720"/>
        <w:jc w:val="both"/>
      </w:pPr>
    </w:p>
    <w:p w:rsidR="00A46CB0" w:rsidRDefault="00A46CB0" w:rsidP="00A46CB0">
      <w:pPr>
        <w:ind w:left="720" w:hanging="720"/>
        <w:jc w:val="both"/>
      </w:pPr>
      <w:proofErr w:type="gramStart"/>
      <w:r>
        <w:t>Okazaki-Ward, L.I. (2001), “MBA education in Japan”, Journal of Management Development, Vol. 20, No.3, pp.197-234.</w:t>
      </w:r>
      <w:proofErr w:type="gramEnd"/>
    </w:p>
    <w:p w:rsidR="00A46CB0" w:rsidRDefault="00A46CB0" w:rsidP="00A46CB0">
      <w:pPr>
        <w:ind w:left="720" w:hanging="720"/>
        <w:jc w:val="both"/>
      </w:pPr>
    </w:p>
    <w:p w:rsidR="00A46CB0" w:rsidRDefault="00A46CB0" w:rsidP="00A46CB0">
      <w:pPr>
        <w:ind w:left="720" w:hanging="720"/>
        <w:jc w:val="both"/>
      </w:pPr>
      <w:r>
        <w:t xml:space="preserve">Palmer, R., &amp; </w:t>
      </w:r>
      <w:proofErr w:type="spellStart"/>
      <w:r>
        <w:t>Millier</w:t>
      </w:r>
      <w:proofErr w:type="spellEnd"/>
      <w:r>
        <w:t xml:space="preserve">, P. (2000). </w:t>
      </w:r>
      <w:proofErr w:type="gramStart"/>
      <w:r>
        <w:t>A European Perspective of the Needs of Business to Business Marketers.</w:t>
      </w:r>
      <w:proofErr w:type="gramEnd"/>
      <w:r>
        <w:t xml:space="preserve"> Paper presented at the 2000 Business Marketing Faculty Consortium, </w:t>
      </w:r>
      <w:proofErr w:type="spellStart"/>
      <w:r>
        <w:t>Northwestern</w:t>
      </w:r>
      <w:proofErr w:type="spellEnd"/>
      <w:r>
        <w:t xml:space="preserve"> University, </w:t>
      </w:r>
      <w:proofErr w:type="gramStart"/>
      <w:r>
        <w:t>Evanston</w:t>
      </w:r>
      <w:proofErr w:type="gramEnd"/>
      <w:r>
        <w:t xml:space="preserve"> IL.</w:t>
      </w:r>
    </w:p>
    <w:p w:rsidR="00A46CB0" w:rsidRDefault="00A46CB0" w:rsidP="00A46CB0">
      <w:pPr>
        <w:ind w:left="720" w:hanging="720"/>
        <w:jc w:val="both"/>
      </w:pPr>
    </w:p>
    <w:p w:rsidR="00A46CB0" w:rsidRDefault="00A46CB0" w:rsidP="00A46CB0">
      <w:r>
        <w:t xml:space="preserve">Paul, J. (2007). </w:t>
      </w:r>
      <w:proofErr w:type="spellStart"/>
      <w:r>
        <w:rPr>
          <w:i/>
        </w:rPr>
        <w:t>Economie</w:t>
      </w:r>
      <w:proofErr w:type="spellEnd"/>
      <w:r>
        <w:rPr>
          <w:i/>
        </w:rPr>
        <w:t xml:space="preserve"> de </w:t>
      </w:r>
      <w:proofErr w:type="spellStart"/>
      <w:r>
        <w:rPr>
          <w:i/>
        </w:rPr>
        <w:t>l’Education</w:t>
      </w:r>
      <w:proofErr w:type="spellEnd"/>
      <w:r>
        <w:t>, Armand Collin.</w:t>
      </w:r>
    </w:p>
    <w:p w:rsidR="00A46CB0" w:rsidRDefault="00A46CB0" w:rsidP="00A46CB0"/>
    <w:p w:rsidR="00A46CB0" w:rsidRDefault="00A46CB0" w:rsidP="00A46CB0">
      <w:pPr>
        <w:ind w:left="720" w:hanging="720"/>
        <w:jc w:val="both"/>
      </w:pPr>
      <w:proofErr w:type="gramStart"/>
      <w:r>
        <w:t>Prince, C., and Stewart, J. (2000), “The dynamics of the corporate education market and the role of business schools”, Journal of Management Development, Vol. 19, No.3, pp.207-219.</w:t>
      </w:r>
      <w:proofErr w:type="gramEnd"/>
    </w:p>
    <w:p w:rsidR="00A46CB0" w:rsidRDefault="00A46CB0" w:rsidP="00A46CB0">
      <w:pPr>
        <w:ind w:left="720" w:hanging="720"/>
        <w:jc w:val="both"/>
      </w:pPr>
    </w:p>
    <w:p w:rsidR="00A46CB0" w:rsidRDefault="00A46CB0" w:rsidP="00A46CB0">
      <w:pPr>
        <w:ind w:left="720" w:hanging="720"/>
        <w:jc w:val="both"/>
      </w:pPr>
      <w:proofErr w:type="spellStart"/>
      <w:r>
        <w:t>Ramocki</w:t>
      </w:r>
      <w:proofErr w:type="spellEnd"/>
      <w:r>
        <w:t xml:space="preserve">, S. P. (1996). </w:t>
      </w:r>
      <w:proofErr w:type="gramStart"/>
      <w:r>
        <w:t>Developing Creative Marketing Graduates.</w:t>
      </w:r>
      <w:proofErr w:type="gramEnd"/>
      <w:r>
        <w:t xml:space="preserve"> </w:t>
      </w:r>
      <w:proofErr w:type="gramStart"/>
      <w:r>
        <w:t>Marketing Education Review, Vol.</w:t>
      </w:r>
      <w:proofErr w:type="gramEnd"/>
      <w:r>
        <w:t xml:space="preserve">  6</w:t>
      </w:r>
      <w:proofErr w:type="gramStart"/>
      <w:r>
        <w:t>,  No</w:t>
      </w:r>
      <w:proofErr w:type="gramEnd"/>
      <w:r>
        <w:t>. 1, pp. 47-53.</w:t>
      </w:r>
    </w:p>
    <w:p w:rsidR="006B2B27" w:rsidRDefault="006B2B27" w:rsidP="00A46CB0">
      <w:pPr>
        <w:ind w:left="720" w:hanging="720"/>
        <w:jc w:val="both"/>
      </w:pPr>
    </w:p>
    <w:p w:rsidR="006B2B27" w:rsidRDefault="006B2B27" w:rsidP="00A46CB0">
      <w:pPr>
        <w:ind w:left="720" w:hanging="720"/>
        <w:jc w:val="both"/>
      </w:pPr>
      <w:proofErr w:type="spellStart"/>
      <w:r w:rsidRPr="006B2B27">
        <w:t>Resnick</w:t>
      </w:r>
      <w:proofErr w:type="spellEnd"/>
      <w:r w:rsidRPr="006B2B27">
        <w:t xml:space="preserve">, S., Cheng, R. </w:t>
      </w:r>
      <w:proofErr w:type="spellStart"/>
      <w:r w:rsidRPr="006B2B27">
        <w:t>Brindley</w:t>
      </w:r>
      <w:proofErr w:type="spellEnd"/>
      <w:r w:rsidRPr="006B2B27">
        <w:t xml:space="preserve">, C. </w:t>
      </w:r>
      <w:proofErr w:type="gramStart"/>
      <w:r w:rsidRPr="006B2B27">
        <w:t>and  Foster</w:t>
      </w:r>
      <w:proofErr w:type="gramEnd"/>
      <w:r w:rsidRPr="006B2B27">
        <w:t xml:space="preserve">, C. (2011) "Aligning teaching and practice: a study of SME marketing", Journal of Research in Marketing and Entrepreneurship, Vol. 13 </w:t>
      </w:r>
      <w:proofErr w:type="spellStart"/>
      <w:r w:rsidRPr="006B2B27">
        <w:t>Iss</w:t>
      </w:r>
      <w:proofErr w:type="spellEnd"/>
      <w:r w:rsidRPr="006B2B27">
        <w:t>: 1, pp.37 – 46</w:t>
      </w:r>
    </w:p>
    <w:p w:rsidR="00A46CB0" w:rsidRDefault="00A46CB0" w:rsidP="00A46CB0">
      <w:pPr>
        <w:ind w:left="720" w:hanging="720"/>
        <w:jc w:val="both"/>
      </w:pPr>
    </w:p>
    <w:p w:rsidR="000D4AAF" w:rsidRDefault="000D4AAF" w:rsidP="00A46CB0">
      <w:pPr>
        <w:ind w:left="720" w:hanging="720"/>
        <w:jc w:val="both"/>
      </w:pPr>
      <w:proofErr w:type="gramStart"/>
      <w:r w:rsidRPr="000D4AAF">
        <w:t xml:space="preserve">Scherer, R. F., </w:t>
      </w:r>
      <w:proofErr w:type="spellStart"/>
      <w:r w:rsidRPr="000D4AAF">
        <w:t>Javalgi</w:t>
      </w:r>
      <w:proofErr w:type="spellEnd"/>
      <w:r w:rsidRPr="000D4AAF">
        <w:t xml:space="preserve">, R. G., Bryant, M. and </w:t>
      </w:r>
      <w:proofErr w:type="spellStart"/>
      <w:r w:rsidRPr="000D4AAF">
        <w:t>Tukel</w:t>
      </w:r>
      <w:proofErr w:type="spellEnd"/>
      <w:r w:rsidRPr="000D4AAF">
        <w:t>, O. (2005), Challenges of AACSB international accreditation for business schools in the United States and Europe.</w:t>
      </w:r>
      <w:proofErr w:type="gramEnd"/>
      <w:r w:rsidRPr="000D4AAF">
        <w:t xml:space="preserve"> Thunderbird Int'l Bus Rev, 47: 651–669.</w:t>
      </w:r>
    </w:p>
    <w:p w:rsidR="00A46CB0" w:rsidRDefault="00A46CB0" w:rsidP="00A46CB0">
      <w:pPr>
        <w:ind w:left="720" w:hanging="720"/>
        <w:jc w:val="both"/>
      </w:pPr>
    </w:p>
    <w:p w:rsidR="00A46CB0" w:rsidRDefault="00A46CB0" w:rsidP="00A46CB0">
      <w:pPr>
        <w:ind w:left="720" w:hanging="720"/>
        <w:jc w:val="both"/>
      </w:pPr>
      <w:proofErr w:type="spellStart"/>
      <w:proofErr w:type="gramStart"/>
      <w:r>
        <w:t>Shuptrine</w:t>
      </w:r>
      <w:proofErr w:type="spellEnd"/>
      <w:r>
        <w:t xml:space="preserve">, F. K., &amp; </w:t>
      </w:r>
      <w:proofErr w:type="spellStart"/>
      <w:r>
        <w:t>Willenborg</w:t>
      </w:r>
      <w:proofErr w:type="spellEnd"/>
      <w:r>
        <w:t>, J. F. (1998), “Job Experience for Marketing Graduates - Implications for University Education”, Marketing Education Review, Vol. 8, No.1, pp.1-11.</w:t>
      </w:r>
      <w:proofErr w:type="gramEnd"/>
    </w:p>
    <w:p w:rsidR="00A46CB0" w:rsidRDefault="00A46CB0" w:rsidP="00A46CB0">
      <w:pPr>
        <w:ind w:left="720" w:hanging="720"/>
        <w:jc w:val="both"/>
      </w:pPr>
    </w:p>
    <w:p w:rsidR="00A46CB0" w:rsidRDefault="00A46CB0" w:rsidP="00A46CB0">
      <w:pPr>
        <w:ind w:left="720" w:hanging="720"/>
        <w:jc w:val="both"/>
      </w:pPr>
      <w:proofErr w:type="gramStart"/>
      <w:r>
        <w:t xml:space="preserve">Starkey, K., &amp; </w:t>
      </w:r>
      <w:proofErr w:type="spellStart"/>
      <w:r>
        <w:t>Madan</w:t>
      </w:r>
      <w:proofErr w:type="spellEnd"/>
      <w:r>
        <w:t>, P. (2001).</w:t>
      </w:r>
      <w:proofErr w:type="gramEnd"/>
      <w:r>
        <w:t xml:space="preserve"> Bridging the Relevance Gap: Aligning Stakeholders in the Future of Management Research. </w:t>
      </w:r>
      <w:proofErr w:type="gramStart"/>
      <w:r>
        <w:t>British Journal of Management, Vol. 12, Special Issue, S3-S26.</w:t>
      </w:r>
      <w:proofErr w:type="gramEnd"/>
    </w:p>
    <w:p w:rsidR="00A46CB0" w:rsidRDefault="00A46CB0" w:rsidP="00A46CB0">
      <w:pPr>
        <w:ind w:left="720" w:hanging="720"/>
        <w:jc w:val="both"/>
      </w:pPr>
    </w:p>
    <w:p w:rsidR="00A46CB0" w:rsidRDefault="00A46CB0" w:rsidP="00A46CB0">
      <w:pPr>
        <w:ind w:left="720" w:hanging="720"/>
        <w:jc w:val="both"/>
      </w:pPr>
      <w:proofErr w:type="spellStart"/>
      <w:r>
        <w:t>Stringfellow</w:t>
      </w:r>
      <w:proofErr w:type="spellEnd"/>
      <w:r>
        <w:t>, S., Brennan, R., Ennis, S. and Harker, M.J. (2006) “Mind the Gap: The Relevance of Marketing Education to Marketing Practice” Marketing Intelligence and Planning, Vol. 24, No.4 245- 256</w:t>
      </w:r>
    </w:p>
    <w:p w:rsidR="00A46CB0" w:rsidRDefault="00A46CB0" w:rsidP="00A46CB0">
      <w:pPr>
        <w:ind w:left="720" w:hanging="720"/>
        <w:jc w:val="both"/>
      </w:pPr>
    </w:p>
    <w:p w:rsidR="00A46CB0" w:rsidRDefault="00A46CB0" w:rsidP="00A46CB0">
      <w:pPr>
        <w:ind w:left="720" w:hanging="720"/>
        <w:jc w:val="both"/>
      </w:pPr>
      <w:r>
        <w:t xml:space="preserve">Titus, P. A. (2000). </w:t>
      </w:r>
      <w:proofErr w:type="gramStart"/>
      <w:r>
        <w:t>Marketing and the Creative Problem-Solving Process.</w:t>
      </w:r>
      <w:proofErr w:type="gramEnd"/>
      <w:r>
        <w:t xml:space="preserve"> Journal of Marketing Education, Vol. 22, No. 3, pp. 225-235.</w:t>
      </w:r>
    </w:p>
    <w:p w:rsidR="00D25C36" w:rsidRDefault="00D25C36" w:rsidP="00A46CB0">
      <w:pPr>
        <w:ind w:left="720" w:hanging="720"/>
        <w:jc w:val="both"/>
      </w:pPr>
    </w:p>
    <w:p w:rsidR="00D25C36" w:rsidRDefault="00D25C36" w:rsidP="00A46CB0">
      <w:pPr>
        <w:ind w:left="720" w:hanging="720"/>
        <w:jc w:val="both"/>
      </w:pPr>
      <w:proofErr w:type="spellStart"/>
      <w:r w:rsidRPr="00D25C36">
        <w:t>Tregear</w:t>
      </w:r>
      <w:proofErr w:type="spellEnd"/>
      <w:r w:rsidRPr="00D25C36">
        <w:t>, A. Dobson, S</w:t>
      </w:r>
      <w:proofErr w:type="gramStart"/>
      <w:r w:rsidRPr="00D25C36">
        <w:t>. ,</w:t>
      </w:r>
      <w:proofErr w:type="gramEnd"/>
      <w:r w:rsidRPr="00D25C36">
        <w:t xml:space="preserve"> Brennan, M. and Sharron </w:t>
      </w:r>
      <w:proofErr w:type="spellStart"/>
      <w:r w:rsidRPr="00D25C36">
        <w:t>Kuznesof</w:t>
      </w:r>
      <w:proofErr w:type="spellEnd"/>
      <w:r w:rsidRPr="00D25C36">
        <w:t>, S.  (2010) "Critically divided</w:t>
      </w:r>
      <w:proofErr w:type="gramStart"/>
      <w:r w:rsidRPr="00D25C36">
        <w:t>?:</w:t>
      </w:r>
      <w:proofErr w:type="gramEnd"/>
      <w:r w:rsidRPr="00D25C36">
        <w:t xml:space="preserve"> How marketing educators perceive undergraduate programmes in the UK", European Journal of Marketing, Vol. 44 </w:t>
      </w:r>
      <w:proofErr w:type="spellStart"/>
      <w:r w:rsidRPr="00D25C36">
        <w:t>Iss</w:t>
      </w:r>
      <w:proofErr w:type="spellEnd"/>
      <w:r w:rsidRPr="00D25C36">
        <w:t>: 1/2, pp.66 – 86</w:t>
      </w:r>
    </w:p>
    <w:p w:rsidR="00A46CB0" w:rsidRDefault="00A46CB0" w:rsidP="00A46CB0">
      <w:pPr>
        <w:ind w:left="720" w:hanging="720"/>
        <w:jc w:val="both"/>
      </w:pPr>
    </w:p>
    <w:p w:rsidR="00A46CB0" w:rsidRDefault="00A46CB0" w:rsidP="00A46CB0">
      <w:pPr>
        <w:ind w:left="720" w:hanging="720"/>
        <w:jc w:val="both"/>
      </w:pPr>
      <w:proofErr w:type="spellStart"/>
      <w:proofErr w:type="gramStart"/>
      <w:r>
        <w:t>Ulhøi</w:t>
      </w:r>
      <w:proofErr w:type="spellEnd"/>
      <w:r>
        <w:t>, J.P. (2005), “Postgraduate education in Europe”, International Journal of Educational Management, Vol. 19, No.4, pp.347-358.</w:t>
      </w:r>
      <w:proofErr w:type="gramEnd"/>
    </w:p>
    <w:p w:rsidR="00A46CB0" w:rsidRDefault="00A46CB0" w:rsidP="00A46CB0">
      <w:pPr>
        <w:ind w:left="720" w:hanging="720"/>
        <w:jc w:val="both"/>
      </w:pPr>
    </w:p>
    <w:p w:rsidR="00A46CB0" w:rsidRDefault="00A46CB0" w:rsidP="00A46CB0">
      <w:pPr>
        <w:ind w:left="720" w:hanging="720"/>
        <w:jc w:val="both"/>
      </w:pPr>
      <w:proofErr w:type="spellStart"/>
      <w:r>
        <w:lastRenderedPageBreak/>
        <w:t>Vignali</w:t>
      </w:r>
      <w:proofErr w:type="spellEnd"/>
      <w:r>
        <w:t>, C. and Jones, P. (1995), “Developing a postgraduate programme for a company’s sales management workforce”, Industrial and Commercial Training, Vol.27, No.6, pp.15-20.</w:t>
      </w:r>
    </w:p>
    <w:p w:rsidR="00A46CB0" w:rsidRDefault="00A46CB0" w:rsidP="00A46CB0">
      <w:pPr>
        <w:ind w:left="720" w:hanging="720"/>
        <w:jc w:val="both"/>
      </w:pPr>
    </w:p>
    <w:p w:rsidR="00A46CB0" w:rsidRDefault="00A46CB0" w:rsidP="00A46CB0">
      <w:pPr>
        <w:ind w:left="720" w:hanging="720"/>
        <w:jc w:val="both"/>
      </w:pPr>
      <w:r>
        <w:t xml:space="preserve">Wilson, E. (1998). Commentary on: 'The Pedagogy of Executive Education in Business Markets', by </w:t>
      </w:r>
      <w:proofErr w:type="spellStart"/>
      <w:r>
        <w:t>Narakessari</w:t>
      </w:r>
      <w:proofErr w:type="spellEnd"/>
      <w:r>
        <w:t xml:space="preserve"> </w:t>
      </w:r>
      <w:proofErr w:type="spellStart"/>
      <w:r>
        <w:t>Narayandas</w:t>
      </w:r>
      <w:proofErr w:type="spellEnd"/>
      <w:r>
        <w:t xml:space="preserve"> and Gerald </w:t>
      </w:r>
      <w:proofErr w:type="spellStart"/>
      <w:r>
        <w:t>Zaltman</w:t>
      </w:r>
      <w:proofErr w:type="spellEnd"/>
      <w:r>
        <w:t xml:space="preserve">. </w:t>
      </w:r>
      <w:proofErr w:type="gramStart"/>
      <w:r>
        <w:t>Journal of Business-to-Business Marketing, Vol. 5, No.1/2, pp.65-70.</w:t>
      </w:r>
      <w:proofErr w:type="gramEnd"/>
    </w:p>
    <w:p w:rsidR="007B4A1E" w:rsidRDefault="007B4A1E" w:rsidP="00A46CB0">
      <w:pPr>
        <w:ind w:left="720" w:hanging="720"/>
        <w:jc w:val="both"/>
      </w:pPr>
    </w:p>
    <w:p w:rsidR="007B4A1E" w:rsidRDefault="007B4A1E" w:rsidP="00A46CB0">
      <w:pPr>
        <w:ind w:left="720" w:hanging="720"/>
        <w:jc w:val="both"/>
      </w:pPr>
      <w:r w:rsidRPr="007B4A1E">
        <w:t xml:space="preserve">Witte, J., van der </w:t>
      </w:r>
      <w:proofErr w:type="spellStart"/>
      <w:r w:rsidRPr="007B4A1E">
        <w:t>Wende</w:t>
      </w:r>
      <w:proofErr w:type="spellEnd"/>
      <w:r w:rsidRPr="007B4A1E">
        <w:t xml:space="preserve">, M., </w:t>
      </w:r>
      <w:proofErr w:type="spellStart"/>
      <w:r w:rsidRPr="007B4A1E">
        <w:t>Huisman</w:t>
      </w:r>
      <w:proofErr w:type="spellEnd"/>
      <w:r w:rsidRPr="007B4A1E">
        <w:t xml:space="preserve">, J. (2008). </w:t>
      </w:r>
      <w:proofErr w:type="gramStart"/>
      <w:r w:rsidRPr="007B4A1E">
        <w:t>“Blurring boundaries: How the Bologna process changes the relationship between university and non-university higher education in Germany, the Netherlands and France”, Studies in Higher Education, 33, 3, 217-231.</w:t>
      </w:r>
      <w:proofErr w:type="gramEnd"/>
    </w:p>
    <w:p w:rsidR="00A46CB0" w:rsidRDefault="00A46CB0" w:rsidP="00A46CB0">
      <w:pPr>
        <w:ind w:left="720" w:hanging="720"/>
        <w:jc w:val="both"/>
      </w:pPr>
    </w:p>
    <w:p w:rsidR="00A46CB0" w:rsidRDefault="00A46CB0" w:rsidP="00A46CB0"/>
    <w:p w:rsidR="006D7D16" w:rsidRDefault="006D7D16" w:rsidP="006D7D16">
      <w:pPr>
        <w:rPr>
          <w:rFonts w:asciiTheme="minorHAnsi" w:hAnsiTheme="minorHAnsi" w:cstheme="minorBidi"/>
          <w:sz w:val="22"/>
          <w:szCs w:val="22"/>
        </w:rPr>
      </w:pPr>
    </w:p>
    <w:p w:rsidR="006D7D16" w:rsidRDefault="006D7D16" w:rsidP="007E61FE">
      <w:pPr>
        <w:spacing w:line="480" w:lineRule="auto"/>
        <w:ind w:left="720" w:hanging="720"/>
        <w:jc w:val="both"/>
      </w:pPr>
    </w:p>
    <w:p w:rsidR="000D4AAF" w:rsidRDefault="000D4AAF">
      <w:pPr>
        <w:spacing w:after="200" w:line="276" w:lineRule="auto"/>
      </w:pPr>
      <w:r>
        <w:br w:type="page"/>
      </w:r>
    </w:p>
    <w:p w:rsidR="000D4AAF" w:rsidRDefault="000D4AAF" w:rsidP="00BC3ADE">
      <w:pPr>
        <w:pStyle w:val="Heading3"/>
      </w:pPr>
      <w:r>
        <w:lastRenderedPageBreak/>
        <w:t>Appendix 1 – Notes on Reconciliation of Class Titles.</w:t>
      </w:r>
    </w:p>
    <w:p w:rsidR="000D4AAF" w:rsidRDefault="000D4AAF"/>
    <w:p w:rsidR="000D4AAF" w:rsidRDefault="000D4AAF" w:rsidP="000D4AAF">
      <w:r>
        <w:t xml:space="preserve">Reconciliation of classes – </w:t>
      </w:r>
      <w:proofErr w:type="gramStart"/>
      <w:r>
        <w:t>PG  –</w:t>
      </w:r>
      <w:proofErr w:type="gramEnd"/>
      <w:r>
        <w:t xml:space="preserve"> notes:</w:t>
      </w:r>
    </w:p>
    <w:p w:rsidR="000D4AAF" w:rsidRDefault="000D4AAF" w:rsidP="000D4AAF"/>
    <w:p w:rsidR="000D4AAF" w:rsidRDefault="000D4AAF" w:rsidP="000D4AAF">
      <w:r>
        <w:t>Culture [1] moved to sport [5]</w:t>
      </w:r>
    </w:p>
    <w:p w:rsidR="000D4AAF" w:rsidRDefault="000D4AAF" w:rsidP="000D4AAF">
      <w:r>
        <w:t>Marketing ethics [2] combined with Marketing Controversies [1 – overlap] and CSR [1]</w:t>
      </w:r>
    </w:p>
    <w:p w:rsidR="000D4AAF" w:rsidRDefault="000D4AAF" w:rsidP="000D4AAF">
      <w:r>
        <w:t>Export Development [1] combined with International Marketing [17]</w:t>
      </w:r>
    </w:p>
    <w:p w:rsidR="000D4AAF" w:rsidRDefault="000D4AAF" w:rsidP="000D4AAF">
      <w:r>
        <w:t>Customer Satisfaction and Loyalty [1] combined with RM/CRM [6]</w:t>
      </w:r>
    </w:p>
    <w:p w:rsidR="000D4AAF" w:rsidRDefault="000D4AAF" w:rsidP="000D4AAF">
      <w:r>
        <w:t>Corporate Reputation Management [1] combined with Public Relations [4]</w:t>
      </w:r>
    </w:p>
    <w:p w:rsidR="000D4AAF" w:rsidRDefault="000D4AAF" w:rsidP="000D4AAF">
      <w:r>
        <w:t>Marketing Industry [1] combined with B2B [10]</w:t>
      </w:r>
    </w:p>
    <w:p w:rsidR="000D4AAF" w:rsidRDefault="000D4AAF" w:rsidP="000D4AAF">
      <w:r>
        <w:t xml:space="preserve">On the basis of just one overlap, Distribution </w:t>
      </w:r>
      <w:proofErr w:type="gramStart"/>
      <w:r>
        <w:t>Policy[</w:t>
      </w:r>
      <w:proofErr w:type="gramEnd"/>
      <w:r>
        <w:t>8]  was combined with Supply Chain Management [12]</w:t>
      </w:r>
    </w:p>
    <w:p w:rsidR="000D4AAF" w:rsidRDefault="000D4AAF" w:rsidP="000D4AAF">
      <w:r>
        <w:t>Digital Marketing and Social Media [3] was combined with E-Marketing [14] – one overlap</w:t>
      </w:r>
    </w:p>
    <w:p w:rsidR="000D4AAF" w:rsidRDefault="000D4AAF" w:rsidP="000D4AAF">
      <w:proofErr w:type="spellStart"/>
      <w:r>
        <w:t>Misc</w:t>
      </w:r>
      <w:proofErr w:type="spellEnd"/>
      <w:r>
        <w:t>/Speciality incorporates Contemporary Issues [1] Healthcare marketing [1] – 1 overlap -and Small Business Marketing [1] and Crisis Management [2]</w:t>
      </w:r>
    </w:p>
    <w:p w:rsidR="000D4AAF" w:rsidRDefault="000D4AAF" w:rsidP="000D4AAF">
      <w:r>
        <w:t>Operational Marketing [3] combined into Marketing Management [4]</w:t>
      </w:r>
    </w:p>
    <w:p w:rsidR="000D4AAF" w:rsidRDefault="000D4AAF" w:rsidP="000D4AAF"/>
    <w:p w:rsidR="000D4AAF" w:rsidRDefault="000D4AAF" w:rsidP="000D4AAF">
      <w:r>
        <w:t xml:space="preserve">Reconciliation of classes – </w:t>
      </w:r>
      <w:proofErr w:type="gramStart"/>
      <w:r>
        <w:t>UG  –</w:t>
      </w:r>
      <w:proofErr w:type="gramEnd"/>
      <w:r>
        <w:t xml:space="preserve"> notes:</w:t>
      </w:r>
    </w:p>
    <w:p w:rsidR="000D4AAF" w:rsidRDefault="000D4AAF" w:rsidP="000D4AAF"/>
    <w:p w:rsidR="000D4AAF" w:rsidRDefault="000D4AAF" w:rsidP="000D4AAF">
      <w:r>
        <w:t>Digital Marketing and Social Media [1] into E-marketing [5] with overlap</w:t>
      </w:r>
    </w:p>
    <w:p w:rsidR="000D4AAF" w:rsidRDefault="000D4AAF" w:rsidP="000D4AAF">
      <w:r>
        <w:t>Export Development [1] into International Marketing [10] with overlap</w:t>
      </w:r>
    </w:p>
    <w:p w:rsidR="000D4AAF" w:rsidRDefault="000D4AAF" w:rsidP="000D4AAF">
      <w:r>
        <w:t xml:space="preserve">Tourism [1] into </w:t>
      </w:r>
      <w:proofErr w:type="spellStart"/>
      <w:r>
        <w:t>Misc</w:t>
      </w:r>
      <w:proofErr w:type="spellEnd"/>
      <w:r>
        <w:t>/Speciality with Creativity and Contemporary no overlap</w:t>
      </w:r>
    </w:p>
    <w:p w:rsidR="000D4AAF" w:rsidRDefault="000D4AAF" w:rsidP="000D4AAF">
      <w:r>
        <w:t>Innovation/New Product Development [1] into Product/Brand [4] with overlap]</w:t>
      </w:r>
    </w:p>
    <w:p w:rsidR="000D4AAF" w:rsidRDefault="000D4AAF" w:rsidP="000D4AAF">
      <w:r>
        <w:t>Distribution Policy [6] into Supply Chain [8] with overlap of 4</w:t>
      </w:r>
    </w:p>
    <w:p w:rsidR="007E61FE" w:rsidRDefault="000D4AAF">
      <w:r>
        <w:t>Marketing Management [2] folds into Strategic Marketing [10] with overlap 1</w:t>
      </w:r>
    </w:p>
    <w:sectPr w:rsidR="007E6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8DE" w:rsidRDefault="006358DE" w:rsidP="007E61FE">
      <w:r>
        <w:separator/>
      </w:r>
    </w:p>
  </w:endnote>
  <w:endnote w:type="continuationSeparator" w:id="0">
    <w:p w:rsidR="006358DE" w:rsidRDefault="006358DE" w:rsidP="007E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8DE" w:rsidRDefault="006358DE" w:rsidP="007E61FE">
      <w:r>
        <w:separator/>
      </w:r>
    </w:p>
  </w:footnote>
  <w:footnote w:type="continuationSeparator" w:id="0">
    <w:p w:rsidR="006358DE" w:rsidRDefault="006358DE" w:rsidP="007E61FE">
      <w:r>
        <w:continuationSeparator/>
      </w:r>
    </w:p>
  </w:footnote>
  <w:footnote w:id="1">
    <w:p w:rsidR="0025280A" w:rsidRDefault="0025280A">
      <w:pPr>
        <w:pStyle w:val="FootnoteText"/>
      </w:pPr>
      <w:r>
        <w:rPr>
          <w:rStyle w:val="FootnoteReference"/>
        </w:rPr>
        <w:footnoteRef/>
      </w:r>
      <w:r>
        <w:t xml:space="preserve"> London Metropolitan has </w:t>
      </w:r>
      <w:proofErr w:type="gramStart"/>
      <w:r>
        <w:t>suffered  very</w:t>
      </w:r>
      <w:proofErr w:type="gramEnd"/>
      <w:r>
        <w:t xml:space="preserve"> recently from interesting times. It won’t be the last UK HEI to do so: </w:t>
      </w:r>
      <w:hyperlink r:id="rId1" w:history="1">
        <w:r w:rsidRPr="009644FE">
          <w:rPr>
            <w:rStyle w:val="Hyperlink"/>
          </w:rPr>
          <w:t>http://www.guardian.co.uk/education/2012/oct/18/less-than-half-of-london-metropolitan-universitys-students-choose-to-stay-on</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B4AC7"/>
    <w:multiLevelType w:val="hybridMultilevel"/>
    <w:tmpl w:val="D2EAF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F1252D5"/>
    <w:multiLevelType w:val="hybridMultilevel"/>
    <w:tmpl w:val="EFF67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46D2249"/>
    <w:multiLevelType w:val="hybridMultilevel"/>
    <w:tmpl w:val="F2E6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545373"/>
    <w:multiLevelType w:val="hybridMultilevel"/>
    <w:tmpl w:val="358A410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1FE"/>
    <w:rsid w:val="0001357A"/>
    <w:rsid w:val="00016775"/>
    <w:rsid w:val="000335F0"/>
    <w:rsid w:val="00034B0D"/>
    <w:rsid w:val="0003564E"/>
    <w:rsid w:val="00045F4E"/>
    <w:rsid w:val="000549E9"/>
    <w:rsid w:val="000733BC"/>
    <w:rsid w:val="0007361D"/>
    <w:rsid w:val="000A607C"/>
    <w:rsid w:val="000A7871"/>
    <w:rsid w:val="000D4AAF"/>
    <w:rsid w:val="00105530"/>
    <w:rsid w:val="00124659"/>
    <w:rsid w:val="00145BDE"/>
    <w:rsid w:val="001645E7"/>
    <w:rsid w:val="00165061"/>
    <w:rsid w:val="00176BA5"/>
    <w:rsid w:val="00176FD1"/>
    <w:rsid w:val="00182391"/>
    <w:rsid w:val="001B78D0"/>
    <w:rsid w:val="001E4F7F"/>
    <w:rsid w:val="001F1AAD"/>
    <w:rsid w:val="00200393"/>
    <w:rsid w:val="00226E6C"/>
    <w:rsid w:val="002414F6"/>
    <w:rsid w:val="00250455"/>
    <w:rsid w:val="0025280A"/>
    <w:rsid w:val="0027481E"/>
    <w:rsid w:val="002A354E"/>
    <w:rsid w:val="002F0ACC"/>
    <w:rsid w:val="002F6049"/>
    <w:rsid w:val="003029F6"/>
    <w:rsid w:val="00315D37"/>
    <w:rsid w:val="0031693D"/>
    <w:rsid w:val="00316D3B"/>
    <w:rsid w:val="00325B75"/>
    <w:rsid w:val="003506C5"/>
    <w:rsid w:val="003A01CD"/>
    <w:rsid w:val="003C4FFB"/>
    <w:rsid w:val="003D1B25"/>
    <w:rsid w:val="003E3110"/>
    <w:rsid w:val="00426F1A"/>
    <w:rsid w:val="00446181"/>
    <w:rsid w:val="00465551"/>
    <w:rsid w:val="004A5F6B"/>
    <w:rsid w:val="004A6C4F"/>
    <w:rsid w:val="004B02B3"/>
    <w:rsid w:val="004E2A2B"/>
    <w:rsid w:val="004E4522"/>
    <w:rsid w:val="0050204B"/>
    <w:rsid w:val="00505738"/>
    <w:rsid w:val="00524656"/>
    <w:rsid w:val="00574A1D"/>
    <w:rsid w:val="00590331"/>
    <w:rsid w:val="005B2681"/>
    <w:rsid w:val="005B596C"/>
    <w:rsid w:val="005C01F8"/>
    <w:rsid w:val="005D1186"/>
    <w:rsid w:val="00622DF7"/>
    <w:rsid w:val="006358DE"/>
    <w:rsid w:val="006535B8"/>
    <w:rsid w:val="006719D7"/>
    <w:rsid w:val="00672D7F"/>
    <w:rsid w:val="006826C1"/>
    <w:rsid w:val="006906FB"/>
    <w:rsid w:val="006B1E11"/>
    <w:rsid w:val="006B2B27"/>
    <w:rsid w:val="006C35EB"/>
    <w:rsid w:val="006D780D"/>
    <w:rsid w:val="006D7D16"/>
    <w:rsid w:val="00704E23"/>
    <w:rsid w:val="007137F2"/>
    <w:rsid w:val="00741249"/>
    <w:rsid w:val="007526E4"/>
    <w:rsid w:val="00754B0B"/>
    <w:rsid w:val="00766F22"/>
    <w:rsid w:val="00792A37"/>
    <w:rsid w:val="00793EBB"/>
    <w:rsid w:val="00794631"/>
    <w:rsid w:val="007B4A1E"/>
    <w:rsid w:val="007B4A56"/>
    <w:rsid w:val="007D34D2"/>
    <w:rsid w:val="007E47AC"/>
    <w:rsid w:val="007E61FE"/>
    <w:rsid w:val="00846346"/>
    <w:rsid w:val="00851B6F"/>
    <w:rsid w:val="00862ACF"/>
    <w:rsid w:val="00864612"/>
    <w:rsid w:val="00895D66"/>
    <w:rsid w:val="008A5460"/>
    <w:rsid w:val="008A5E1F"/>
    <w:rsid w:val="008A769C"/>
    <w:rsid w:val="008D6D23"/>
    <w:rsid w:val="008E50CD"/>
    <w:rsid w:val="00905B58"/>
    <w:rsid w:val="00907911"/>
    <w:rsid w:val="0091416F"/>
    <w:rsid w:val="009546EB"/>
    <w:rsid w:val="0096161C"/>
    <w:rsid w:val="00985AE9"/>
    <w:rsid w:val="00996767"/>
    <w:rsid w:val="009B3A97"/>
    <w:rsid w:val="009E0B8B"/>
    <w:rsid w:val="009F3D84"/>
    <w:rsid w:val="00A06376"/>
    <w:rsid w:val="00A1302E"/>
    <w:rsid w:val="00A333D0"/>
    <w:rsid w:val="00A34C57"/>
    <w:rsid w:val="00A46CB0"/>
    <w:rsid w:val="00A73266"/>
    <w:rsid w:val="00A82392"/>
    <w:rsid w:val="00A907FF"/>
    <w:rsid w:val="00AA23CB"/>
    <w:rsid w:val="00AA2580"/>
    <w:rsid w:val="00AC55D7"/>
    <w:rsid w:val="00AE2E42"/>
    <w:rsid w:val="00AF7A58"/>
    <w:rsid w:val="00B1568A"/>
    <w:rsid w:val="00B25E2F"/>
    <w:rsid w:val="00B4411E"/>
    <w:rsid w:val="00B479ED"/>
    <w:rsid w:val="00B8631A"/>
    <w:rsid w:val="00BC3ADE"/>
    <w:rsid w:val="00BE2228"/>
    <w:rsid w:val="00BE2CE7"/>
    <w:rsid w:val="00BF1058"/>
    <w:rsid w:val="00C12E69"/>
    <w:rsid w:val="00C5439D"/>
    <w:rsid w:val="00C56F93"/>
    <w:rsid w:val="00C7631C"/>
    <w:rsid w:val="00CA72FF"/>
    <w:rsid w:val="00CB2350"/>
    <w:rsid w:val="00CD0889"/>
    <w:rsid w:val="00CD22EE"/>
    <w:rsid w:val="00D25C36"/>
    <w:rsid w:val="00D67231"/>
    <w:rsid w:val="00DA4651"/>
    <w:rsid w:val="00DA68DF"/>
    <w:rsid w:val="00DB349F"/>
    <w:rsid w:val="00DB6D90"/>
    <w:rsid w:val="00DE09C1"/>
    <w:rsid w:val="00DE1610"/>
    <w:rsid w:val="00DE4CDC"/>
    <w:rsid w:val="00DE65EC"/>
    <w:rsid w:val="00E175B3"/>
    <w:rsid w:val="00E27415"/>
    <w:rsid w:val="00E34C08"/>
    <w:rsid w:val="00E357CA"/>
    <w:rsid w:val="00E40E4D"/>
    <w:rsid w:val="00E6661E"/>
    <w:rsid w:val="00E846EE"/>
    <w:rsid w:val="00EA13E6"/>
    <w:rsid w:val="00EB0A72"/>
    <w:rsid w:val="00EB22E9"/>
    <w:rsid w:val="00EF77E4"/>
    <w:rsid w:val="00F03A63"/>
    <w:rsid w:val="00F06663"/>
    <w:rsid w:val="00F325F0"/>
    <w:rsid w:val="00F80120"/>
    <w:rsid w:val="00F93A04"/>
    <w:rsid w:val="00FB386E"/>
    <w:rsid w:val="00FC0452"/>
    <w:rsid w:val="00FF4925"/>
    <w:rsid w:val="00FF5A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F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26F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335F0"/>
    <w:pPr>
      <w:keepNext/>
      <w:spacing w:before="240" w:after="60"/>
      <w:outlineLvl w:val="1"/>
    </w:pPr>
    <w:rPr>
      <w:rFonts w:ascii="Arial" w:hAnsi="Arial" w:cs="Arial"/>
      <w:b/>
      <w:bCs/>
      <w:i/>
      <w:iCs/>
      <w:color w:val="4F81BD" w:themeColor="accent1"/>
      <w:sz w:val="28"/>
      <w:szCs w:val="28"/>
    </w:rPr>
  </w:style>
  <w:style w:type="paragraph" w:styleId="Heading3">
    <w:name w:val="heading 3"/>
    <w:basedOn w:val="Normal"/>
    <w:next w:val="Normal"/>
    <w:link w:val="Heading3Char"/>
    <w:uiPriority w:val="9"/>
    <w:unhideWhenUsed/>
    <w:qFormat/>
    <w:rsid w:val="000A60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3A6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F1A"/>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rsid w:val="000335F0"/>
    <w:rPr>
      <w:rFonts w:ascii="Arial" w:eastAsia="Times New Roman" w:hAnsi="Arial" w:cs="Arial"/>
      <w:b/>
      <w:bCs/>
      <w:i/>
      <w:iCs/>
      <w:color w:val="4F81BD" w:themeColor="accent1"/>
      <w:sz w:val="28"/>
      <w:szCs w:val="28"/>
      <w:lang w:eastAsia="en-GB"/>
    </w:rPr>
  </w:style>
  <w:style w:type="character" w:customStyle="1" w:styleId="Heading3Char">
    <w:name w:val="Heading 3 Char"/>
    <w:basedOn w:val="DefaultParagraphFont"/>
    <w:link w:val="Heading3"/>
    <w:uiPriority w:val="9"/>
    <w:rsid w:val="000A607C"/>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rsid w:val="00F03A63"/>
    <w:rPr>
      <w:rFonts w:asciiTheme="majorHAnsi" w:eastAsiaTheme="majorEastAsia" w:hAnsiTheme="majorHAnsi" w:cstheme="majorBidi"/>
      <w:b/>
      <w:bCs/>
      <w:i/>
      <w:iCs/>
      <w:color w:val="4F81BD" w:themeColor="accent1"/>
      <w:sz w:val="24"/>
      <w:szCs w:val="24"/>
      <w:lang w:eastAsia="en-GB"/>
    </w:rPr>
  </w:style>
  <w:style w:type="paragraph" w:styleId="BodyText3">
    <w:name w:val="Body Text 3"/>
    <w:basedOn w:val="Normal"/>
    <w:link w:val="BodyText3Char"/>
    <w:rsid w:val="007E61FE"/>
    <w:pPr>
      <w:spacing w:line="360" w:lineRule="auto"/>
      <w:jc w:val="both"/>
    </w:pPr>
    <w:rPr>
      <w:szCs w:val="20"/>
      <w:lang w:eastAsia="en-US"/>
    </w:rPr>
  </w:style>
  <w:style w:type="character" w:customStyle="1" w:styleId="BodyText3Char">
    <w:name w:val="Body Text 3 Char"/>
    <w:basedOn w:val="DefaultParagraphFont"/>
    <w:link w:val="BodyText3"/>
    <w:rsid w:val="007E61FE"/>
    <w:rPr>
      <w:rFonts w:ascii="Times New Roman" w:eastAsia="Times New Roman" w:hAnsi="Times New Roman" w:cs="Times New Roman"/>
      <w:sz w:val="24"/>
      <w:szCs w:val="20"/>
      <w:lang w:eastAsia="en-US"/>
    </w:rPr>
  </w:style>
  <w:style w:type="paragraph" w:styleId="FootnoteText">
    <w:name w:val="footnote text"/>
    <w:basedOn w:val="Normal"/>
    <w:link w:val="FootnoteTextChar"/>
    <w:semiHidden/>
    <w:rsid w:val="007E61FE"/>
    <w:rPr>
      <w:sz w:val="20"/>
      <w:szCs w:val="20"/>
      <w:lang w:eastAsia="en-US"/>
    </w:rPr>
  </w:style>
  <w:style w:type="character" w:customStyle="1" w:styleId="FootnoteTextChar">
    <w:name w:val="Footnote Text Char"/>
    <w:basedOn w:val="DefaultParagraphFont"/>
    <w:link w:val="FootnoteText"/>
    <w:semiHidden/>
    <w:rsid w:val="007E61FE"/>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rsid w:val="007E61FE"/>
    <w:rPr>
      <w:vertAlign w:val="superscript"/>
    </w:rPr>
  </w:style>
  <w:style w:type="character" w:styleId="Hyperlink">
    <w:name w:val="Hyperlink"/>
    <w:basedOn w:val="DefaultParagraphFont"/>
    <w:uiPriority w:val="99"/>
    <w:rsid w:val="007E61FE"/>
    <w:rPr>
      <w:color w:val="0000FF"/>
      <w:u w:val="single"/>
    </w:rPr>
  </w:style>
  <w:style w:type="paragraph" w:styleId="BalloonText">
    <w:name w:val="Balloon Text"/>
    <w:basedOn w:val="Normal"/>
    <w:link w:val="BalloonTextChar"/>
    <w:uiPriority w:val="99"/>
    <w:semiHidden/>
    <w:unhideWhenUsed/>
    <w:rsid w:val="000A7871"/>
    <w:rPr>
      <w:rFonts w:ascii="Arial" w:hAnsi="Arial" w:cs="Arial"/>
      <w:sz w:val="16"/>
      <w:szCs w:val="16"/>
    </w:rPr>
  </w:style>
  <w:style w:type="character" w:customStyle="1" w:styleId="BalloonTextChar">
    <w:name w:val="Balloon Text Char"/>
    <w:basedOn w:val="DefaultParagraphFont"/>
    <w:link w:val="BalloonText"/>
    <w:uiPriority w:val="99"/>
    <w:semiHidden/>
    <w:rsid w:val="000A7871"/>
    <w:rPr>
      <w:rFonts w:ascii="Arial" w:eastAsia="Times New Roman" w:hAnsi="Arial" w:cs="Arial"/>
      <w:sz w:val="16"/>
      <w:szCs w:val="16"/>
      <w:lang w:eastAsia="en-GB"/>
    </w:rPr>
  </w:style>
  <w:style w:type="paragraph" w:styleId="NormalWeb">
    <w:name w:val="Normal (Web)"/>
    <w:basedOn w:val="Normal"/>
    <w:rsid w:val="000A7871"/>
    <w:pPr>
      <w:spacing w:before="100" w:beforeAutospacing="1" w:after="100" w:afterAutospacing="1"/>
    </w:pPr>
    <w:rPr>
      <w:rFonts w:ascii="Arial Unicode MS" w:eastAsia="Arial Unicode MS" w:hAnsi="Arial Unicode MS" w:cs="Arial Unicode MS"/>
      <w:lang w:val="en-US" w:eastAsia="zh-TW"/>
    </w:rPr>
  </w:style>
  <w:style w:type="paragraph" w:styleId="ListParagraph">
    <w:name w:val="List Paragraph"/>
    <w:basedOn w:val="Normal"/>
    <w:uiPriority w:val="34"/>
    <w:qFormat/>
    <w:rsid w:val="0031693D"/>
    <w:pPr>
      <w:ind w:left="720"/>
      <w:contextualSpacing/>
    </w:pPr>
  </w:style>
  <w:style w:type="character" w:styleId="CommentReference">
    <w:name w:val="annotation reference"/>
    <w:basedOn w:val="DefaultParagraphFont"/>
    <w:uiPriority w:val="99"/>
    <w:semiHidden/>
    <w:unhideWhenUsed/>
    <w:rsid w:val="0096161C"/>
    <w:rPr>
      <w:sz w:val="16"/>
      <w:szCs w:val="16"/>
    </w:rPr>
  </w:style>
  <w:style w:type="paragraph" w:styleId="CommentText">
    <w:name w:val="annotation text"/>
    <w:basedOn w:val="Normal"/>
    <w:link w:val="CommentTextChar"/>
    <w:uiPriority w:val="99"/>
    <w:semiHidden/>
    <w:unhideWhenUsed/>
    <w:rsid w:val="0096161C"/>
    <w:rPr>
      <w:sz w:val="20"/>
      <w:szCs w:val="20"/>
    </w:rPr>
  </w:style>
  <w:style w:type="character" w:customStyle="1" w:styleId="CommentTextChar">
    <w:name w:val="Comment Text Char"/>
    <w:basedOn w:val="DefaultParagraphFont"/>
    <w:link w:val="CommentText"/>
    <w:uiPriority w:val="99"/>
    <w:semiHidden/>
    <w:rsid w:val="0096161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6161C"/>
    <w:rPr>
      <w:b/>
      <w:bCs/>
    </w:rPr>
  </w:style>
  <w:style w:type="character" w:customStyle="1" w:styleId="CommentSubjectChar">
    <w:name w:val="Comment Subject Char"/>
    <w:basedOn w:val="CommentTextChar"/>
    <w:link w:val="CommentSubject"/>
    <w:uiPriority w:val="99"/>
    <w:semiHidden/>
    <w:rsid w:val="0096161C"/>
    <w:rPr>
      <w:rFonts w:ascii="Times New Roman" w:eastAsia="Times New Roman" w:hAnsi="Times New Roman" w:cs="Times New Roman"/>
      <w:b/>
      <w:bCs/>
      <w:sz w:val="20"/>
      <w:szCs w:val="20"/>
      <w:lang w:eastAsia="en-GB"/>
    </w:rPr>
  </w:style>
  <w:style w:type="paragraph" w:styleId="Title">
    <w:name w:val="Title"/>
    <w:basedOn w:val="Normal"/>
    <w:next w:val="Normal"/>
    <w:link w:val="TitleChar"/>
    <w:uiPriority w:val="10"/>
    <w:qFormat/>
    <w:rsid w:val="00316D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6D3B"/>
    <w:rPr>
      <w:rFonts w:asciiTheme="majorHAnsi" w:eastAsiaTheme="majorEastAsia" w:hAnsiTheme="majorHAnsi" w:cstheme="majorBidi"/>
      <w:color w:val="17365D" w:themeColor="text2" w:themeShade="BF"/>
      <w:spacing w:val="5"/>
      <w:kern w:val="28"/>
      <w:sz w:val="52"/>
      <w:szCs w:val="52"/>
      <w:lang w:eastAsia="en-GB"/>
    </w:rPr>
  </w:style>
  <w:style w:type="table" w:styleId="MediumGrid3-Accent1">
    <w:name w:val="Medium Grid 3 Accent 1"/>
    <w:basedOn w:val="TableNormal"/>
    <w:uiPriority w:val="69"/>
    <w:rsid w:val="003029F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Grid-Accent2">
    <w:name w:val="Colorful Grid Accent 2"/>
    <w:basedOn w:val="TableNormal"/>
    <w:uiPriority w:val="73"/>
    <w:rsid w:val="00EB22E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3-Accent3">
    <w:name w:val="Medium Grid 3 Accent 3"/>
    <w:basedOn w:val="TableNormal"/>
    <w:uiPriority w:val="69"/>
    <w:rsid w:val="00EB22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Shading2-Accent6">
    <w:name w:val="Medium Shading 2 Accent 6"/>
    <w:basedOn w:val="TableNormal"/>
    <w:uiPriority w:val="64"/>
    <w:rsid w:val="00AF7A5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Quote">
    <w:name w:val="Quote"/>
    <w:basedOn w:val="Normal"/>
    <w:next w:val="Normal"/>
    <w:link w:val="QuoteChar"/>
    <w:uiPriority w:val="29"/>
    <w:qFormat/>
    <w:rsid w:val="00045F4E"/>
    <w:rPr>
      <w:i/>
      <w:iCs/>
      <w:color w:val="000000" w:themeColor="text1"/>
    </w:rPr>
  </w:style>
  <w:style w:type="character" w:customStyle="1" w:styleId="QuoteChar">
    <w:name w:val="Quote Char"/>
    <w:basedOn w:val="DefaultParagraphFont"/>
    <w:link w:val="Quote"/>
    <w:uiPriority w:val="29"/>
    <w:rsid w:val="00045F4E"/>
    <w:rPr>
      <w:rFonts w:ascii="Times New Roman" w:eastAsia="Times New Roman" w:hAnsi="Times New Roman" w:cs="Times New Roman"/>
      <w:i/>
      <w:iCs/>
      <w:color w:val="000000" w:themeColor="text1"/>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F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26F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335F0"/>
    <w:pPr>
      <w:keepNext/>
      <w:spacing w:before="240" w:after="60"/>
      <w:outlineLvl w:val="1"/>
    </w:pPr>
    <w:rPr>
      <w:rFonts w:ascii="Arial" w:hAnsi="Arial" w:cs="Arial"/>
      <w:b/>
      <w:bCs/>
      <w:i/>
      <w:iCs/>
      <w:color w:val="4F81BD" w:themeColor="accent1"/>
      <w:sz w:val="28"/>
      <w:szCs w:val="28"/>
    </w:rPr>
  </w:style>
  <w:style w:type="paragraph" w:styleId="Heading3">
    <w:name w:val="heading 3"/>
    <w:basedOn w:val="Normal"/>
    <w:next w:val="Normal"/>
    <w:link w:val="Heading3Char"/>
    <w:uiPriority w:val="9"/>
    <w:unhideWhenUsed/>
    <w:qFormat/>
    <w:rsid w:val="000A60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3A6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F1A"/>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rsid w:val="000335F0"/>
    <w:rPr>
      <w:rFonts w:ascii="Arial" w:eastAsia="Times New Roman" w:hAnsi="Arial" w:cs="Arial"/>
      <w:b/>
      <w:bCs/>
      <w:i/>
      <w:iCs/>
      <w:color w:val="4F81BD" w:themeColor="accent1"/>
      <w:sz w:val="28"/>
      <w:szCs w:val="28"/>
      <w:lang w:eastAsia="en-GB"/>
    </w:rPr>
  </w:style>
  <w:style w:type="character" w:customStyle="1" w:styleId="Heading3Char">
    <w:name w:val="Heading 3 Char"/>
    <w:basedOn w:val="DefaultParagraphFont"/>
    <w:link w:val="Heading3"/>
    <w:uiPriority w:val="9"/>
    <w:rsid w:val="000A607C"/>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rsid w:val="00F03A63"/>
    <w:rPr>
      <w:rFonts w:asciiTheme="majorHAnsi" w:eastAsiaTheme="majorEastAsia" w:hAnsiTheme="majorHAnsi" w:cstheme="majorBidi"/>
      <w:b/>
      <w:bCs/>
      <w:i/>
      <w:iCs/>
      <w:color w:val="4F81BD" w:themeColor="accent1"/>
      <w:sz w:val="24"/>
      <w:szCs w:val="24"/>
      <w:lang w:eastAsia="en-GB"/>
    </w:rPr>
  </w:style>
  <w:style w:type="paragraph" w:styleId="BodyText3">
    <w:name w:val="Body Text 3"/>
    <w:basedOn w:val="Normal"/>
    <w:link w:val="BodyText3Char"/>
    <w:rsid w:val="007E61FE"/>
    <w:pPr>
      <w:spacing w:line="360" w:lineRule="auto"/>
      <w:jc w:val="both"/>
    </w:pPr>
    <w:rPr>
      <w:szCs w:val="20"/>
      <w:lang w:eastAsia="en-US"/>
    </w:rPr>
  </w:style>
  <w:style w:type="character" w:customStyle="1" w:styleId="BodyText3Char">
    <w:name w:val="Body Text 3 Char"/>
    <w:basedOn w:val="DefaultParagraphFont"/>
    <w:link w:val="BodyText3"/>
    <w:rsid w:val="007E61FE"/>
    <w:rPr>
      <w:rFonts w:ascii="Times New Roman" w:eastAsia="Times New Roman" w:hAnsi="Times New Roman" w:cs="Times New Roman"/>
      <w:sz w:val="24"/>
      <w:szCs w:val="20"/>
      <w:lang w:eastAsia="en-US"/>
    </w:rPr>
  </w:style>
  <w:style w:type="paragraph" w:styleId="FootnoteText">
    <w:name w:val="footnote text"/>
    <w:basedOn w:val="Normal"/>
    <w:link w:val="FootnoteTextChar"/>
    <w:semiHidden/>
    <w:rsid w:val="007E61FE"/>
    <w:rPr>
      <w:sz w:val="20"/>
      <w:szCs w:val="20"/>
      <w:lang w:eastAsia="en-US"/>
    </w:rPr>
  </w:style>
  <w:style w:type="character" w:customStyle="1" w:styleId="FootnoteTextChar">
    <w:name w:val="Footnote Text Char"/>
    <w:basedOn w:val="DefaultParagraphFont"/>
    <w:link w:val="FootnoteText"/>
    <w:semiHidden/>
    <w:rsid w:val="007E61FE"/>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rsid w:val="007E61FE"/>
    <w:rPr>
      <w:vertAlign w:val="superscript"/>
    </w:rPr>
  </w:style>
  <w:style w:type="character" w:styleId="Hyperlink">
    <w:name w:val="Hyperlink"/>
    <w:basedOn w:val="DefaultParagraphFont"/>
    <w:uiPriority w:val="99"/>
    <w:rsid w:val="007E61FE"/>
    <w:rPr>
      <w:color w:val="0000FF"/>
      <w:u w:val="single"/>
    </w:rPr>
  </w:style>
  <w:style w:type="paragraph" w:styleId="BalloonText">
    <w:name w:val="Balloon Text"/>
    <w:basedOn w:val="Normal"/>
    <w:link w:val="BalloonTextChar"/>
    <w:uiPriority w:val="99"/>
    <w:semiHidden/>
    <w:unhideWhenUsed/>
    <w:rsid w:val="000A7871"/>
    <w:rPr>
      <w:rFonts w:ascii="Arial" w:hAnsi="Arial" w:cs="Arial"/>
      <w:sz w:val="16"/>
      <w:szCs w:val="16"/>
    </w:rPr>
  </w:style>
  <w:style w:type="character" w:customStyle="1" w:styleId="BalloonTextChar">
    <w:name w:val="Balloon Text Char"/>
    <w:basedOn w:val="DefaultParagraphFont"/>
    <w:link w:val="BalloonText"/>
    <w:uiPriority w:val="99"/>
    <w:semiHidden/>
    <w:rsid w:val="000A7871"/>
    <w:rPr>
      <w:rFonts w:ascii="Arial" w:eastAsia="Times New Roman" w:hAnsi="Arial" w:cs="Arial"/>
      <w:sz w:val="16"/>
      <w:szCs w:val="16"/>
      <w:lang w:eastAsia="en-GB"/>
    </w:rPr>
  </w:style>
  <w:style w:type="paragraph" w:styleId="NormalWeb">
    <w:name w:val="Normal (Web)"/>
    <w:basedOn w:val="Normal"/>
    <w:rsid w:val="000A7871"/>
    <w:pPr>
      <w:spacing w:before="100" w:beforeAutospacing="1" w:after="100" w:afterAutospacing="1"/>
    </w:pPr>
    <w:rPr>
      <w:rFonts w:ascii="Arial Unicode MS" w:eastAsia="Arial Unicode MS" w:hAnsi="Arial Unicode MS" w:cs="Arial Unicode MS"/>
      <w:lang w:val="en-US" w:eastAsia="zh-TW"/>
    </w:rPr>
  </w:style>
  <w:style w:type="paragraph" w:styleId="ListParagraph">
    <w:name w:val="List Paragraph"/>
    <w:basedOn w:val="Normal"/>
    <w:uiPriority w:val="34"/>
    <w:qFormat/>
    <w:rsid w:val="0031693D"/>
    <w:pPr>
      <w:ind w:left="720"/>
      <w:contextualSpacing/>
    </w:pPr>
  </w:style>
  <w:style w:type="character" w:styleId="CommentReference">
    <w:name w:val="annotation reference"/>
    <w:basedOn w:val="DefaultParagraphFont"/>
    <w:uiPriority w:val="99"/>
    <w:semiHidden/>
    <w:unhideWhenUsed/>
    <w:rsid w:val="0096161C"/>
    <w:rPr>
      <w:sz w:val="16"/>
      <w:szCs w:val="16"/>
    </w:rPr>
  </w:style>
  <w:style w:type="paragraph" w:styleId="CommentText">
    <w:name w:val="annotation text"/>
    <w:basedOn w:val="Normal"/>
    <w:link w:val="CommentTextChar"/>
    <w:uiPriority w:val="99"/>
    <w:semiHidden/>
    <w:unhideWhenUsed/>
    <w:rsid w:val="0096161C"/>
    <w:rPr>
      <w:sz w:val="20"/>
      <w:szCs w:val="20"/>
    </w:rPr>
  </w:style>
  <w:style w:type="character" w:customStyle="1" w:styleId="CommentTextChar">
    <w:name w:val="Comment Text Char"/>
    <w:basedOn w:val="DefaultParagraphFont"/>
    <w:link w:val="CommentText"/>
    <w:uiPriority w:val="99"/>
    <w:semiHidden/>
    <w:rsid w:val="0096161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6161C"/>
    <w:rPr>
      <w:b/>
      <w:bCs/>
    </w:rPr>
  </w:style>
  <w:style w:type="character" w:customStyle="1" w:styleId="CommentSubjectChar">
    <w:name w:val="Comment Subject Char"/>
    <w:basedOn w:val="CommentTextChar"/>
    <w:link w:val="CommentSubject"/>
    <w:uiPriority w:val="99"/>
    <w:semiHidden/>
    <w:rsid w:val="0096161C"/>
    <w:rPr>
      <w:rFonts w:ascii="Times New Roman" w:eastAsia="Times New Roman" w:hAnsi="Times New Roman" w:cs="Times New Roman"/>
      <w:b/>
      <w:bCs/>
      <w:sz w:val="20"/>
      <w:szCs w:val="20"/>
      <w:lang w:eastAsia="en-GB"/>
    </w:rPr>
  </w:style>
  <w:style w:type="paragraph" w:styleId="Title">
    <w:name w:val="Title"/>
    <w:basedOn w:val="Normal"/>
    <w:next w:val="Normal"/>
    <w:link w:val="TitleChar"/>
    <w:uiPriority w:val="10"/>
    <w:qFormat/>
    <w:rsid w:val="00316D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6D3B"/>
    <w:rPr>
      <w:rFonts w:asciiTheme="majorHAnsi" w:eastAsiaTheme="majorEastAsia" w:hAnsiTheme="majorHAnsi" w:cstheme="majorBidi"/>
      <w:color w:val="17365D" w:themeColor="text2" w:themeShade="BF"/>
      <w:spacing w:val="5"/>
      <w:kern w:val="28"/>
      <w:sz w:val="52"/>
      <w:szCs w:val="52"/>
      <w:lang w:eastAsia="en-GB"/>
    </w:rPr>
  </w:style>
  <w:style w:type="table" w:styleId="MediumGrid3-Accent1">
    <w:name w:val="Medium Grid 3 Accent 1"/>
    <w:basedOn w:val="TableNormal"/>
    <w:uiPriority w:val="69"/>
    <w:rsid w:val="003029F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Grid-Accent2">
    <w:name w:val="Colorful Grid Accent 2"/>
    <w:basedOn w:val="TableNormal"/>
    <w:uiPriority w:val="73"/>
    <w:rsid w:val="00EB22E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3-Accent3">
    <w:name w:val="Medium Grid 3 Accent 3"/>
    <w:basedOn w:val="TableNormal"/>
    <w:uiPriority w:val="69"/>
    <w:rsid w:val="00EB22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Shading2-Accent6">
    <w:name w:val="Medium Shading 2 Accent 6"/>
    <w:basedOn w:val="TableNormal"/>
    <w:uiPriority w:val="64"/>
    <w:rsid w:val="00AF7A5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Quote">
    <w:name w:val="Quote"/>
    <w:basedOn w:val="Normal"/>
    <w:next w:val="Normal"/>
    <w:link w:val="QuoteChar"/>
    <w:uiPriority w:val="29"/>
    <w:qFormat/>
    <w:rsid w:val="00045F4E"/>
    <w:rPr>
      <w:i/>
      <w:iCs/>
      <w:color w:val="000000" w:themeColor="text1"/>
    </w:rPr>
  </w:style>
  <w:style w:type="character" w:customStyle="1" w:styleId="QuoteChar">
    <w:name w:val="Quote Char"/>
    <w:basedOn w:val="DefaultParagraphFont"/>
    <w:link w:val="Quote"/>
    <w:uiPriority w:val="29"/>
    <w:rsid w:val="00045F4E"/>
    <w:rPr>
      <w:rFonts w:ascii="Times New Roman" w:eastAsia="Times New Roman" w:hAnsi="Times New Roman" w:cs="Times New Roman"/>
      <w:i/>
      <w:iCs/>
      <w:color w:val="000000" w:themeColor="text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9460">
      <w:bodyDiv w:val="1"/>
      <w:marLeft w:val="0"/>
      <w:marRight w:val="0"/>
      <w:marTop w:val="0"/>
      <w:marBottom w:val="0"/>
      <w:divBdr>
        <w:top w:val="none" w:sz="0" w:space="0" w:color="auto"/>
        <w:left w:val="none" w:sz="0" w:space="0" w:color="auto"/>
        <w:bottom w:val="none" w:sz="0" w:space="0" w:color="auto"/>
        <w:right w:val="none" w:sz="0" w:space="0" w:color="auto"/>
      </w:divBdr>
    </w:div>
    <w:div w:id="850412962">
      <w:bodyDiv w:val="1"/>
      <w:marLeft w:val="0"/>
      <w:marRight w:val="0"/>
      <w:marTop w:val="0"/>
      <w:marBottom w:val="0"/>
      <w:divBdr>
        <w:top w:val="none" w:sz="0" w:space="0" w:color="auto"/>
        <w:left w:val="none" w:sz="0" w:space="0" w:color="auto"/>
        <w:bottom w:val="none" w:sz="0" w:space="0" w:color="auto"/>
        <w:right w:val="none" w:sz="0" w:space="0" w:color="auto"/>
      </w:divBdr>
    </w:div>
    <w:div w:id="950405534">
      <w:bodyDiv w:val="1"/>
      <w:marLeft w:val="0"/>
      <w:marRight w:val="0"/>
      <w:marTop w:val="0"/>
      <w:marBottom w:val="0"/>
      <w:divBdr>
        <w:top w:val="none" w:sz="0" w:space="0" w:color="auto"/>
        <w:left w:val="none" w:sz="0" w:space="0" w:color="auto"/>
        <w:bottom w:val="none" w:sz="0" w:space="0" w:color="auto"/>
        <w:right w:val="none" w:sz="0" w:space="0" w:color="auto"/>
      </w:divBdr>
    </w:div>
    <w:div w:id="1015501979">
      <w:bodyDiv w:val="1"/>
      <w:marLeft w:val="0"/>
      <w:marRight w:val="0"/>
      <w:marTop w:val="0"/>
      <w:marBottom w:val="0"/>
      <w:divBdr>
        <w:top w:val="none" w:sz="0" w:space="0" w:color="auto"/>
        <w:left w:val="none" w:sz="0" w:space="0" w:color="auto"/>
        <w:bottom w:val="none" w:sz="0" w:space="0" w:color="auto"/>
        <w:right w:val="none" w:sz="0" w:space="0" w:color="auto"/>
      </w:divBdr>
    </w:div>
    <w:div w:id="15294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terbrand.com/en/best-global-brands/BGB-Interactive-Charts.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nterbrand.com/en/best-global-brands/BGB-Interactive-Charts.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dage.com/datacenter/globalmarketers201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uardian.co.uk/education/2012/oct/18/less-than-half-of-london-metropolitan-universitys-students-choose-to-stay-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4CDF2-052F-49E2-9A54-F6AF9B46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10390</Words>
  <Characters>59224</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____</Company>
  <LinksUpToDate>false</LinksUpToDate>
  <CharactersWithSpaces>69476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cp:lastPrinted>2013-01-10T05:12:00Z</cp:lastPrinted>
  <dcterms:created xsi:type="dcterms:W3CDTF">2013-01-11T00:09:00Z</dcterms:created>
  <dcterms:modified xsi:type="dcterms:W3CDTF">2013-01-11T00:24:00Z</dcterms:modified>
</cp:coreProperties>
</file>