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6E" w:rsidRDefault="00600511">
      <w:pPr>
        <w:pStyle w:val="ElsGraphAbs"/>
      </w:pPr>
      <w:r>
        <w:t>Graphical Abstract</w:t>
      </w:r>
    </w:p>
    <w:p w:rsidR="004C116E" w:rsidRDefault="00FE753D">
      <w:pPr>
        <w:pStyle w:val="ElsGraphText"/>
      </w:pPr>
      <w:r>
        <w:pict>
          <v:group id="_x0000_s1110" style="position:absolute;margin-left:0;margin-top:51.6pt;width:7in;height:244.85pt;z-index:251658752" coordorigin="912,3672" coordsize="10080,3120">
            <o:lock v:ext="edit" aspectratio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912;top:3672;width:10080;height:3120" filled="f">
              <o:lock v:ext="edit" aspectratio="t"/>
              <v:textbox style="mso-next-textbox:#_x0000_s1111" inset="3.6pt,,3.6pt">
                <w:txbxContent>
                  <w:p w:rsidR="0057123E" w:rsidRDefault="0057123E" w:rsidP="00F52E82">
                    <w:pPr>
                      <w:pStyle w:val="ElsGraphTitle"/>
                    </w:pPr>
                    <w:r>
                      <w:t>D</w:t>
                    </w:r>
                    <w:r w:rsidRPr="00F52E82">
                      <w:t xml:space="preserve">evelopment of chiral </w:t>
                    </w:r>
                    <w:r>
                      <w:t>heteroleptic magnesium amides; asymmetric</w:t>
                    </w:r>
                    <w:r w:rsidRPr="00F52E82">
                      <w:t xml:space="preserve"> deprotonations mediated by 6-membered metallocyclic amidomagnesium </w:t>
                    </w:r>
                    <w:r>
                      <w:t>naphth</w:t>
                    </w:r>
                    <w:r w:rsidRPr="00F52E82">
                      <w:t>olates</w:t>
                    </w:r>
                  </w:p>
                  <w:p w:rsidR="0057123E" w:rsidRDefault="0057123E" w:rsidP="00F52E82">
                    <w:pPr>
                      <w:pStyle w:val="ElsGraphAuthor"/>
                    </w:pPr>
                    <w:r w:rsidRPr="00F52E82">
                      <w:t xml:space="preserve">Emma </w:t>
                    </w:r>
                    <w:r>
                      <w:t>L. Carswell, William J. Kerr*</w:t>
                    </w:r>
                    <w:r w:rsidRPr="00F52E82">
                      <w:t>, Duncan McArthur, Marek Pažický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 w:rsidRPr="00F52E82">
                      <w:t>and Allan J. B. Watson</w:t>
                    </w:r>
                  </w:p>
                  <w:p w:rsidR="0057123E" w:rsidRDefault="0057123E">
                    <w:pPr>
                      <w:pStyle w:val="ElsGraphAddress"/>
                    </w:pPr>
                    <w:r>
                      <w:t>Department of Pure and Applied Chemistry</w:t>
                    </w:r>
                  </w:p>
                  <w:p w:rsidR="0057123E" w:rsidRDefault="0057123E">
                    <w:pPr>
                      <w:pStyle w:val="ElsGraphAddress"/>
                    </w:pPr>
                    <w:r>
                      <w:t>WestCHEM</w:t>
                    </w:r>
                  </w:p>
                  <w:p w:rsidR="0057123E" w:rsidRDefault="0057123E">
                    <w:pPr>
                      <w:pStyle w:val="ElsGraphAddress"/>
                    </w:pPr>
                    <w:r>
                      <w:t>University of Strathclyde</w:t>
                    </w:r>
                  </w:p>
                  <w:p w:rsidR="0057123E" w:rsidRDefault="0057123E">
                    <w:pPr>
                      <w:pStyle w:val="ElsGraphAddress"/>
                    </w:pPr>
                    <w:r>
                      <w:t>295 Cathedral Street</w:t>
                    </w:r>
                  </w:p>
                  <w:p w:rsidR="0057123E" w:rsidRDefault="0057123E">
                    <w:pPr>
                      <w:pStyle w:val="ElsGraphAddress"/>
                    </w:pPr>
                    <w:r>
                      <w:t>Glasgow G1 1XL</w:t>
                    </w:r>
                  </w:p>
                  <w:p w:rsidR="0057123E" w:rsidRDefault="0057123E">
                    <w:pPr>
                      <w:pStyle w:val="ElsGraphAddress"/>
                    </w:pPr>
                    <w:r>
                      <w:t>Scotland</w:t>
                    </w:r>
                  </w:p>
                  <w:p w:rsidR="0057123E" w:rsidRDefault="00B032FD">
                    <w:pPr>
                      <w:pStyle w:val="ElsGraphAddress"/>
                    </w:pPr>
                    <w:r>
                      <w:t>UK</w:t>
                    </w:r>
                  </w:p>
                  <w:p w:rsidR="0057123E" w:rsidRDefault="0057123E" w:rsidP="00FD2493">
                    <w:pPr>
                      <w:pStyle w:val="ElsGraphPlaceholder"/>
                    </w:pPr>
                    <w:r>
                      <w:object w:dxaOrig="5042" w:dyaOrig="152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52pt;height:76.5pt" o:ole="">
                          <v:imagedata r:id="rId9" o:title=""/>
                        </v:shape>
                        <o:OLEObject Type="Embed" ProgID="ChemDraw.Document.6.0" ShapeID="_x0000_i1026" DrawAspect="Content" ObjectID="_1465025715" r:id="rId10"/>
                      </w:object>
                    </w:r>
                  </w:p>
                </w:txbxContent>
              </v:textbox>
            </v:shape>
            <v:shape id="_x0000_s1112" type="#_x0000_t202" style="position:absolute;left:6672;top:3672;width:4320;height:600" fillcolor="aqua">
              <v:fill opacity=".5"/>
              <o:lock v:ext="edit" aspectratio="t"/>
              <v:textbox style="mso-next-textbox:#_x0000_s1112" inset="3.6pt,,3.6pt">
                <w:txbxContent>
                  <w:p w:rsidR="0057123E" w:rsidRDefault="0057123E">
                    <w:r>
                      <w:t>Leave this area blank for abstract info.</w:t>
                    </w:r>
                  </w:p>
                </w:txbxContent>
              </v:textbox>
            </v:shape>
            <w10:wrap type="topAndBottom"/>
          </v:group>
        </w:pict>
      </w:r>
      <w:r w:rsidR="00600511">
        <w:t>To create your abstract, type over the instructions in the template box below.</w:t>
      </w:r>
      <w:r w:rsidR="00600511">
        <w:br/>
        <w:t>Fonts or abstract dimensions should not be changed or altered.</w:t>
      </w:r>
    </w:p>
    <w:p w:rsidR="004C116E" w:rsidRDefault="004C116E">
      <w:pPr>
        <w:sectPr w:rsidR="004C116E">
          <w:headerReference w:type="even" r:id="rId11"/>
          <w:headerReference w:type="default" r:id="rId12"/>
          <w:pgSz w:w="11906" w:h="16838"/>
          <w:pgMar w:top="1692" w:right="912" w:bottom="1692" w:left="912" w:header="1200" w:footer="1200" w:gutter="0"/>
          <w:pgNumType w:start="2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7650"/>
        <w:gridCol w:w="1440"/>
      </w:tblGrid>
      <w:tr w:rsidR="004C116E">
        <w:trPr>
          <w:cantSplit/>
          <w:trHeight w:val="1530"/>
        </w:trPr>
        <w:tc>
          <w:tcPr>
            <w:tcW w:w="1458" w:type="dxa"/>
          </w:tcPr>
          <w:p w:rsidR="004C116E" w:rsidRDefault="00FE753D">
            <w:pPr>
              <w:rPr>
                <w:sz w:val="30"/>
              </w:rPr>
            </w:pPr>
            <w:r>
              <w:rPr>
                <w:noProof/>
                <w:sz w:val="20"/>
                <w:vertAlign w:val="superscript"/>
              </w:rPr>
              <w:lastRenderedPageBreak/>
              <w:pict>
                <v:line id="_x0000_s1075" style="position:absolute;z-index:251657728" from="0,-3pt" to="450pt,-3pt"/>
              </w:pict>
            </w:r>
            <w:r>
              <w:rPr>
                <w:noProof/>
                <w:sz w:val="20"/>
              </w:rPr>
              <w:pict>
                <v:line id="_x0000_s1074" style="position:absolute;z-index:251656704" from="0,1in" to="519.75pt,1in" strokeweight="3pt"/>
              </w:pict>
            </w:r>
            <w:r>
              <w:pict>
                <v:shape id="_x0000_i1027" type="#_x0000_t75" alt="" style="width:66pt;height:69pt">
                  <v:imagedata r:id="rId13" o:title=""/>
                </v:shape>
              </w:pict>
            </w:r>
          </w:p>
        </w:tc>
        <w:tc>
          <w:tcPr>
            <w:tcW w:w="7650" w:type="dxa"/>
            <w:vAlign w:val="center"/>
          </w:tcPr>
          <w:p w:rsidR="004C116E" w:rsidRDefault="00600511">
            <w:pPr>
              <w:jc w:val="center"/>
              <w:outlineLvl w:val="0"/>
              <w:rPr>
                <w:sz w:val="19"/>
                <w:lang w:val="en-GB"/>
              </w:rPr>
            </w:pPr>
            <w:r>
              <w:br/>
            </w:r>
            <w:r>
              <w:rPr>
                <w:sz w:val="28"/>
              </w:rPr>
              <w:t>Tetrahedron</w:t>
            </w:r>
            <w:r>
              <w:br/>
            </w:r>
            <w:r>
              <w:rPr>
                <w:rFonts w:ascii="Univers" w:hAnsi="Univers"/>
                <w:spacing w:val="20"/>
                <w:sz w:val="17"/>
              </w:rPr>
              <w:t>journal homepage: www.elsevier.com</w:t>
            </w:r>
          </w:p>
        </w:tc>
        <w:tc>
          <w:tcPr>
            <w:tcW w:w="1440" w:type="dxa"/>
          </w:tcPr>
          <w:p w:rsidR="004C116E" w:rsidRDefault="00600511">
            <w:pPr>
              <w:outlineLvl w:val="0"/>
              <w:rPr>
                <w:sz w:val="19"/>
                <w:lang w:val="en-GB"/>
              </w:rPr>
            </w:pPr>
            <w:r>
              <w:object w:dxaOrig="5924" w:dyaOrig="7456">
                <v:shape id="_x0000_i1028" type="#_x0000_t75" style="width:56.25pt;height:1in" o:ole="">
                  <v:imagedata r:id="rId14" o:title=""/>
                </v:shape>
                <o:OLEObject Type="Embed" ProgID="PBrush" ShapeID="_x0000_i1028" DrawAspect="Content" ObjectID="_1465025708" r:id="rId15"/>
              </w:object>
            </w:r>
          </w:p>
        </w:tc>
      </w:tr>
    </w:tbl>
    <w:p w:rsidR="00B375AD" w:rsidRDefault="006F5E9C" w:rsidP="00B375AD">
      <w:pPr>
        <w:pStyle w:val="ElsArticleTitle"/>
      </w:pPr>
      <w:r>
        <w:t>D</w:t>
      </w:r>
      <w:r w:rsidR="00B375AD" w:rsidRPr="000F02CC">
        <w:t xml:space="preserve">evelopment of chiral </w:t>
      </w:r>
      <w:r>
        <w:t>heteroleptic magnesium amides;</w:t>
      </w:r>
      <w:r w:rsidR="00AE61CE">
        <w:t xml:space="preserve"> </w:t>
      </w:r>
      <w:r>
        <w:t>asymmetric</w:t>
      </w:r>
      <w:r w:rsidR="00B375AD" w:rsidRPr="000F02CC">
        <w:t xml:space="preserve"> deprotonations mediated by 6-membered metallocyclic amidomagnesium </w:t>
      </w:r>
      <w:r>
        <w:t>naphth</w:t>
      </w:r>
      <w:r w:rsidR="00B375AD" w:rsidRPr="000F02CC">
        <w:t>olates</w:t>
      </w:r>
    </w:p>
    <w:p w:rsidR="00B375AD" w:rsidRDefault="00B375AD" w:rsidP="00B375AD">
      <w:pPr>
        <w:pStyle w:val="ElsAuthor"/>
      </w:pPr>
      <w:r>
        <w:t xml:space="preserve">Emma L. </w:t>
      </w:r>
      <w:bookmarkStart w:id="0" w:name="_GoBack"/>
      <w:bookmarkEnd w:id="0"/>
      <w:r>
        <w:t>Carswell</w:t>
      </w:r>
      <w:r>
        <w:rPr>
          <w:vertAlign w:val="superscript"/>
        </w:rPr>
        <w:t>a</w:t>
      </w:r>
      <w:r>
        <w:t>, William J. Kerr</w:t>
      </w:r>
      <w:r w:rsidR="00FD2493">
        <w:rPr>
          <w:vertAlign w:val="superscript"/>
        </w:rPr>
        <w:t>a,</w:t>
      </w:r>
      <w:r>
        <w:footnoteReference w:customMarkFollows="1" w:id="2"/>
        <w:sym w:font="Symbol" w:char="F02A"/>
      </w:r>
      <w:r>
        <w:t xml:space="preserve">, </w:t>
      </w:r>
      <w:r w:rsidRPr="000F02CC">
        <w:t>Duncan McArthur</w:t>
      </w:r>
      <w:r w:rsidRPr="00555046">
        <w:rPr>
          <w:vertAlign w:val="superscript"/>
        </w:rPr>
        <w:t>b</w:t>
      </w:r>
      <w:r w:rsidR="00AE61CE">
        <w:rPr>
          <w:vertAlign w:val="superscript"/>
        </w:rPr>
        <w:t>¶</w:t>
      </w:r>
      <w:r>
        <w:t xml:space="preserve">, </w:t>
      </w:r>
      <w:r w:rsidRPr="000F02CC">
        <w:t>Marek Pažický</w:t>
      </w:r>
      <w:r w:rsidRPr="00555046">
        <w:rPr>
          <w:vertAlign w:val="superscript"/>
        </w:rPr>
        <w:t>a</w:t>
      </w:r>
      <w:r>
        <w:t xml:space="preserve"> and Allan J. B. Watson</w:t>
      </w:r>
      <w:r w:rsidRPr="00555046">
        <w:rPr>
          <w:vertAlign w:val="superscript"/>
        </w:rPr>
        <w:t>a</w:t>
      </w:r>
    </w:p>
    <w:p w:rsidR="00AE61CE" w:rsidRDefault="00600511">
      <w:pPr>
        <w:pStyle w:val="ElsAffiliation"/>
      </w:pPr>
      <w:r>
        <w:rPr>
          <w:vertAlign w:val="superscript"/>
        </w:rPr>
        <w:t>a</w:t>
      </w:r>
      <w:r w:rsidR="00B375AD" w:rsidRPr="00B375AD">
        <w:t xml:space="preserve"> Department of Pure and Applied Chemistry, WestCHEM, University of Strathclyde, 295 Cathedral Street, Glasgow, G1 1XL, Scotland, UK.</w:t>
      </w:r>
    </w:p>
    <w:p w:rsidR="004C116E" w:rsidRDefault="00600511">
      <w:pPr>
        <w:pStyle w:val="ElsAffiliation"/>
      </w:pPr>
      <w:r>
        <w:rPr>
          <w:vertAlign w:val="superscript"/>
        </w:rPr>
        <w:t>b</w:t>
      </w:r>
      <w:r w:rsidR="00B375AD" w:rsidRPr="00B375AD">
        <w:t xml:space="preserve"> </w:t>
      </w:r>
      <w:r w:rsidR="0075105F" w:rsidRPr="000F02CC">
        <w:t>Organon Research Scotland, Newhouse, Lanarkshire, ML1 5SH, UK.</w:t>
      </w:r>
    </w:p>
    <w:p w:rsidR="003C6AB3" w:rsidRDefault="003C6AB3">
      <w:pPr>
        <w:pStyle w:val="ElsAffiliation"/>
      </w:pPr>
    </w:p>
    <w:p w:rsidR="003C6AB3" w:rsidRDefault="003C6AB3" w:rsidP="003C6AB3">
      <w:pPr>
        <w:pStyle w:val="ElsAffiliation"/>
        <w:jc w:val="center"/>
      </w:pPr>
      <w:r>
        <w:t>In memory of Professor Sandy McKillop – an inspiring organic chemist and educator of international impact.</w:t>
      </w:r>
    </w:p>
    <w:p w:rsidR="00D76033" w:rsidRDefault="00D76033">
      <w:pPr>
        <w:pStyle w:val="ElsAffiliation"/>
      </w:pPr>
    </w:p>
    <w:tbl>
      <w:tblPr>
        <w:tblpPr w:leftFromText="187" w:rightFromText="187" w:bottomFromText="187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6840"/>
      </w:tblGrid>
      <w:tr w:rsidR="004C116E">
        <w:trPr>
          <w:trHeight w:val="710"/>
        </w:trPr>
        <w:tc>
          <w:tcPr>
            <w:tcW w:w="3468" w:type="dxa"/>
            <w:vAlign w:val="center"/>
          </w:tcPr>
          <w:p w:rsidR="004C116E" w:rsidRDefault="00600511">
            <w:pPr>
              <w:pStyle w:val="ElsArticleinfoHead"/>
              <w:rPr>
                <w:noProof/>
              </w:rPr>
            </w:pPr>
            <w:r>
              <w:rPr>
                <w:noProof/>
              </w:rPr>
              <w:t>ARTICLE INFO</w:t>
            </w:r>
          </w:p>
        </w:tc>
        <w:tc>
          <w:tcPr>
            <w:tcW w:w="6840" w:type="dxa"/>
            <w:tcMar>
              <w:left w:w="240" w:type="dxa"/>
            </w:tcMar>
            <w:vAlign w:val="center"/>
          </w:tcPr>
          <w:p w:rsidR="004C116E" w:rsidRDefault="00600511">
            <w:pPr>
              <w:pStyle w:val="ElsAbstractHead"/>
            </w:pPr>
            <w:r>
              <w:t>ABSTRACT</w:t>
            </w:r>
          </w:p>
        </w:tc>
      </w:tr>
      <w:tr w:rsidR="004C116E">
        <w:trPr>
          <w:cantSplit/>
          <w:trHeight w:val="1051"/>
        </w:trPr>
        <w:tc>
          <w:tcPr>
            <w:tcW w:w="3468" w:type="dxa"/>
            <w:tcMar>
              <w:top w:w="72" w:type="dxa"/>
            </w:tcMar>
          </w:tcPr>
          <w:p w:rsidR="004C116E" w:rsidRDefault="00600511">
            <w:pPr>
              <w:pStyle w:val="ElsArticlehistory"/>
            </w:pPr>
            <w:r>
              <w:t>Article history:</w:t>
            </w:r>
          </w:p>
          <w:p w:rsidR="004C116E" w:rsidRDefault="00600511">
            <w:pPr>
              <w:pStyle w:val="ElsArticlehistory"/>
              <w:rPr>
                <w:i w:val="0"/>
                <w:iCs/>
              </w:rPr>
            </w:pPr>
            <w:r>
              <w:rPr>
                <w:i w:val="0"/>
                <w:iCs/>
              </w:rPr>
              <w:t>Received</w:t>
            </w:r>
          </w:p>
          <w:p w:rsidR="004C116E" w:rsidRDefault="00600511">
            <w:pPr>
              <w:pStyle w:val="ElsArticlehistory"/>
              <w:rPr>
                <w:i w:val="0"/>
                <w:iCs/>
              </w:rPr>
            </w:pPr>
            <w:r>
              <w:rPr>
                <w:i w:val="0"/>
                <w:iCs/>
              </w:rPr>
              <w:t>Received in revised form</w:t>
            </w:r>
          </w:p>
          <w:p w:rsidR="004C116E" w:rsidRDefault="00600511">
            <w:pPr>
              <w:pStyle w:val="ElsArticlehistory"/>
              <w:rPr>
                <w:i w:val="0"/>
                <w:iCs/>
              </w:rPr>
            </w:pPr>
            <w:r>
              <w:rPr>
                <w:i w:val="0"/>
                <w:iCs/>
              </w:rPr>
              <w:t>Accepted</w:t>
            </w:r>
          </w:p>
          <w:p w:rsidR="004C116E" w:rsidRDefault="00600511">
            <w:pPr>
              <w:pStyle w:val="ElsArticlehistory"/>
            </w:pPr>
            <w:r>
              <w:rPr>
                <w:i w:val="0"/>
                <w:iCs/>
              </w:rPr>
              <w:t>Available online</w:t>
            </w:r>
          </w:p>
        </w:tc>
        <w:tc>
          <w:tcPr>
            <w:tcW w:w="6840" w:type="dxa"/>
            <w:vMerge w:val="restart"/>
            <w:tcMar>
              <w:left w:w="240" w:type="dxa"/>
            </w:tcMar>
          </w:tcPr>
          <w:p w:rsidR="00D76033" w:rsidRPr="00D76033" w:rsidRDefault="004F2570" w:rsidP="00D76033">
            <w:pPr>
              <w:pStyle w:val="ElsAbstractText"/>
            </w:pPr>
            <w:r>
              <w:t>A series of enantioenriched</w:t>
            </w:r>
            <w:r w:rsidR="00D76033" w:rsidRPr="007A6D08">
              <w:t xml:space="preserve"> 6-membered metallocyclic amidomagnesium </w:t>
            </w:r>
            <w:r w:rsidR="006F5E9C">
              <w:t>naphth</w:t>
            </w:r>
            <w:r w:rsidR="00D76033" w:rsidRPr="007A6D08">
              <w:t xml:space="preserve">olates were </w:t>
            </w:r>
            <w:r w:rsidR="00A71C8C">
              <w:t>prepared</w:t>
            </w:r>
            <w:r w:rsidR="00D76033" w:rsidRPr="007A6D08">
              <w:t xml:space="preserve"> and used to probe the structure-reactivity/selectivity relationships of heteroleptic magnesium base complexes within asymmetric deprotonation reactions.  An effective complex was identified and applied within enantioselective enolisation processes, delivering </w:t>
            </w:r>
            <w:r w:rsidR="00A71C8C">
              <w:t>good</w:t>
            </w:r>
            <w:r w:rsidR="00D76033" w:rsidRPr="007A6D08">
              <w:t xml:space="preserve"> levels of </w:t>
            </w:r>
            <w:r w:rsidR="00A71C8C">
              <w:t>enantio</w:t>
            </w:r>
            <w:r w:rsidR="00D76033" w:rsidRPr="007A6D08">
              <w:t>selectivity and also revealing key structural requirements f</w:t>
            </w:r>
            <w:r w:rsidR="007076F6">
              <w:t xml:space="preserve">or achieving </w:t>
            </w:r>
            <w:r w:rsidR="00A71C8C">
              <w:t xml:space="preserve">such </w:t>
            </w:r>
            <w:r w:rsidR="007076F6">
              <w:t>selectivity</w:t>
            </w:r>
            <w:r w:rsidR="00D76033" w:rsidRPr="007076F6">
              <w:rPr>
                <w:szCs w:val="17"/>
              </w:rPr>
              <w:t>.</w:t>
            </w:r>
          </w:p>
          <w:p w:rsidR="004C116E" w:rsidRDefault="004C116E">
            <w:pPr>
              <w:pStyle w:val="ElsAbstractText"/>
            </w:pPr>
          </w:p>
          <w:p w:rsidR="004C116E" w:rsidRDefault="00600511">
            <w:pPr>
              <w:pStyle w:val="ElsAbstractText"/>
              <w:jc w:val="right"/>
              <w:rPr>
                <w:sz w:val="16"/>
              </w:rPr>
            </w:pPr>
            <w:r>
              <w:rPr>
                <w:szCs w:val="14"/>
              </w:rPr>
              <w:t>20</w:t>
            </w:r>
            <w:r w:rsidR="00D76033">
              <w:rPr>
                <w:szCs w:val="14"/>
              </w:rPr>
              <w:t>14</w:t>
            </w:r>
            <w:r>
              <w:rPr>
                <w:szCs w:val="14"/>
              </w:rPr>
              <w:t xml:space="preserve"> Elsevier Ltd. All rights reserved</w:t>
            </w:r>
            <w:r>
              <w:rPr>
                <w:sz w:val="16"/>
                <w:szCs w:val="14"/>
              </w:rPr>
              <w:t>.</w:t>
            </w:r>
          </w:p>
          <w:p w:rsidR="004C116E" w:rsidRDefault="004C116E">
            <w:pPr>
              <w:pStyle w:val="ElsAbstractText"/>
            </w:pPr>
          </w:p>
        </w:tc>
      </w:tr>
      <w:tr w:rsidR="004C116E">
        <w:trPr>
          <w:cantSplit/>
          <w:trHeight w:val="1385"/>
        </w:trPr>
        <w:tc>
          <w:tcPr>
            <w:tcW w:w="3468" w:type="dxa"/>
            <w:tcMar>
              <w:top w:w="72" w:type="dxa"/>
              <w:left w:w="0" w:type="dxa"/>
            </w:tcMar>
            <w:vAlign w:val="center"/>
          </w:tcPr>
          <w:p w:rsidR="004C116E" w:rsidRDefault="00600511">
            <w:pPr>
              <w:pStyle w:val="ElsKeywordHead"/>
            </w:pPr>
            <w:r>
              <w:t>Keywords:</w:t>
            </w:r>
          </w:p>
          <w:p w:rsidR="004C116E" w:rsidRPr="005B3472" w:rsidRDefault="005B3472" w:rsidP="005B3472">
            <w:pPr>
              <w:pStyle w:val="ElsKeywordHead"/>
              <w:rPr>
                <w:i w:val="0"/>
                <w:lang w:val="en-GB"/>
              </w:rPr>
            </w:pPr>
            <w:r w:rsidRPr="005B3472">
              <w:rPr>
                <w:i w:val="0"/>
                <w:lang w:val="en-GB"/>
              </w:rPr>
              <w:t>Enantioselective deprotonation</w:t>
            </w:r>
            <w:r>
              <w:rPr>
                <w:i w:val="0"/>
                <w:lang w:val="en-GB"/>
              </w:rPr>
              <w:t xml:space="preserve"> </w:t>
            </w:r>
          </w:p>
          <w:p w:rsidR="004C116E" w:rsidRDefault="005B3472">
            <w:pPr>
              <w:pStyle w:val="ElsKeyword"/>
              <w:rPr>
                <w:iCs/>
              </w:rPr>
            </w:pPr>
            <w:r>
              <w:t>Heteroleptic magnesium bases</w:t>
            </w:r>
          </w:p>
          <w:p w:rsidR="004C116E" w:rsidRDefault="005B3472">
            <w:pPr>
              <w:pStyle w:val="ElsKeyword"/>
              <w:rPr>
                <w:iCs/>
              </w:rPr>
            </w:pPr>
            <w:r>
              <w:t>Enolate</w:t>
            </w:r>
          </w:p>
          <w:p w:rsidR="004C116E" w:rsidRDefault="005B3472">
            <w:pPr>
              <w:pStyle w:val="ElsKeyword"/>
            </w:pPr>
            <w:r>
              <w:t>Asymmetric synthesis</w:t>
            </w:r>
          </w:p>
          <w:p w:rsidR="009D44BE" w:rsidRPr="0005119B" w:rsidRDefault="009D44BE">
            <w:pPr>
              <w:pStyle w:val="ElsKeyword"/>
            </w:pPr>
            <w:r>
              <w:t>Amidonaphtholate</w:t>
            </w:r>
          </w:p>
        </w:tc>
        <w:tc>
          <w:tcPr>
            <w:tcW w:w="6840" w:type="dxa"/>
            <w:vMerge/>
          </w:tcPr>
          <w:p w:rsidR="004C116E" w:rsidRDefault="004C116E">
            <w:pPr>
              <w:spacing w:after="80" w:line="200" w:lineRule="exact"/>
            </w:pPr>
          </w:p>
        </w:tc>
      </w:tr>
    </w:tbl>
    <w:p w:rsidR="005B2C8C" w:rsidRDefault="005B2C8C">
      <w:pPr>
        <w:pStyle w:val="ElsCorrespondingAuthor"/>
        <w:spacing w:before="60" w:after="200" w:line="240" w:lineRule="auto"/>
        <w:rPr>
          <w:szCs w:val="24"/>
        </w:rPr>
        <w:sectPr w:rsidR="005B2C8C">
          <w:headerReference w:type="even" r:id="rId16"/>
          <w:pgSz w:w="11906" w:h="16838" w:code="9"/>
          <w:pgMar w:top="1440" w:right="766" w:bottom="1238" w:left="766" w:header="720" w:footer="240" w:gutter="0"/>
          <w:pgNumType w:start="1"/>
          <w:cols w:space="720"/>
        </w:sectPr>
      </w:pPr>
    </w:p>
    <w:p w:rsidR="004C116E" w:rsidRDefault="004C116E">
      <w:pPr>
        <w:pStyle w:val="ElsCorrespondingAuthor"/>
        <w:spacing w:before="60" w:after="200" w:line="240" w:lineRule="auto"/>
        <w:rPr>
          <w:szCs w:val="24"/>
        </w:rPr>
        <w:sectPr w:rsidR="004C116E" w:rsidSect="005B2C8C">
          <w:type w:val="continuous"/>
          <w:pgSz w:w="11906" w:h="16838" w:code="9"/>
          <w:pgMar w:top="1440" w:right="766" w:bottom="1238" w:left="766" w:header="720" w:footer="240" w:gutter="0"/>
          <w:pgNumType w:start="1"/>
          <w:cols w:num="2" w:space="720"/>
        </w:sectPr>
      </w:pPr>
    </w:p>
    <w:p w:rsidR="004C116E" w:rsidRDefault="00D76033">
      <w:pPr>
        <w:pStyle w:val="ElsHeading1"/>
      </w:pPr>
      <w:bookmarkStart w:id="1" w:name="InstructionText"/>
      <w:r>
        <w:t>Introduction</w:t>
      </w:r>
    </w:p>
    <w:p w:rsidR="004C116E" w:rsidRDefault="00FE753D">
      <w:pPr>
        <w:pStyle w:val="ElsParagraph"/>
      </w:pPr>
      <w:r>
        <w:rPr>
          <w:noProof/>
        </w:rPr>
        <w:pict>
          <v:shape id="_x0000_s1125" type="#_x0000_t75" style="position:absolute;left:0;text-align:left;margin-left:296.3pt;margin-top:108.9pt;width:195.35pt;height:101.3pt;z-index:251660800;mso-position-horizontal-relative:text;mso-position-vertical-relative:text">
            <v:imagedata r:id="rId17" o:title=""/>
            <w10:wrap type="topAndBottom"/>
          </v:shape>
          <o:OLEObject Type="Embed" ProgID="ChemDraw.Document.6.0" ShapeID="_x0000_s1125" DrawAspect="Content" ObjectID="_1465025716" r:id="rId18"/>
        </w:pict>
      </w:r>
      <w:r w:rsidR="00F03BDD">
        <w:t>Over recent years c</w:t>
      </w:r>
      <w:r w:rsidR="00D76033" w:rsidRPr="00D76033">
        <w:t>hir</w:t>
      </w:r>
      <w:r w:rsidR="00F03BDD">
        <w:t>al magnesium amide complexes have been shown to be</w:t>
      </w:r>
      <w:r w:rsidR="00D76033" w:rsidRPr="00D76033">
        <w:t xml:space="preserve"> highly selective reagents for the asymmetric deprotonation of prochiral ketones.</w:t>
      </w:r>
      <w:r w:rsidR="00D76033" w:rsidRPr="00D76033">
        <w:rPr>
          <w:vertAlign w:val="superscript"/>
        </w:rPr>
        <w:t>1-3</w:t>
      </w:r>
      <w:r w:rsidR="00D76033" w:rsidRPr="00D76033">
        <w:t xml:space="preserve"> In particular, homoleptic magnesium bisamides have demonstrated </w:t>
      </w:r>
      <w:r w:rsidR="009158AC">
        <w:t>very good</w:t>
      </w:r>
      <w:r w:rsidR="00D76033" w:rsidRPr="00D76033">
        <w:t xml:space="preserve"> levels of asymmetric efficiency.</w:t>
      </w:r>
      <w:r w:rsidR="00A40F1C">
        <w:rPr>
          <w:vertAlign w:val="superscript"/>
        </w:rPr>
        <w:t>1</w:t>
      </w:r>
      <w:r w:rsidR="00D76033" w:rsidRPr="00D76033">
        <w:rPr>
          <w:vertAlign w:val="superscript"/>
        </w:rPr>
        <w:t>a-e,g</w:t>
      </w:r>
      <w:r w:rsidR="00A97319">
        <w:rPr>
          <w:vertAlign w:val="superscript"/>
        </w:rPr>
        <w:t>-i</w:t>
      </w:r>
      <w:r w:rsidR="00D76033" w:rsidRPr="00D76033">
        <w:t xml:space="preserve"> Additionally, the di</w:t>
      </w:r>
      <w:r w:rsidR="00157E73">
        <w:t>valency of magnesium enables</w:t>
      </w:r>
      <w:r w:rsidR="00D76033" w:rsidRPr="00D76033">
        <w:t xml:space="preserve"> the exploration of heteroleptic complexes within enantioselective enolisation processes.</w:t>
      </w:r>
      <w:r w:rsidR="00AC22A1">
        <w:rPr>
          <w:vertAlign w:val="superscript"/>
        </w:rPr>
        <w:t>1</w:t>
      </w:r>
      <w:r w:rsidR="00D76033" w:rsidRPr="00D76033">
        <w:rPr>
          <w:vertAlign w:val="superscript"/>
        </w:rPr>
        <w:t>f</w:t>
      </w:r>
      <w:r w:rsidR="00D76033" w:rsidRPr="00D76033">
        <w:t xml:space="preserve"> In this regard, </w:t>
      </w:r>
      <w:r w:rsidR="00DB42F9">
        <w:t>some initial investigations have been conducted</w:t>
      </w:r>
      <w:r w:rsidR="00D76033" w:rsidRPr="00D76033">
        <w:t xml:space="preserve"> with two </w:t>
      </w:r>
      <w:r w:rsidR="00A40F1C">
        <w:t>classes of chiral heteroleptic base</w:t>
      </w:r>
      <w:r w:rsidR="00DB42F9">
        <w:t>.</w:t>
      </w:r>
      <w:r w:rsidR="00A40F1C">
        <w:t xml:space="preserve"> </w:t>
      </w:r>
      <w:r w:rsidR="00D76033" w:rsidRPr="00D76033">
        <w:t>Alkylmagnesium amides,</w:t>
      </w:r>
      <w:r w:rsidR="00AC22A1">
        <w:rPr>
          <w:vertAlign w:val="superscript"/>
        </w:rPr>
        <w:t>1f</w:t>
      </w:r>
      <w:r w:rsidR="00DB42F9">
        <w:t xml:space="preserve"> comprising a chiral</w:t>
      </w:r>
      <w:r w:rsidR="00D76033" w:rsidRPr="00D76033">
        <w:t xml:space="preserve"> amide and </w:t>
      </w:r>
      <w:r w:rsidR="00351D5C">
        <w:t xml:space="preserve">achiral </w:t>
      </w:r>
      <w:r w:rsidR="00D76033" w:rsidRPr="00D76033">
        <w:t xml:space="preserve">alkyl ligand, demonstrated that </w:t>
      </w:r>
      <w:r w:rsidR="00DB42F9">
        <w:t xml:space="preserve">good </w:t>
      </w:r>
      <w:r w:rsidR="00D76033" w:rsidRPr="00D76033">
        <w:t xml:space="preserve">levels of asymmetric induction may be obtained while using only half the quantity of parent amine </w:t>
      </w:r>
      <w:r w:rsidR="00351D5C">
        <w:t>relative to that</w:t>
      </w:r>
      <w:r w:rsidR="00D76033" w:rsidRPr="00D76033">
        <w:t xml:space="preserve"> required by the homochiral bisamide system. Additionally, it was </w:t>
      </w:r>
      <w:r w:rsidR="00DB42F9">
        <w:t>shown</w:t>
      </w:r>
      <w:r w:rsidR="00D76033" w:rsidRPr="00D76033">
        <w:t xml:space="preserve"> that the key deprotonation event was mediated by the amide and not by the alkyl ligand.</w:t>
      </w:r>
      <w:r w:rsidR="00AC22A1">
        <w:rPr>
          <w:vertAlign w:val="superscript"/>
        </w:rPr>
        <w:t>1</w:t>
      </w:r>
      <w:r w:rsidR="00D76033" w:rsidRPr="00D76033">
        <w:rPr>
          <w:vertAlign w:val="superscript"/>
        </w:rPr>
        <w:t>f</w:t>
      </w:r>
      <w:r w:rsidR="00D76033" w:rsidRPr="00D76033">
        <w:t xml:space="preserve"> </w:t>
      </w:r>
      <w:r w:rsidR="00DB42F9">
        <w:t>In the second heteroleptic base approach</w:t>
      </w:r>
      <w:r w:rsidR="00D76033" w:rsidRPr="00D76033">
        <w:t xml:space="preserve">, </w:t>
      </w:r>
      <w:r w:rsidR="0005119B">
        <w:t xml:space="preserve">chiral </w:t>
      </w:r>
      <w:r w:rsidR="00D76033" w:rsidRPr="00D76033">
        <w:t>amidomagnesium phenolate complexes,</w:t>
      </w:r>
      <w:r w:rsidR="00AC22A1">
        <w:rPr>
          <w:vertAlign w:val="superscript"/>
        </w:rPr>
        <w:t>1</w:t>
      </w:r>
      <w:r w:rsidR="00D76033" w:rsidRPr="00D76033">
        <w:rPr>
          <w:vertAlign w:val="superscript"/>
        </w:rPr>
        <w:t>f</w:t>
      </w:r>
      <w:r w:rsidR="00D76033" w:rsidRPr="00D76033">
        <w:t xml:space="preserve"> revealed that replacement of the </w:t>
      </w:r>
      <w:r w:rsidR="00351D5C">
        <w:t xml:space="preserve">achiral </w:t>
      </w:r>
      <w:r w:rsidR="00D76033" w:rsidRPr="00D76033">
        <w:t>spectator ligand can generate an unusual r</w:t>
      </w:r>
      <w:r w:rsidR="00351D5C">
        <w:t>eactivity/selectivity profile: i</w:t>
      </w:r>
      <w:r w:rsidR="00D76033" w:rsidRPr="00D76033">
        <w:t xml:space="preserve">n this case, </w:t>
      </w:r>
      <w:r w:rsidR="00351D5C">
        <w:t>both a reversal in the sense of</w:t>
      </w:r>
      <w:r w:rsidR="00D76033" w:rsidRPr="00D76033">
        <w:t xml:space="preserve"> enantioselectivity was observed and</w:t>
      </w:r>
      <w:r w:rsidR="00351D5C">
        <w:t>, further,</w:t>
      </w:r>
      <w:r w:rsidR="00D76033" w:rsidRPr="00D76033">
        <w:t xml:space="preserve"> the maximum levels of asymmetric induction were achieved at the </w:t>
      </w:r>
      <w:r w:rsidR="00351D5C">
        <w:t>unusually</w:t>
      </w:r>
      <w:r w:rsidR="00D76033" w:rsidRPr="00D76033">
        <w:t xml:space="preserve"> high reaction temperature of 40 </w:t>
      </w:r>
      <w:r w:rsidR="00D76033" w:rsidRPr="00D76033">
        <w:sym w:font="Symbol" w:char="F0B0"/>
      </w:r>
      <w:r w:rsidR="00D76033" w:rsidRPr="00D76033">
        <w:t>C (Figure 1).</w:t>
      </w:r>
      <w:r w:rsidR="00AC22A1">
        <w:rPr>
          <w:vertAlign w:val="superscript"/>
        </w:rPr>
        <w:t>1</w:t>
      </w:r>
      <w:r w:rsidR="00D76033" w:rsidRPr="00D76033">
        <w:rPr>
          <w:vertAlign w:val="superscript"/>
        </w:rPr>
        <w:t>f</w:t>
      </w:r>
    </w:p>
    <w:p w:rsidR="00CC048B" w:rsidRDefault="00D76033" w:rsidP="00CC048B">
      <w:pPr>
        <w:pStyle w:val="ElsParagraph"/>
      </w:pPr>
      <w:r w:rsidRPr="000F02CC">
        <w:t xml:space="preserve">Inspired by the </w:t>
      </w:r>
      <w:r w:rsidR="0005119B">
        <w:t>preliminary investigations with</w:t>
      </w:r>
      <w:r w:rsidRPr="000F02CC">
        <w:t xml:space="preserve"> amidomagnesium alkoxides, we became intrigued by aminoalcohols which, when derivatised to the magnesium complex, would generate a conformationally rigid metallocycle that may </w:t>
      </w:r>
      <w:r w:rsidR="0005119B">
        <w:t xml:space="preserve">deliver modified selectivity profiles and </w:t>
      </w:r>
      <w:r w:rsidRPr="000F02CC">
        <w:t xml:space="preserve">potentially enable effective asymmetric induction at </w:t>
      </w:r>
      <w:r w:rsidR="0005119B">
        <w:t xml:space="preserve">more accessible </w:t>
      </w:r>
      <w:r w:rsidR="00CC048B">
        <w:t xml:space="preserve">reaction </w:t>
      </w:r>
      <w:r w:rsidRPr="000F02CC">
        <w:t>temperatures. Towards this end, we envisaged utilising a series of chiral aminonaphthols that could be expediently prepared following the diastereoselective Mannich processes detailed by the groups of Cimarelli and Gong.</w:t>
      </w:r>
      <w:r w:rsidRPr="000F02CC">
        <w:rPr>
          <w:vertAlign w:val="superscript"/>
        </w:rPr>
        <w:t>4</w:t>
      </w:r>
      <w:r w:rsidRPr="000F02CC">
        <w:t xml:space="preserve"> We anticipated that exposure </w:t>
      </w:r>
      <w:r w:rsidR="00CC048B" w:rsidRPr="000F02CC">
        <w:t xml:space="preserve">to </w:t>
      </w:r>
      <w:r w:rsidR="00CC048B" w:rsidRPr="000F02CC">
        <w:rPr>
          <w:i/>
        </w:rPr>
        <w:t>n</w:t>
      </w:r>
      <w:r w:rsidR="00CC048B" w:rsidRPr="000F02CC">
        <w:t>-Bu</w:t>
      </w:r>
      <w:r w:rsidR="00CC048B" w:rsidRPr="000F02CC">
        <w:rPr>
          <w:vertAlign w:val="subscript"/>
        </w:rPr>
        <w:t>2</w:t>
      </w:r>
      <w:r w:rsidR="00CC048B" w:rsidRPr="000F02CC">
        <w:t>Mg</w:t>
      </w:r>
      <w:r w:rsidR="00CC048B" w:rsidRPr="000F02CC">
        <w:rPr>
          <w:vertAlign w:val="superscript"/>
        </w:rPr>
        <w:t>5</w:t>
      </w:r>
      <w:r w:rsidR="00CC048B" w:rsidRPr="000F02CC">
        <w:t xml:space="preserve"> would result in the formation of a 6-membered</w:t>
      </w:r>
    </w:p>
    <w:p w:rsidR="00CC048B" w:rsidRDefault="00CC048B" w:rsidP="005F7AE8">
      <w:pPr>
        <w:pStyle w:val="ElsLegend"/>
      </w:pPr>
      <w:r w:rsidRPr="00214D3A">
        <w:rPr>
          <w:b/>
        </w:rPr>
        <w:t>Fig. 1</w:t>
      </w:r>
      <w:r>
        <w:t>. Structural development of amidomagnesium phenolates.</w:t>
      </w:r>
    </w:p>
    <w:p w:rsidR="00CC048B" w:rsidRDefault="00CC048B" w:rsidP="00CC048B">
      <w:pPr>
        <w:pStyle w:val="ElsParagraph"/>
        <w:ind w:firstLine="0"/>
      </w:pPr>
    </w:p>
    <w:p w:rsidR="00214D3A" w:rsidRDefault="00D76033" w:rsidP="005F7AE8">
      <w:pPr>
        <w:pStyle w:val="ElsParagraph"/>
        <w:ind w:firstLine="0"/>
      </w:pPr>
      <w:r w:rsidRPr="000F02CC">
        <w:t xml:space="preserve">amidomagnesium </w:t>
      </w:r>
      <w:r w:rsidR="006F5E9C">
        <w:t>naphth</w:t>
      </w:r>
      <w:r w:rsidRPr="000F02CC">
        <w:t>olate that could then be used to probe the effectiveness of such cyclic analogues (Figure 1).</w:t>
      </w:r>
    </w:p>
    <w:p w:rsidR="004C116E" w:rsidRDefault="00D76033">
      <w:pPr>
        <w:pStyle w:val="ElsHeading1"/>
      </w:pPr>
      <w:r>
        <w:t>Results and Discussion</w:t>
      </w:r>
    </w:p>
    <w:p w:rsidR="00D76033" w:rsidRDefault="00F563C9">
      <w:pPr>
        <w:pStyle w:val="ElsParagraph"/>
      </w:pPr>
      <w:r>
        <w:t xml:space="preserve">Intially, we </w:t>
      </w:r>
      <w:r w:rsidR="00D76033" w:rsidRPr="000F02CC">
        <w:t>employed the synthetically flexible solvent-free procedure described by Cimarelli to prepare alkyl- and aryl-</w:t>
      </w:r>
      <w:r w:rsidR="006806A5" w:rsidRPr="000F02CC">
        <w:t>substituted</w:t>
      </w:r>
      <w:r w:rsidR="00D76033" w:rsidRPr="000F02CC">
        <w:t xml:space="preserve"> aminonaphthols </w:t>
      </w:r>
      <w:r w:rsidR="00D76033" w:rsidRPr="00742A52">
        <w:rPr>
          <w:b/>
        </w:rPr>
        <w:t>3a-g</w:t>
      </w:r>
      <w:r w:rsidR="00D76033" w:rsidRPr="00742A52">
        <w:t>,</w:t>
      </w:r>
      <w:r w:rsidR="00D76033" w:rsidRPr="00742A52">
        <w:rPr>
          <w:vertAlign w:val="superscript"/>
        </w:rPr>
        <w:t>4a,b</w:t>
      </w:r>
      <w:r w:rsidR="00D76033" w:rsidRPr="000F02CC">
        <w:t xml:space="preserve"> and the convenient procedure of Gong to access the fluorinated derivative </w:t>
      </w:r>
      <w:r w:rsidR="00D76033" w:rsidRPr="00742A52">
        <w:rPr>
          <w:b/>
        </w:rPr>
        <w:t>3h</w:t>
      </w:r>
      <w:r w:rsidR="00D76033" w:rsidRPr="000F02CC">
        <w:t>.</w:t>
      </w:r>
      <w:r w:rsidR="00D76033" w:rsidRPr="000F02CC">
        <w:rPr>
          <w:vertAlign w:val="superscript"/>
        </w:rPr>
        <w:t>4c</w:t>
      </w:r>
      <w:r w:rsidR="00D76033" w:rsidRPr="000F02CC">
        <w:t xml:space="preserve"> Utilising (</w:t>
      </w:r>
      <w:r w:rsidR="00D76033" w:rsidRPr="000F02CC">
        <w:rPr>
          <w:i/>
        </w:rPr>
        <w:t>R</w:t>
      </w:r>
      <w:r w:rsidR="00D76033" w:rsidRPr="000F02CC">
        <w:t>)-1-phenylethylamine as the requisite chiral ami</w:t>
      </w:r>
      <w:r>
        <w:t>ne</w:t>
      </w:r>
      <w:r w:rsidR="00B46068">
        <w:t>,</w:t>
      </w:r>
      <w:r w:rsidR="00D76033" w:rsidRPr="000F02CC">
        <w:t xml:space="preserve"> </w:t>
      </w:r>
      <w:r>
        <w:t xml:space="preserve">alongside </w:t>
      </w:r>
      <w:r w:rsidR="00D76033" w:rsidRPr="000F02CC">
        <w:t>variation of the aldehyde component</w:t>
      </w:r>
      <w:r w:rsidR="00B46068">
        <w:t>,</w:t>
      </w:r>
      <w:r w:rsidR="00D76033" w:rsidRPr="000F02CC">
        <w:t xml:space="preserve"> provided a range of fu</w:t>
      </w:r>
      <w:r>
        <w:t xml:space="preserve">nctionalised diastereomerically-enriched </w:t>
      </w:r>
      <w:r w:rsidR="00D76033" w:rsidRPr="000F02CC">
        <w:t>aminonaphthols after fractional recrystallisation (Table 1).</w:t>
      </w:r>
    </w:p>
    <w:p w:rsidR="00400009" w:rsidRDefault="00400009" w:rsidP="00214D3A">
      <w:pPr>
        <w:pStyle w:val="ElsTableCaption"/>
        <w:rPr>
          <w:b/>
        </w:rPr>
      </w:pPr>
    </w:p>
    <w:p w:rsidR="00214D3A" w:rsidRPr="00214D3A" w:rsidRDefault="00214D3A" w:rsidP="00214D3A">
      <w:pPr>
        <w:pStyle w:val="ElsTableCaption"/>
        <w:rPr>
          <w:b/>
        </w:rPr>
      </w:pPr>
      <w:r w:rsidRPr="00214D3A">
        <w:rPr>
          <w:b/>
        </w:rPr>
        <w:t>Table 1</w:t>
      </w:r>
    </w:p>
    <w:p w:rsidR="00214D3A" w:rsidRDefault="00214D3A" w:rsidP="00214D3A">
      <w:pPr>
        <w:pStyle w:val="ElsTableCaption"/>
        <w:rPr>
          <w:vertAlign w:val="superscript"/>
        </w:rPr>
      </w:pPr>
      <w:r>
        <w:t>Synthesis of aminonaphthols using the Cimarelli/Gong method</w:t>
      </w:r>
      <w:r w:rsidRPr="00214D3A">
        <w:rPr>
          <w:vertAlign w:val="superscript"/>
        </w:rPr>
        <w:t>4</w:t>
      </w:r>
    </w:p>
    <w:p w:rsidR="00214D3A" w:rsidRDefault="00BA4108" w:rsidP="00214D3A">
      <w:pPr>
        <w:pStyle w:val="ElsParagraph"/>
        <w:spacing w:line="240" w:lineRule="auto"/>
        <w:ind w:firstLine="232"/>
        <w:jc w:val="center"/>
      </w:pPr>
      <w:r>
        <w:object w:dxaOrig="3838" w:dyaOrig="1164">
          <v:shape id="_x0000_i1030" type="#_x0000_t75" style="width:192pt;height:57.75pt" o:ole="">
            <v:imagedata r:id="rId19" o:title=""/>
          </v:shape>
          <o:OLEObject Type="Embed" ProgID="ChemDraw.Document.6.0" ShapeID="_x0000_i1030" DrawAspect="Content" ObjectID="_1465025709" r:id="rId20"/>
        </w:object>
      </w:r>
    </w:p>
    <w:tbl>
      <w:tblPr>
        <w:tblStyle w:val="TableGrid"/>
        <w:tblW w:w="4763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1092"/>
        <w:gridCol w:w="417"/>
        <w:gridCol w:w="686"/>
        <w:gridCol w:w="1139"/>
        <w:gridCol w:w="774"/>
      </w:tblGrid>
      <w:tr w:rsidR="00214D3A" w:rsidRPr="00B329FA" w:rsidTr="00400009">
        <w:trPr>
          <w:jc w:val="center"/>
        </w:trPr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</w:tcPr>
          <w:p w:rsidR="00214D3A" w:rsidRDefault="00214D3A" w:rsidP="0057123E">
            <w:pPr>
              <w:pStyle w:val="G4bTableBody"/>
            </w:pPr>
            <w:r>
              <w:t>Entry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</w:tcPr>
          <w:p w:rsidR="00214D3A" w:rsidRDefault="00214D3A" w:rsidP="0057123E">
            <w:pPr>
              <w:pStyle w:val="G4bTableBody"/>
            </w:pPr>
            <w:r>
              <w:t>R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214D3A" w:rsidRDefault="00214D3A" w:rsidP="0057123E">
            <w:pPr>
              <w:pStyle w:val="G4bTableBody"/>
            </w:pP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</w:tcPr>
          <w:p w:rsidR="00214D3A" w:rsidRDefault="00214D3A" w:rsidP="0057123E">
            <w:pPr>
              <w:pStyle w:val="G4bTableBody"/>
            </w:pPr>
            <w:r>
              <w:t>Conv. (%)</w:t>
            </w:r>
            <w:r w:rsidRPr="001112B5">
              <w:rPr>
                <w:vertAlign w:val="superscript"/>
              </w:rPr>
              <w:t>a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:rsidR="00214D3A" w:rsidRDefault="00214D3A" w:rsidP="0057123E">
            <w:pPr>
              <w:pStyle w:val="G4bTableBody"/>
            </w:pPr>
            <w:r>
              <w:t>D.r. (</w:t>
            </w:r>
            <w:r w:rsidRPr="001112B5">
              <w:rPr>
                <w:i/>
              </w:rPr>
              <w:t>R</w:t>
            </w:r>
            <w:r>
              <w:t>,</w:t>
            </w:r>
            <w:r w:rsidRPr="001112B5">
              <w:rPr>
                <w:i/>
              </w:rPr>
              <w:t>R</w:t>
            </w:r>
            <w:r>
              <w:t>):(</w:t>
            </w:r>
            <w:r w:rsidRPr="001112B5">
              <w:rPr>
                <w:i/>
              </w:rPr>
              <w:t>S</w:t>
            </w:r>
            <w:r>
              <w:t>,</w:t>
            </w:r>
            <w:r w:rsidRPr="001112B5">
              <w:rPr>
                <w:i/>
              </w:rPr>
              <w:t>R</w:t>
            </w:r>
            <w:r w:rsidR="00400009">
              <w:t>)</w:t>
            </w:r>
            <w:r w:rsidRPr="001112B5">
              <w:rPr>
                <w:vertAlign w:val="superscript"/>
              </w:rPr>
              <w:t>a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214D3A" w:rsidRDefault="00214D3A" w:rsidP="0057123E">
            <w:pPr>
              <w:pStyle w:val="G4bTableBody"/>
            </w:pPr>
            <w:r>
              <w:t>Yield (%)</w:t>
            </w:r>
            <w:r w:rsidRPr="001112B5">
              <w:rPr>
                <w:vertAlign w:val="superscript"/>
              </w:rPr>
              <w:t>b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Ph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91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99:1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73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4-Me-C</w:t>
            </w:r>
            <w:r w:rsidRPr="001112B5">
              <w:rPr>
                <w:vertAlign w:val="subscript"/>
              </w:rPr>
              <w:t>6</w:t>
            </w:r>
            <w:r w:rsidRPr="001112B5">
              <w:t>H</w:t>
            </w:r>
            <w:r w:rsidRPr="001112B5">
              <w:rPr>
                <w:vertAlign w:val="subscript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3b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85:15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32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4-MeO-C</w:t>
            </w:r>
            <w:r w:rsidRPr="001112B5">
              <w:rPr>
                <w:vertAlign w:val="subscript"/>
              </w:rPr>
              <w:t>6</w:t>
            </w:r>
            <w:r w:rsidRPr="001112B5">
              <w:t>H</w:t>
            </w:r>
            <w:r w:rsidRPr="001112B5">
              <w:rPr>
                <w:vertAlign w:val="subscript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3c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83:17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20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4-Cl-C</w:t>
            </w:r>
            <w:r w:rsidRPr="001112B5">
              <w:rPr>
                <w:vertAlign w:val="subscript"/>
              </w:rPr>
              <w:t>6</w:t>
            </w:r>
            <w:r w:rsidRPr="001112B5">
              <w:t>H</w:t>
            </w:r>
            <w:r w:rsidRPr="001112B5">
              <w:rPr>
                <w:vertAlign w:val="subscript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3d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98:2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63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rPr>
                <w:i/>
              </w:rPr>
              <w:t>c</w:t>
            </w:r>
            <w:r w:rsidRPr="001112B5">
              <w:t>-Hex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3e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99:1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59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rPr>
                <w:i/>
              </w:rPr>
              <w:t>i</w:t>
            </w:r>
            <w:r w:rsidRPr="001112B5">
              <w:t>-Pr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3f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79:21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27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rPr>
                <w:i/>
              </w:rPr>
              <w:t>n</w:t>
            </w:r>
            <w:r w:rsidRPr="001112B5">
              <w:t>-Pent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3g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75:25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214D3A" w:rsidRPr="001112B5" w:rsidRDefault="00E008A0" w:rsidP="0057123E">
            <w:pPr>
              <w:pStyle w:val="G4bTableBody"/>
            </w:pPr>
            <w:r w:rsidRPr="00E008A0">
              <w:rPr>
                <w:highlight w:val="yellow"/>
              </w:rPr>
              <w:t>12</w:t>
            </w:r>
          </w:p>
        </w:tc>
      </w:tr>
      <w:tr w:rsidR="00214D3A" w:rsidRPr="00B329FA" w:rsidTr="00400009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8</w:t>
            </w:r>
            <w:r w:rsidR="00A357FF" w:rsidRPr="001112B5">
              <w:rPr>
                <w:vertAlign w:val="superscript"/>
              </w:rPr>
              <w:t>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CF</w:t>
            </w:r>
            <w:r w:rsidRPr="001112B5">
              <w:rPr>
                <w:vertAlign w:val="subscript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D3A" w:rsidRPr="001112B5" w:rsidRDefault="00214D3A" w:rsidP="0057123E">
            <w:pPr>
              <w:pStyle w:val="G4bTableBody"/>
              <w:rPr>
                <w:b/>
              </w:rPr>
            </w:pPr>
            <w:r w:rsidRPr="001112B5">
              <w:rPr>
                <w:b/>
              </w:rPr>
              <w:t>3h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D3A" w:rsidRPr="001112B5" w:rsidRDefault="00214D3A" w:rsidP="00A357FF">
            <w:pPr>
              <w:pStyle w:val="G4bTableBody"/>
            </w:pPr>
            <w:r w:rsidRPr="001112B5">
              <w:t>44</w:t>
            </w:r>
            <w:r w:rsidR="00A357FF" w:rsidRPr="00A357FF">
              <w:rPr>
                <w:vertAlign w:val="superscript"/>
              </w:rPr>
              <w:t>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D3A" w:rsidRPr="001112B5" w:rsidRDefault="00214D3A" w:rsidP="0057123E">
            <w:pPr>
              <w:pStyle w:val="G4bTableBody"/>
            </w:pPr>
            <w:r w:rsidRPr="001112B5">
              <w:t>26:74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D3A" w:rsidRPr="001112B5" w:rsidRDefault="00214D3A" w:rsidP="00A357FF">
            <w:pPr>
              <w:pStyle w:val="G4bTableBody"/>
            </w:pPr>
            <w:r w:rsidRPr="001112B5">
              <w:t>18</w:t>
            </w:r>
            <w:r w:rsidR="00A357FF">
              <w:rPr>
                <w:vertAlign w:val="superscript"/>
              </w:rPr>
              <w:t>e</w:t>
            </w:r>
          </w:p>
        </w:tc>
      </w:tr>
    </w:tbl>
    <w:p w:rsidR="00214D3A" w:rsidRPr="00214D3A" w:rsidRDefault="00400009" w:rsidP="00400009">
      <w:pPr>
        <w:pStyle w:val="ElsLegend"/>
      </w:pPr>
      <w:r w:rsidRPr="001112B5">
        <w:rPr>
          <w:vertAlign w:val="superscript"/>
        </w:rPr>
        <w:t>a</w:t>
      </w:r>
      <w:r>
        <w:t xml:space="preserve">Determined by </w:t>
      </w:r>
      <w:r w:rsidRPr="001112B5">
        <w:rPr>
          <w:vertAlign w:val="superscript"/>
        </w:rPr>
        <w:t>1</w:t>
      </w:r>
      <w:r>
        <w:t xml:space="preserve">H NMR. </w:t>
      </w:r>
      <w:r w:rsidRPr="001112B5">
        <w:rPr>
          <w:vertAlign w:val="superscript"/>
        </w:rPr>
        <w:t>b</w:t>
      </w:r>
      <w:r>
        <w:t>Isolated yield of (</w:t>
      </w:r>
      <w:r w:rsidRPr="001112B5">
        <w:rPr>
          <w:i/>
        </w:rPr>
        <w:t>R</w:t>
      </w:r>
      <w:r>
        <w:t>,</w:t>
      </w:r>
      <w:r w:rsidRPr="001112B5">
        <w:rPr>
          <w:i/>
        </w:rPr>
        <w:t>R</w:t>
      </w:r>
      <w:r>
        <w:t>)-diastereomer.</w:t>
      </w:r>
      <w:r w:rsidR="00A357FF">
        <w:t xml:space="preserve"> </w:t>
      </w:r>
      <w:r w:rsidR="00A357FF" w:rsidRPr="00A357FF">
        <w:rPr>
          <w:vertAlign w:val="superscript"/>
        </w:rPr>
        <w:t>c</w:t>
      </w:r>
      <w:r w:rsidR="00B46068">
        <w:t>See Experimental s</w:t>
      </w:r>
      <w:r w:rsidR="00A357FF">
        <w:t>ection for full details.</w:t>
      </w:r>
      <w:r>
        <w:t xml:space="preserve"> </w:t>
      </w:r>
      <w:r w:rsidR="00A357FF">
        <w:rPr>
          <w:vertAlign w:val="superscript"/>
        </w:rPr>
        <w:t>d</w:t>
      </w:r>
      <w:r>
        <w:t>Yield of diastereomeric mix</w:t>
      </w:r>
      <w:r w:rsidR="00B46068">
        <w:t>ture</w:t>
      </w:r>
      <w:r>
        <w:t xml:space="preserve">. </w:t>
      </w:r>
      <w:r w:rsidR="00A357FF">
        <w:rPr>
          <w:vertAlign w:val="superscript"/>
        </w:rPr>
        <w:t>e</w:t>
      </w:r>
      <w:r w:rsidR="00F563C9">
        <w:t>Isolated yield of</w:t>
      </w:r>
      <w:r>
        <w:t xml:space="preserve"> (</w:t>
      </w:r>
      <w:r w:rsidRPr="001112B5">
        <w:rPr>
          <w:i/>
        </w:rPr>
        <w:t>S</w:t>
      </w:r>
      <w:r>
        <w:t>,</w:t>
      </w:r>
      <w:r w:rsidRPr="001112B5">
        <w:rPr>
          <w:i/>
        </w:rPr>
        <w:t>R</w:t>
      </w:r>
      <w:r>
        <w:t>)-diastereomer.</w:t>
      </w:r>
    </w:p>
    <w:p w:rsidR="00400009" w:rsidRDefault="00400009" w:rsidP="00D76033">
      <w:pPr>
        <w:pStyle w:val="ElsParagraph"/>
      </w:pPr>
    </w:p>
    <w:p w:rsidR="00400009" w:rsidRPr="00CC048B" w:rsidRDefault="00D76033" w:rsidP="00CC048B">
      <w:pPr>
        <w:pStyle w:val="ElsParagraph"/>
        <w:rPr>
          <w:vertAlign w:val="superscript"/>
        </w:rPr>
      </w:pPr>
      <w:r w:rsidRPr="000F02CC">
        <w:t xml:space="preserve">With these components in hand, we now required suitable conditions for the preparation of the corresponding amidomagnesium </w:t>
      </w:r>
      <w:r w:rsidR="006F5E9C">
        <w:t>naphth</w:t>
      </w:r>
      <w:r w:rsidRPr="000F02CC">
        <w:t xml:space="preserve">olate complexes. Our previously disclosed system, </w:t>
      </w:r>
      <w:r w:rsidRPr="000F02CC">
        <w:rPr>
          <w:b/>
        </w:rPr>
        <w:t>1</w:t>
      </w:r>
      <w:r w:rsidRPr="000F02CC">
        <w:t>, required preparation at reflux in THF,</w:t>
      </w:r>
      <w:r w:rsidR="00CE72EA">
        <w:rPr>
          <w:vertAlign w:val="superscript"/>
        </w:rPr>
        <w:t>1</w:t>
      </w:r>
      <w:r w:rsidRPr="000F02CC">
        <w:rPr>
          <w:vertAlign w:val="superscript"/>
        </w:rPr>
        <w:t>f</w:t>
      </w:r>
      <w:r w:rsidRPr="000F02CC">
        <w:t xml:space="preserve"> however, </w:t>
      </w:r>
      <w:r w:rsidRPr="000F02CC">
        <w:rPr>
          <w:vertAlign w:val="superscript"/>
        </w:rPr>
        <w:t>1</w:t>
      </w:r>
      <w:r w:rsidRPr="000F02CC">
        <w:t xml:space="preserve">H NMR analysis confirmed that simply stirring equimolar quantities of </w:t>
      </w:r>
      <w:r w:rsidRPr="000F02CC">
        <w:rPr>
          <w:i/>
        </w:rPr>
        <w:t>n</w:t>
      </w:r>
      <w:r w:rsidRPr="000F02CC">
        <w:t>-Bu</w:t>
      </w:r>
      <w:r w:rsidRPr="000F02CC">
        <w:rPr>
          <w:vertAlign w:val="subscript"/>
        </w:rPr>
        <w:t>2</w:t>
      </w:r>
      <w:r w:rsidRPr="000F02CC">
        <w:t>Mg and aminonaphthol at room temperature in THF was adequate to completely form the desired complex (Scheme 1).</w:t>
      </w:r>
      <w:r w:rsidRPr="000F02CC">
        <w:rPr>
          <w:vertAlign w:val="superscript"/>
        </w:rPr>
        <w:t>6</w:t>
      </w:r>
    </w:p>
    <w:p w:rsidR="00400009" w:rsidRDefault="00BA4108" w:rsidP="00400009">
      <w:pPr>
        <w:pStyle w:val="ElsParagraph"/>
        <w:spacing w:line="240" w:lineRule="auto"/>
        <w:ind w:firstLine="232"/>
        <w:jc w:val="center"/>
      </w:pPr>
      <w:r>
        <w:object w:dxaOrig="3497" w:dyaOrig="1315">
          <v:shape id="_x0000_i1031" type="#_x0000_t75" style="width:174.75pt;height:66pt" o:ole="">
            <v:imagedata r:id="rId21" o:title=""/>
          </v:shape>
          <o:OLEObject Type="Embed" ProgID="ChemDraw.Document.6.0" ShapeID="_x0000_i1031" DrawAspect="Content" ObjectID="_1465025710" r:id="rId22"/>
        </w:object>
      </w:r>
    </w:p>
    <w:p w:rsidR="00400009" w:rsidRDefault="00400009" w:rsidP="005F7AE8">
      <w:pPr>
        <w:pStyle w:val="ElsLegend"/>
      </w:pPr>
      <w:r w:rsidRPr="00400009">
        <w:rPr>
          <w:b/>
        </w:rPr>
        <w:t>Scheme 1.</w:t>
      </w:r>
      <w:r>
        <w:t xml:space="preserve"> Preparation of complexes </w:t>
      </w:r>
      <w:r>
        <w:rPr>
          <w:b/>
        </w:rPr>
        <w:t>2a</w:t>
      </w:r>
      <w:r>
        <w:t>-</w:t>
      </w:r>
      <w:r>
        <w:rPr>
          <w:b/>
        </w:rPr>
        <w:t>2h</w:t>
      </w:r>
      <w:r>
        <w:t xml:space="preserve"> from aminonaphthols </w:t>
      </w:r>
      <w:r>
        <w:rPr>
          <w:b/>
        </w:rPr>
        <w:t>3a</w:t>
      </w:r>
      <w:r>
        <w:t>-</w:t>
      </w:r>
      <w:r>
        <w:rPr>
          <w:b/>
        </w:rPr>
        <w:t>3h</w:t>
      </w:r>
      <w:r w:rsidRPr="004023C5">
        <w:t>.</w:t>
      </w:r>
    </w:p>
    <w:p w:rsidR="00400009" w:rsidRPr="00400009" w:rsidRDefault="00400009" w:rsidP="00400009">
      <w:pPr>
        <w:pStyle w:val="ElsSchemeCaption"/>
      </w:pPr>
    </w:p>
    <w:p w:rsidR="00D76033" w:rsidRDefault="00D76033" w:rsidP="00D76033">
      <w:pPr>
        <w:pStyle w:val="ElsParagraph"/>
      </w:pPr>
      <w:r w:rsidRPr="004023C5">
        <w:t xml:space="preserve">With straightforward access to these novel complexes, we began to assess their ability to function as chiral base reagents. Utilising complex </w:t>
      </w:r>
      <w:r w:rsidRPr="004023C5">
        <w:rPr>
          <w:b/>
        </w:rPr>
        <w:t>2a</w:t>
      </w:r>
      <w:r w:rsidRPr="004023C5">
        <w:t xml:space="preserve"> as a representative member of this class, we initially evaluated the impact of several Lewis basic additives, which revealed that</w:t>
      </w:r>
      <w:r w:rsidR="00067418">
        <w:t xml:space="preserve"> </w:t>
      </w:r>
      <w:r w:rsidR="00067418" w:rsidRPr="004023C5">
        <w:t xml:space="preserve">DMPU was optimum for reactivity and selectivity at –78 </w:t>
      </w:r>
      <w:r w:rsidR="00067418" w:rsidRPr="004023C5">
        <w:sym w:font="Symbol" w:char="F0B0"/>
      </w:r>
      <w:r w:rsidR="00067418">
        <w:t>C</w:t>
      </w:r>
      <w:r w:rsidRPr="004023C5">
        <w:t xml:space="preserve">, as </w:t>
      </w:r>
      <w:r w:rsidR="00067418">
        <w:t>had been observed with</w:t>
      </w:r>
      <w:r w:rsidRPr="004023C5">
        <w:t xml:space="preserve"> se</w:t>
      </w:r>
      <w:r w:rsidR="00067418">
        <w:t>veral preceding magnesium bases.</w:t>
      </w:r>
      <w:r w:rsidR="00C00137">
        <w:rPr>
          <w:vertAlign w:val="superscript"/>
        </w:rPr>
        <w:t>1</w:t>
      </w:r>
      <w:r w:rsidRPr="004023C5">
        <w:rPr>
          <w:vertAlign w:val="superscript"/>
        </w:rPr>
        <w:t>a-</w:t>
      </w:r>
      <w:r w:rsidR="008830AF">
        <w:rPr>
          <w:vertAlign w:val="superscript"/>
        </w:rPr>
        <w:t>d,f-i</w:t>
      </w:r>
      <w:r w:rsidRPr="004023C5">
        <w:t xml:space="preserve"> Bearing in mind that base reagent </w:t>
      </w:r>
      <w:r w:rsidRPr="004023C5">
        <w:rPr>
          <w:b/>
        </w:rPr>
        <w:t>1</w:t>
      </w:r>
      <w:r w:rsidRPr="004023C5">
        <w:t xml:space="preserve"> </w:t>
      </w:r>
      <w:r w:rsidR="00067418">
        <w:t xml:space="preserve">had </w:t>
      </w:r>
      <w:r w:rsidRPr="004023C5">
        <w:t>demonstrated its greatest selectivity at t</w:t>
      </w:r>
      <w:r w:rsidR="00067418">
        <w:t xml:space="preserve">he less </w:t>
      </w:r>
      <w:r w:rsidRPr="004023C5">
        <w:t xml:space="preserve">conventional, and unexpected, reaction temperature of 40 </w:t>
      </w:r>
      <w:r w:rsidRPr="004023C5">
        <w:sym w:font="Symbol" w:char="F0B0"/>
      </w:r>
      <w:r w:rsidRPr="004023C5">
        <w:t>C,</w:t>
      </w:r>
      <w:r w:rsidR="00067418">
        <w:rPr>
          <w:vertAlign w:val="superscript"/>
        </w:rPr>
        <w:t>1</w:t>
      </w:r>
      <w:r w:rsidRPr="004023C5">
        <w:rPr>
          <w:vertAlign w:val="superscript"/>
        </w:rPr>
        <w:t>f</w:t>
      </w:r>
      <w:r w:rsidRPr="004023C5">
        <w:t xml:space="preserve"> we next moved to establish th</w:t>
      </w:r>
      <w:r w:rsidR="00067418">
        <w:t>e operating temperature for the</w:t>
      </w:r>
      <w:r w:rsidRPr="004023C5">
        <w:t xml:space="preserve"> new </w:t>
      </w:r>
      <w:r w:rsidR="00067418">
        <w:t xml:space="preserve">amidomagnesium naphtholate </w:t>
      </w:r>
      <w:r w:rsidRPr="004023C5">
        <w:t>system</w:t>
      </w:r>
      <w:r w:rsidR="00067418">
        <w:t>s</w:t>
      </w:r>
      <w:r w:rsidRPr="004023C5">
        <w:t xml:space="preserve"> in benchmark asymmetric deprotonation</w:t>
      </w:r>
      <w:r w:rsidR="00067418">
        <w:t>s</w:t>
      </w:r>
      <w:r w:rsidRPr="004023C5">
        <w:t xml:space="preserve"> of 4-</w:t>
      </w:r>
      <w:r w:rsidRPr="004023C5">
        <w:rPr>
          <w:i/>
        </w:rPr>
        <w:t>tert</w:t>
      </w:r>
      <w:r w:rsidRPr="004023C5">
        <w:t xml:space="preserve">-butylcyclohexanone </w:t>
      </w:r>
      <w:r w:rsidRPr="004023C5">
        <w:rPr>
          <w:b/>
        </w:rPr>
        <w:t>4a</w:t>
      </w:r>
      <w:r w:rsidRPr="004023C5">
        <w:t xml:space="preserve"> (Table 2).</w:t>
      </w:r>
      <w:r w:rsidR="00400009">
        <w:t xml:space="preserve"> </w:t>
      </w:r>
      <w:r w:rsidR="00400009" w:rsidRPr="000F02CC">
        <w:t xml:space="preserve">From these results, it was apparent that this new base category did not display the unusual temperature/performance profile as </w:t>
      </w:r>
      <w:r w:rsidR="00A24333">
        <w:t xml:space="preserve">shown by </w:t>
      </w:r>
      <w:r w:rsidR="00400009" w:rsidRPr="000F02CC">
        <w:t xml:space="preserve">complex </w:t>
      </w:r>
      <w:r w:rsidR="00400009" w:rsidRPr="000F02CC">
        <w:rPr>
          <w:b/>
        </w:rPr>
        <w:t>1</w:t>
      </w:r>
      <w:r w:rsidR="00400009" w:rsidRPr="000F02CC">
        <w:t xml:space="preserve">. Indeed, </w:t>
      </w:r>
      <w:r w:rsidR="00400009" w:rsidRPr="000F02CC">
        <w:rPr>
          <w:b/>
        </w:rPr>
        <w:t>2a</w:t>
      </w:r>
      <w:r w:rsidR="00400009" w:rsidRPr="000F02CC">
        <w:t xml:space="preserve"> exhibited reactivity that was much more analogous to magnesium bisamides and alkylmagnesium amides,</w:t>
      </w:r>
      <w:r w:rsidR="00B61875">
        <w:rPr>
          <w:vertAlign w:val="superscript"/>
        </w:rPr>
        <w:t>1</w:t>
      </w:r>
      <w:r w:rsidR="00B61875" w:rsidRPr="000F02CC">
        <w:rPr>
          <w:vertAlign w:val="superscript"/>
        </w:rPr>
        <w:t>a-</w:t>
      </w:r>
      <w:r w:rsidR="00B61875">
        <w:rPr>
          <w:vertAlign w:val="superscript"/>
        </w:rPr>
        <w:t>i</w:t>
      </w:r>
      <w:r w:rsidR="00400009" w:rsidRPr="000F02CC">
        <w:t xml:space="preserve"> where increasing the reaction temperature was generally detrimental to the </w:t>
      </w:r>
      <w:r w:rsidR="00B61875">
        <w:t xml:space="preserve">levels of enantioselectivity observed within the asymmetric </w:t>
      </w:r>
      <w:r w:rsidR="00400009" w:rsidRPr="000F02CC">
        <w:t>enolisation process (Entries 1-7).</w:t>
      </w:r>
      <w:r w:rsidR="00B61875">
        <w:t xml:space="preserve"> </w:t>
      </w:r>
      <w:r w:rsidR="00400009" w:rsidRPr="000F02CC">
        <w:t xml:space="preserve">On the other hand, </w:t>
      </w:r>
      <w:r w:rsidR="00400009" w:rsidRPr="000F02CC">
        <w:rPr>
          <w:b/>
        </w:rPr>
        <w:t>2a</w:t>
      </w:r>
      <w:r w:rsidR="00400009" w:rsidRPr="000F02CC">
        <w:t xml:space="preserve"> did display good levels of asymmetric induction</w:t>
      </w:r>
      <w:r w:rsidR="00B61875">
        <w:t xml:space="preserve"> at temperatures up to </w:t>
      </w:r>
      <w:r w:rsidR="00B61875" w:rsidRPr="000F02CC">
        <w:t xml:space="preserve">–20 </w:t>
      </w:r>
      <w:r w:rsidR="00B61875" w:rsidRPr="000F02CC">
        <w:sym w:font="Symbol" w:char="F0B0"/>
      </w:r>
      <w:r w:rsidR="00B61875" w:rsidRPr="000F02CC">
        <w:t>C</w:t>
      </w:r>
      <w:r w:rsidR="00400009" w:rsidRPr="000F02CC">
        <w:t xml:space="preserve">, coupled with excellent reactivity between –60 and –20 </w:t>
      </w:r>
      <w:r w:rsidR="00400009" w:rsidRPr="000F02CC">
        <w:sym w:font="Symbol" w:char="F0B0"/>
      </w:r>
      <w:r w:rsidR="00ED78D6">
        <w:t>C (Entries 2-4)</w:t>
      </w:r>
      <w:r w:rsidR="00400009" w:rsidRPr="000F02CC">
        <w:t xml:space="preserve">. </w:t>
      </w:r>
      <w:r w:rsidR="00ED78D6">
        <w:t>Accordingly</w:t>
      </w:r>
      <w:r w:rsidR="00400009" w:rsidRPr="000F02CC">
        <w:t xml:space="preserve">, this </w:t>
      </w:r>
      <w:r w:rsidR="00ED78D6">
        <w:t>establishes</w:t>
      </w:r>
      <w:r w:rsidR="00400009" w:rsidRPr="000F02CC">
        <w:t xml:space="preserve"> the first example of an amidomagnesium </w:t>
      </w:r>
      <w:r w:rsidR="00927F86">
        <w:t>naphth</w:t>
      </w:r>
      <w:r w:rsidR="00400009" w:rsidRPr="000F02CC">
        <w:t xml:space="preserve">olate displaying such </w:t>
      </w:r>
      <w:r w:rsidR="00927F86">
        <w:t>enantio</w:t>
      </w:r>
      <w:r w:rsidR="00A24333">
        <w:t>selectivity</w:t>
      </w:r>
      <w:r w:rsidR="00927F86">
        <w:t xml:space="preserve"> within an asymmetric deprotonation process</w:t>
      </w:r>
      <w:r w:rsidR="00400009" w:rsidRPr="000F02CC">
        <w:t>, with a</w:t>
      </w:r>
      <w:r w:rsidR="00927F86">
        <w:t>n optimal efficiency</w:t>
      </w:r>
      <w:r w:rsidR="00400009" w:rsidRPr="000F02CC">
        <w:t xml:space="preserve"> balance conveniently achieved at</w:t>
      </w:r>
      <w:r w:rsidR="00A24333">
        <w:t xml:space="preserve"> the more accessible temperature of</w:t>
      </w:r>
      <w:r w:rsidR="00400009" w:rsidRPr="000F02CC">
        <w:t xml:space="preserve"> –40 </w:t>
      </w:r>
      <w:r w:rsidR="00400009" w:rsidRPr="000F02CC">
        <w:sym w:font="Symbol" w:char="F0B0"/>
      </w:r>
      <w:r w:rsidR="00ED78D6">
        <w:t>C (Entry 3).</w:t>
      </w:r>
    </w:p>
    <w:p w:rsidR="00400009" w:rsidRDefault="00400009" w:rsidP="00400009">
      <w:pPr>
        <w:pStyle w:val="ElsTableCaption"/>
        <w:rPr>
          <w:b/>
        </w:rPr>
      </w:pPr>
    </w:p>
    <w:p w:rsidR="00400009" w:rsidRPr="00400009" w:rsidRDefault="00400009" w:rsidP="00400009">
      <w:pPr>
        <w:pStyle w:val="ElsTableCaption"/>
        <w:rPr>
          <w:b/>
        </w:rPr>
      </w:pPr>
      <w:r w:rsidRPr="00400009">
        <w:rPr>
          <w:b/>
        </w:rPr>
        <w:t>Table 2</w:t>
      </w:r>
    </w:p>
    <w:p w:rsidR="00400009" w:rsidRPr="000037DB" w:rsidRDefault="00400009" w:rsidP="000037DB">
      <w:pPr>
        <w:pStyle w:val="ElsTableCaption"/>
        <w:rPr>
          <w:b/>
        </w:rPr>
      </w:pPr>
      <w:r>
        <w:t xml:space="preserve">Temperature/performance profile of complex </w:t>
      </w:r>
      <w:r w:rsidRPr="004023C5">
        <w:rPr>
          <w:b/>
        </w:rPr>
        <w:t>2a</w:t>
      </w:r>
    </w:p>
    <w:p w:rsidR="00400009" w:rsidRDefault="005F76A1" w:rsidP="00400009">
      <w:pPr>
        <w:pStyle w:val="ElsParagraph"/>
        <w:spacing w:line="240" w:lineRule="auto"/>
        <w:ind w:firstLine="232"/>
        <w:jc w:val="center"/>
      </w:pPr>
      <w:r>
        <w:object w:dxaOrig="2962" w:dyaOrig="1181">
          <v:shape id="_x0000_i1032" type="#_x0000_t75" style="width:148.5pt;height:59.25pt" o:ole="">
            <v:imagedata r:id="rId23" o:title=""/>
          </v:shape>
          <o:OLEObject Type="Embed" ProgID="ChemDraw.Document.6.0" ShapeID="_x0000_i1032" DrawAspect="Content" ObjectID="_1465025711" r:id="rId24"/>
        </w:object>
      </w:r>
    </w:p>
    <w:tbl>
      <w:tblPr>
        <w:tblStyle w:val="TableGrid"/>
        <w:tblW w:w="476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50"/>
        <w:gridCol w:w="1197"/>
        <w:gridCol w:w="1181"/>
      </w:tblGrid>
      <w:tr w:rsidR="00400009" w:rsidTr="00A97319">
        <w:trPr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Entry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Temp. (</w:t>
            </w:r>
            <w:r w:rsidRPr="000F02CC">
              <w:sym w:font="Symbol" w:char="F0B0"/>
            </w:r>
            <w:r w:rsidRPr="000F02CC">
              <w:t>C)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Conv. (%)</w:t>
            </w:r>
            <w:r w:rsidRPr="000F02CC">
              <w:rPr>
                <w:i/>
                <w:vertAlign w:val="superscript"/>
              </w:rPr>
              <w:t>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E.r. (</w:t>
            </w:r>
            <w:r w:rsidRPr="000F02CC">
              <w:rPr>
                <w:i/>
              </w:rPr>
              <w:t>S</w:t>
            </w:r>
            <w:r w:rsidRPr="000F02CC">
              <w:t>:</w:t>
            </w:r>
            <w:r w:rsidRPr="000F02CC">
              <w:rPr>
                <w:i/>
              </w:rPr>
              <w:t>R</w:t>
            </w:r>
            <w:r w:rsidRPr="000F02CC">
              <w:t>)</w:t>
            </w:r>
            <w:r w:rsidRPr="000F02CC">
              <w:rPr>
                <w:i/>
                <w:vertAlign w:val="superscript"/>
              </w:rPr>
              <w:t>a</w:t>
            </w:r>
          </w:p>
        </w:tc>
      </w:tr>
      <w:tr w:rsidR="00400009" w:rsidTr="00A97319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1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–78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13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400009" w:rsidRPr="000F02CC" w:rsidRDefault="00400009" w:rsidP="00400009">
            <w:pPr>
              <w:pStyle w:val="G4bTableBody"/>
            </w:pPr>
            <w:r w:rsidRPr="000F02CC">
              <w:t>89:11</w:t>
            </w:r>
          </w:p>
        </w:tc>
      </w:tr>
      <w:tr w:rsidR="00400009" w:rsidTr="00400009">
        <w:trPr>
          <w:jc w:val="center"/>
        </w:trPr>
        <w:tc>
          <w:tcPr>
            <w:tcW w:w="1135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2</w:t>
            </w:r>
          </w:p>
        </w:tc>
        <w:tc>
          <w:tcPr>
            <w:tcW w:w="1250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–60</w:t>
            </w:r>
          </w:p>
        </w:tc>
        <w:tc>
          <w:tcPr>
            <w:tcW w:w="1197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77</w:t>
            </w:r>
          </w:p>
        </w:tc>
        <w:tc>
          <w:tcPr>
            <w:tcW w:w="1181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85:15</w:t>
            </w:r>
          </w:p>
        </w:tc>
      </w:tr>
      <w:tr w:rsidR="00400009" w:rsidTr="00400009">
        <w:trPr>
          <w:jc w:val="center"/>
        </w:trPr>
        <w:tc>
          <w:tcPr>
            <w:tcW w:w="1135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3</w:t>
            </w:r>
          </w:p>
        </w:tc>
        <w:tc>
          <w:tcPr>
            <w:tcW w:w="1250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–40</w:t>
            </w:r>
          </w:p>
        </w:tc>
        <w:tc>
          <w:tcPr>
            <w:tcW w:w="1197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87</w:t>
            </w:r>
          </w:p>
        </w:tc>
        <w:tc>
          <w:tcPr>
            <w:tcW w:w="1181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84:16</w:t>
            </w:r>
          </w:p>
        </w:tc>
      </w:tr>
      <w:tr w:rsidR="00400009" w:rsidTr="00400009">
        <w:trPr>
          <w:jc w:val="center"/>
        </w:trPr>
        <w:tc>
          <w:tcPr>
            <w:tcW w:w="1135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4</w:t>
            </w:r>
          </w:p>
        </w:tc>
        <w:tc>
          <w:tcPr>
            <w:tcW w:w="1250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–20</w:t>
            </w:r>
          </w:p>
        </w:tc>
        <w:tc>
          <w:tcPr>
            <w:tcW w:w="1197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89</w:t>
            </w:r>
          </w:p>
        </w:tc>
        <w:tc>
          <w:tcPr>
            <w:tcW w:w="1181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81:19</w:t>
            </w:r>
          </w:p>
        </w:tc>
      </w:tr>
      <w:tr w:rsidR="00400009" w:rsidTr="00400009">
        <w:trPr>
          <w:jc w:val="center"/>
        </w:trPr>
        <w:tc>
          <w:tcPr>
            <w:tcW w:w="1135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5</w:t>
            </w:r>
          </w:p>
        </w:tc>
        <w:tc>
          <w:tcPr>
            <w:tcW w:w="1250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0</w:t>
            </w:r>
          </w:p>
        </w:tc>
        <w:tc>
          <w:tcPr>
            <w:tcW w:w="1197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69</w:t>
            </w:r>
          </w:p>
        </w:tc>
        <w:tc>
          <w:tcPr>
            <w:tcW w:w="1181" w:type="dxa"/>
          </w:tcPr>
          <w:p w:rsidR="00400009" w:rsidRPr="000F02CC" w:rsidRDefault="00400009" w:rsidP="00400009">
            <w:pPr>
              <w:pStyle w:val="G4bTableBody"/>
            </w:pPr>
            <w:r w:rsidRPr="005B71D5">
              <w:t>71:29</w:t>
            </w:r>
          </w:p>
        </w:tc>
      </w:tr>
      <w:tr w:rsidR="00400009" w:rsidTr="00400009">
        <w:trPr>
          <w:jc w:val="center"/>
        </w:trPr>
        <w:tc>
          <w:tcPr>
            <w:tcW w:w="1135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6</w:t>
            </w:r>
          </w:p>
        </w:tc>
        <w:tc>
          <w:tcPr>
            <w:tcW w:w="1250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20</w:t>
            </w:r>
          </w:p>
        </w:tc>
        <w:tc>
          <w:tcPr>
            <w:tcW w:w="1197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45</w:t>
            </w:r>
          </w:p>
        </w:tc>
        <w:tc>
          <w:tcPr>
            <w:tcW w:w="1181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68:32</w:t>
            </w:r>
          </w:p>
        </w:tc>
      </w:tr>
      <w:tr w:rsidR="00400009" w:rsidTr="00400009">
        <w:trPr>
          <w:jc w:val="center"/>
        </w:trPr>
        <w:tc>
          <w:tcPr>
            <w:tcW w:w="1135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7</w:t>
            </w:r>
          </w:p>
        </w:tc>
        <w:tc>
          <w:tcPr>
            <w:tcW w:w="1250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40</w:t>
            </w:r>
          </w:p>
        </w:tc>
        <w:tc>
          <w:tcPr>
            <w:tcW w:w="1197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23</w:t>
            </w:r>
          </w:p>
        </w:tc>
        <w:tc>
          <w:tcPr>
            <w:tcW w:w="1181" w:type="dxa"/>
          </w:tcPr>
          <w:p w:rsidR="00400009" w:rsidRPr="000F02CC" w:rsidRDefault="00400009" w:rsidP="00400009">
            <w:pPr>
              <w:pStyle w:val="G4bTableBody"/>
            </w:pPr>
            <w:r w:rsidRPr="000F02CC">
              <w:t>56:44</w:t>
            </w:r>
          </w:p>
        </w:tc>
      </w:tr>
    </w:tbl>
    <w:p w:rsidR="00400009" w:rsidRDefault="00400009" w:rsidP="00400009">
      <w:pPr>
        <w:pStyle w:val="ElsLegend"/>
      </w:pPr>
      <w:r w:rsidRPr="001F0206">
        <w:rPr>
          <w:vertAlign w:val="superscript"/>
        </w:rPr>
        <w:t>a</w:t>
      </w:r>
      <w:r>
        <w:t>Determined by G. C. analysis</w:t>
      </w:r>
      <w:r w:rsidR="00BA4108">
        <w:t>.</w:t>
      </w:r>
    </w:p>
    <w:p w:rsidR="00400009" w:rsidRPr="00400009" w:rsidRDefault="00400009" w:rsidP="00400009">
      <w:pPr>
        <w:pStyle w:val="ElsLegend"/>
      </w:pPr>
    </w:p>
    <w:p w:rsidR="00400009" w:rsidRDefault="00D76033" w:rsidP="00D76033">
      <w:pPr>
        <w:pStyle w:val="ElsParagraph"/>
      </w:pPr>
      <w:r w:rsidRPr="000F02CC">
        <w:t xml:space="preserve">Having developed reaction conditions that derive the best possible performance from complex </w:t>
      </w:r>
      <w:r w:rsidRPr="000F02CC">
        <w:rPr>
          <w:b/>
        </w:rPr>
        <w:t>2a</w:t>
      </w:r>
      <w:r>
        <w:t>, we focu</w:t>
      </w:r>
      <w:r w:rsidRPr="000F02CC">
        <w:t xml:space="preserve">sed our attention on appraising the remaining members of the set of amidomagnesium </w:t>
      </w:r>
      <w:r w:rsidR="00A24333">
        <w:t>naphth</w:t>
      </w:r>
      <w:r w:rsidRPr="000F02CC">
        <w:t xml:space="preserve">olates, </w:t>
      </w:r>
      <w:r w:rsidRPr="000F02CC">
        <w:rPr>
          <w:b/>
        </w:rPr>
        <w:t>2b-h</w:t>
      </w:r>
      <w:r w:rsidRPr="000F02CC">
        <w:t xml:space="preserve">, </w:t>
      </w:r>
      <w:r w:rsidR="00927F86">
        <w:t>with</w:t>
      </w:r>
      <w:r w:rsidRPr="000F02CC">
        <w:t>in this benchmark reaction (Table 3).</w:t>
      </w:r>
      <w:r w:rsidR="00A24333">
        <w:t xml:space="preserve"> Based on that established to this stage, a reaction temperature of </w:t>
      </w:r>
      <w:r w:rsidR="00A24333" w:rsidRPr="000F02CC">
        <w:t xml:space="preserve">–40 </w:t>
      </w:r>
      <w:r w:rsidR="00A24333" w:rsidRPr="000F02CC">
        <w:sym w:font="Symbol" w:char="F0B0"/>
      </w:r>
      <w:r w:rsidR="00A24333">
        <w:t>C was adopted throughout this extended base study.</w:t>
      </w:r>
    </w:p>
    <w:p w:rsidR="00400009" w:rsidRDefault="00400009" w:rsidP="00D76033">
      <w:pPr>
        <w:pStyle w:val="ElsParagraph"/>
      </w:pPr>
    </w:p>
    <w:p w:rsidR="00400009" w:rsidRPr="00400009" w:rsidRDefault="00400009" w:rsidP="00400009">
      <w:pPr>
        <w:pStyle w:val="ElsTableCaption"/>
        <w:rPr>
          <w:b/>
        </w:rPr>
      </w:pPr>
      <w:r w:rsidRPr="00400009">
        <w:rPr>
          <w:b/>
        </w:rPr>
        <w:t xml:space="preserve">Table 3 </w:t>
      </w:r>
    </w:p>
    <w:p w:rsidR="00D80EAE" w:rsidRPr="00D80EAE" w:rsidRDefault="00400009" w:rsidP="000037DB">
      <w:pPr>
        <w:pStyle w:val="ElsTableCaption"/>
      </w:pPr>
      <w:r w:rsidRPr="00400009">
        <w:t xml:space="preserve">Evaluation of complexes </w:t>
      </w:r>
      <w:r w:rsidRPr="00400009">
        <w:rPr>
          <w:b/>
        </w:rPr>
        <w:t>2a</w:t>
      </w:r>
      <w:r w:rsidRPr="00400009">
        <w:t>-</w:t>
      </w:r>
      <w:r w:rsidRPr="00400009">
        <w:rPr>
          <w:b/>
        </w:rPr>
        <w:t>h</w:t>
      </w:r>
      <w:r w:rsidRPr="00400009">
        <w:t xml:space="preserve"> under optimised conditions.</w:t>
      </w:r>
    </w:p>
    <w:p w:rsidR="00400009" w:rsidRDefault="0053442E" w:rsidP="00D80EAE">
      <w:pPr>
        <w:pStyle w:val="ElsParagraph"/>
        <w:spacing w:line="240" w:lineRule="auto"/>
        <w:ind w:firstLine="232"/>
        <w:jc w:val="center"/>
      </w:pPr>
      <w:r>
        <w:object w:dxaOrig="2921" w:dyaOrig="1181">
          <v:shape id="_x0000_i1033" type="#_x0000_t75" style="width:146.25pt;height:59.25pt" o:ole="">
            <v:imagedata r:id="rId25" o:title=""/>
          </v:shape>
          <o:OLEObject Type="Embed" ProgID="ChemDraw.Document.6.0" ShapeID="_x0000_i1033" DrawAspect="Content" ObjectID="_1465025712" r:id="rId26"/>
        </w:object>
      </w:r>
    </w:p>
    <w:tbl>
      <w:tblPr>
        <w:tblW w:w="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200"/>
        <w:gridCol w:w="720"/>
        <w:gridCol w:w="1080"/>
        <w:gridCol w:w="1042"/>
      </w:tblGrid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Entry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R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Conv. (%)</w:t>
            </w:r>
            <w:r w:rsidRPr="000F02CC">
              <w:rPr>
                <w:i/>
                <w:vertAlign w:val="superscript"/>
              </w:rPr>
              <w:t>a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E.r. (</w:t>
            </w:r>
            <w:r w:rsidRPr="000F02CC">
              <w:rPr>
                <w:i/>
              </w:rPr>
              <w:t>S</w:t>
            </w:r>
            <w:r w:rsidRPr="000F02CC">
              <w:t>:</w:t>
            </w:r>
            <w:r w:rsidRPr="000F02CC">
              <w:rPr>
                <w:i/>
              </w:rPr>
              <w:t>R</w:t>
            </w:r>
            <w:r w:rsidRPr="000F02CC">
              <w:t>)</w:t>
            </w:r>
            <w:r w:rsidRPr="000F02CC">
              <w:rPr>
                <w:i/>
                <w:vertAlign w:val="superscript"/>
              </w:rPr>
              <w:t>a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Ph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2a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87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84:16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4-Me-C</w:t>
            </w:r>
            <w:r w:rsidRPr="000F02CC">
              <w:rPr>
                <w:vertAlign w:val="subscript"/>
              </w:rPr>
              <w:t>6</w:t>
            </w:r>
            <w:r w:rsidRPr="000F02CC">
              <w:t>H</w:t>
            </w:r>
            <w:r w:rsidRPr="000F02CC">
              <w:rPr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84:16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4-MeO-C</w:t>
            </w:r>
            <w:r w:rsidRPr="000F02CC">
              <w:rPr>
                <w:vertAlign w:val="subscript"/>
              </w:rPr>
              <w:t>6</w:t>
            </w:r>
            <w:r w:rsidRPr="000F02CC">
              <w:t>H</w:t>
            </w:r>
            <w:r w:rsidRPr="000F02CC">
              <w:rPr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85:15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4-Cl-C</w:t>
            </w:r>
            <w:r w:rsidRPr="000F02CC">
              <w:rPr>
                <w:vertAlign w:val="subscript"/>
              </w:rPr>
              <w:t>6</w:t>
            </w:r>
            <w:r w:rsidRPr="000F02CC">
              <w:t>H</w:t>
            </w:r>
            <w:r w:rsidRPr="000F02CC">
              <w:rPr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83:17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rPr>
                <w:i/>
              </w:rPr>
              <w:t>c</w:t>
            </w:r>
            <w:r w:rsidRPr="000F02CC">
              <w:t>-Hex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82:18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rPr>
                <w:i/>
              </w:rPr>
              <w:t>i</w:t>
            </w:r>
            <w:r w:rsidRPr="000F02CC">
              <w:t>-Pr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83:17</w:t>
            </w:r>
          </w:p>
        </w:tc>
      </w:tr>
      <w:tr w:rsidR="00D80EAE" w:rsidRPr="000F02CC" w:rsidTr="00494B44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rPr>
                <w:i/>
              </w:rPr>
              <w:t>n</w:t>
            </w:r>
            <w:r w:rsidRPr="000F02CC">
              <w:t>-Pent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86:14</w:t>
            </w:r>
          </w:p>
        </w:tc>
      </w:tr>
      <w:tr w:rsidR="00D80EAE" w:rsidRPr="000F02CC" w:rsidTr="00494B44">
        <w:trPr>
          <w:trHeight w:val="20"/>
          <w:jc w:val="center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CF</w:t>
            </w:r>
            <w:r w:rsidRPr="000F02CC">
              <w:rPr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84:16</w:t>
            </w:r>
          </w:p>
        </w:tc>
      </w:tr>
    </w:tbl>
    <w:p w:rsidR="00D80EAE" w:rsidRDefault="00D80EAE" w:rsidP="00D80EAE">
      <w:pPr>
        <w:pStyle w:val="ElsLegend"/>
      </w:pPr>
      <w:r w:rsidRPr="00D80EAE">
        <w:rPr>
          <w:vertAlign w:val="superscript"/>
        </w:rPr>
        <w:t>a</w:t>
      </w:r>
      <w:r>
        <w:t>Determined by G. C. analysis</w:t>
      </w:r>
      <w:r w:rsidR="007B52AF">
        <w:t>.</w:t>
      </w:r>
    </w:p>
    <w:p w:rsidR="00D80EAE" w:rsidRDefault="00D80EAE" w:rsidP="00D80EAE">
      <w:pPr>
        <w:pStyle w:val="ElsLegend"/>
      </w:pPr>
    </w:p>
    <w:p w:rsidR="00D80EAE" w:rsidRDefault="00D76033" w:rsidP="000037DB">
      <w:pPr>
        <w:pStyle w:val="ElsParagraph"/>
      </w:pPr>
      <w:r w:rsidRPr="000F02CC">
        <w:t xml:space="preserve">In all cases, the overall performance of complexes </w:t>
      </w:r>
      <w:r w:rsidRPr="000F02CC">
        <w:rPr>
          <w:b/>
        </w:rPr>
        <w:t>2a-h</w:t>
      </w:r>
      <w:r w:rsidRPr="000F02CC">
        <w:t xml:space="preserve"> were </w:t>
      </w:r>
      <w:r w:rsidR="0053442E">
        <w:t>very similar</w:t>
      </w:r>
      <w:r w:rsidRPr="000F02CC">
        <w:t xml:space="preserve">, with selectivities at </w:t>
      </w:r>
      <w:r w:rsidRPr="000F02CC">
        <w:rPr>
          <w:i/>
        </w:rPr>
        <w:t>c.a.</w:t>
      </w:r>
      <w:r w:rsidRPr="000F02CC">
        <w:t xml:space="preserve"> 84:16 (</w:t>
      </w:r>
      <w:r w:rsidRPr="000F02CC">
        <w:rPr>
          <w:i/>
        </w:rPr>
        <w:t>S</w:t>
      </w:r>
      <w:r w:rsidRPr="000F02CC">
        <w:t>:</w:t>
      </w:r>
      <w:r w:rsidRPr="000F02CC">
        <w:rPr>
          <w:i/>
        </w:rPr>
        <w:t>R</w:t>
      </w:r>
      <w:r w:rsidRPr="000F02CC">
        <w:t xml:space="preserve">) and </w:t>
      </w:r>
      <w:r w:rsidR="00927F86">
        <w:t>reaction conversions generally above</w:t>
      </w:r>
      <w:r w:rsidRPr="000F02CC">
        <w:t xml:space="preserve"> 80% (Entries 1-8). Since the range of R groups employed was diverse in stereoelectronic nature, these results seem to suggest that the stereoc</w:t>
      </w:r>
      <w:r w:rsidR="00927F86">
        <w:t xml:space="preserve">entre at this position has </w:t>
      </w:r>
      <w:r w:rsidRPr="000F02CC">
        <w:t xml:space="preserve">little effect on the overall reactivity and selectivity of the </w:t>
      </w:r>
      <w:r w:rsidR="00927F86">
        <w:t xml:space="preserve">individual </w:t>
      </w:r>
      <w:r w:rsidRPr="000F02CC">
        <w:t xml:space="preserve">base species. In order to assess this hypothesis, we prepared the formaldehyde-derived aminonaphthol </w:t>
      </w:r>
      <w:r w:rsidRPr="000F02CC">
        <w:rPr>
          <w:b/>
        </w:rPr>
        <w:t>3i</w:t>
      </w:r>
      <w:r w:rsidR="00927F86">
        <w:t xml:space="preserve"> as well as the</w:t>
      </w:r>
      <w:r w:rsidRPr="000F02CC">
        <w:t xml:space="preserve"> benzylamine-derived aminonaphthol </w:t>
      </w:r>
      <w:r w:rsidRPr="000F02CC">
        <w:rPr>
          <w:b/>
        </w:rPr>
        <w:t>3j</w:t>
      </w:r>
      <w:r w:rsidRPr="000F02CC">
        <w:t xml:space="preserve">, each lacking one of the stereocentres of </w:t>
      </w:r>
      <w:r w:rsidRPr="000F02CC">
        <w:rPr>
          <w:b/>
        </w:rPr>
        <w:t>3a</w:t>
      </w:r>
      <w:r w:rsidRPr="000F02CC">
        <w:t xml:space="preserve"> (Figure 2). Subsequent application of the c</w:t>
      </w:r>
      <w:r w:rsidR="005F76A1">
        <w:t>orresponding amidomagnesium naph</w:t>
      </w:r>
      <w:r w:rsidR="006F5E9C">
        <w:t>th</w:t>
      </w:r>
      <w:r w:rsidRPr="000F02CC">
        <w:t xml:space="preserve">olate derivatives, </w:t>
      </w:r>
      <w:r w:rsidRPr="000F02CC">
        <w:rPr>
          <w:b/>
        </w:rPr>
        <w:t>2i</w:t>
      </w:r>
      <w:r w:rsidRPr="000F02CC">
        <w:t xml:space="preserve"> and </w:t>
      </w:r>
      <w:r w:rsidRPr="000F02CC">
        <w:rPr>
          <w:b/>
        </w:rPr>
        <w:t>2j</w:t>
      </w:r>
      <w:r w:rsidRPr="000F02CC">
        <w:t xml:space="preserve">, within the benchmark asymmetric deprotonation reaction conversely demonstrated that the stereogenic centre at </w:t>
      </w:r>
      <w:r w:rsidRPr="000F02CC">
        <w:rPr>
          <w:i/>
        </w:rPr>
        <w:t>a</w:t>
      </w:r>
      <w:r w:rsidRPr="000F02CC">
        <w:t xml:space="preserve"> is crucial for selectivity and that it is, in fact, the stereocentre at </w:t>
      </w:r>
      <w:r w:rsidRPr="000F02CC">
        <w:rPr>
          <w:i/>
        </w:rPr>
        <w:t>b</w:t>
      </w:r>
      <w:r w:rsidRPr="000F02CC">
        <w:t xml:space="preserve"> that is </w:t>
      </w:r>
      <w:r w:rsidR="005F76A1">
        <w:t>significantly less influen</w:t>
      </w:r>
      <w:r w:rsidRPr="000F02CC">
        <w:t xml:space="preserve">tial. Indeed, the stereocentre at </w:t>
      </w:r>
      <w:r w:rsidRPr="000F02CC">
        <w:rPr>
          <w:i/>
        </w:rPr>
        <w:t>b</w:t>
      </w:r>
      <w:r w:rsidRPr="000F02CC">
        <w:t xml:space="preserve"> serves only to bolster the selectivity very slightly and has little effect on the </w:t>
      </w:r>
      <w:r w:rsidR="005F76A1">
        <w:t xml:space="preserve">base </w:t>
      </w:r>
      <w:r w:rsidRPr="000F02CC">
        <w:t xml:space="preserve">reactivity (Figure 2). Accordingly, it does now appear that the stereocentre at </w:t>
      </w:r>
      <w:r w:rsidRPr="0070361B">
        <w:rPr>
          <w:i/>
        </w:rPr>
        <w:t>a</w:t>
      </w:r>
      <w:r w:rsidRPr="000F02CC">
        <w:t xml:space="preserve">, while essential, is exceptionally tolerant of </w:t>
      </w:r>
      <w:r w:rsidR="005F76A1">
        <w:t>variations in the</w:t>
      </w:r>
      <w:r w:rsidRPr="000F02CC">
        <w:t xml:space="preserve"> installed functionality.</w:t>
      </w:r>
    </w:p>
    <w:p w:rsidR="00D80EAE" w:rsidRPr="00D80EAE" w:rsidRDefault="004F2354" w:rsidP="00B329FA">
      <w:pPr>
        <w:pStyle w:val="ElsParagraph"/>
        <w:spacing w:line="240" w:lineRule="auto"/>
        <w:ind w:firstLine="232"/>
        <w:jc w:val="center"/>
      </w:pPr>
      <w:r>
        <w:object w:dxaOrig="3945" w:dyaOrig="2400">
          <v:shape id="_x0000_i1034" type="#_x0000_t75" style="width:197.25pt;height:120pt" o:ole="">
            <v:imagedata r:id="rId27" o:title=""/>
          </v:shape>
          <o:OLEObject Type="Embed" ProgID="ChemDraw.Document.6.0" ShapeID="_x0000_i1034" DrawAspect="Content" ObjectID="_1465025713" r:id="rId28"/>
        </w:object>
      </w:r>
    </w:p>
    <w:p w:rsidR="00D80EAE" w:rsidRDefault="00D80EAE" w:rsidP="00D80EAE">
      <w:pPr>
        <w:pStyle w:val="ElsLegend"/>
      </w:pPr>
      <w:r w:rsidRPr="00D80EAE">
        <w:rPr>
          <w:b/>
        </w:rPr>
        <w:t>Fig. 2.</w:t>
      </w:r>
      <w:r>
        <w:t xml:space="preserve"> </w:t>
      </w:r>
      <w:r w:rsidR="00B12C5E">
        <w:t xml:space="preserve">Selectivity </w:t>
      </w:r>
      <w:r>
        <w:t>and</w:t>
      </w:r>
      <w:r w:rsidR="00B12C5E">
        <w:t xml:space="preserve"> reactivity</w:t>
      </w:r>
      <w:r>
        <w:t xml:space="preserve"> relevance of stereocentres </w:t>
      </w:r>
      <w:r w:rsidRPr="00023BB1">
        <w:rPr>
          <w:i/>
        </w:rPr>
        <w:t>a</w:t>
      </w:r>
      <w:r>
        <w:t xml:space="preserve"> and </w:t>
      </w:r>
      <w:r w:rsidRPr="00023BB1">
        <w:rPr>
          <w:i/>
        </w:rPr>
        <w:t>b</w:t>
      </w:r>
      <w:r>
        <w:t>.</w:t>
      </w:r>
    </w:p>
    <w:p w:rsidR="00D80EAE" w:rsidRDefault="00D80EAE" w:rsidP="00D80EAE">
      <w:pPr>
        <w:pStyle w:val="ElsLegend"/>
      </w:pPr>
    </w:p>
    <w:p w:rsidR="00D76033" w:rsidRDefault="00D76033" w:rsidP="00D76033">
      <w:pPr>
        <w:pStyle w:val="ElsParagraph"/>
        <w:ind w:firstLine="232"/>
      </w:pPr>
      <w:r w:rsidRPr="000F02CC">
        <w:t xml:space="preserve">Considering the novel reactivity profile, </w:t>
      </w:r>
      <w:r w:rsidR="006F5E9C">
        <w:t>relative</w:t>
      </w:r>
      <w:r w:rsidRPr="000F02CC">
        <w:t xml:space="preserve"> to the preceding series of amidomagnesium phenolates,</w:t>
      </w:r>
      <w:r w:rsidR="006F5E9C">
        <w:rPr>
          <w:vertAlign w:val="superscript"/>
        </w:rPr>
        <w:t>1f</w:t>
      </w:r>
      <w:r w:rsidRPr="000F02CC">
        <w:t xml:space="preserve"> and </w:t>
      </w:r>
      <w:r w:rsidR="004F2354">
        <w:t xml:space="preserve">the </w:t>
      </w:r>
      <w:r w:rsidRPr="000F02CC">
        <w:t xml:space="preserve">overall success of these new complexes within the benchmark enolisation reaction, we sought to ascertain their generality through application to a series of prochiral ketone substrates. Of the complexes surveyed in this study, </w:t>
      </w:r>
      <w:r w:rsidRPr="000F02CC">
        <w:rPr>
          <w:b/>
        </w:rPr>
        <w:t>2a</w:t>
      </w:r>
      <w:r w:rsidRPr="000F02CC">
        <w:t xml:space="preserve"> was the most accessible, largely due to the highly diastereoselective Mannich reaction and efficient fractional recrystallisation employed in the synthesis of the parent compound </w:t>
      </w:r>
      <w:r w:rsidRPr="000F02CC">
        <w:rPr>
          <w:b/>
        </w:rPr>
        <w:t>3a</w:t>
      </w:r>
      <w:r w:rsidRPr="000F02CC">
        <w:t>.</w:t>
      </w:r>
      <w:r w:rsidRPr="000F02CC">
        <w:rPr>
          <w:vertAlign w:val="superscript"/>
        </w:rPr>
        <w:t>4a,b</w:t>
      </w:r>
      <w:r w:rsidRPr="000F02CC">
        <w:t xml:space="preserve"> As such, </w:t>
      </w:r>
      <w:r w:rsidRPr="000F02CC">
        <w:rPr>
          <w:b/>
        </w:rPr>
        <w:t>2a</w:t>
      </w:r>
      <w:r w:rsidRPr="000F02CC">
        <w:t xml:space="preserve"> was used to probe the </w:t>
      </w:r>
      <w:r w:rsidRPr="00D76033">
        <w:t>applicability of this emerging chiral heteroleptic magnesium base category (Table 4).</w:t>
      </w:r>
    </w:p>
    <w:p w:rsidR="00D80EAE" w:rsidRDefault="00D80EAE" w:rsidP="00D76033">
      <w:pPr>
        <w:pStyle w:val="ElsParagraph"/>
        <w:ind w:firstLine="232"/>
      </w:pPr>
    </w:p>
    <w:p w:rsidR="00D80EAE" w:rsidRPr="00D80EAE" w:rsidRDefault="00D80EAE" w:rsidP="00D80EAE">
      <w:pPr>
        <w:pStyle w:val="ElsTableCaption"/>
        <w:rPr>
          <w:b/>
        </w:rPr>
      </w:pPr>
      <w:r w:rsidRPr="00D80EAE">
        <w:rPr>
          <w:b/>
        </w:rPr>
        <w:t xml:space="preserve">Table 4 </w:t>
      </w:r>
    </w:p>
    <w:p w:rsidR="00D80EAE" w:rsidRPr="00D80EAE" w:rsidRDefault="00D80EAE" w:rsidP="000037DB">
      <w:pPr>
        <w:pStyle w:val="ElsTableCaption"/>
      </w:pPr>
      <w:r>
        <w:t xml:space="preserve">Enantioselective deprotonation of prochiral ketone substrates using complex </w:t>
      </w:r>
      <w:r>
        <w:rPr>
          <w:b/>
        </w:rPr>
        <w:t>2a</w:t>
      </w:r>
      <w:r>
        <w:t>.</w:t>
      </w:r>
    </w:p>
    <w:p w:rsidR="00D80EAE" w:rsidRDefault="004F2354" w:rsidP="00B329FA">
      <w:pPr>
        <w:pStyle w:val="ElsParagraph"/>
        <w:spacing w:line="240" w:lineRule="auto"/>
        <w:ind w:firstLine="232"/>
        <w:jc w:val="center"/>
      </w:pPr>
      <w:r>
        <w:object w:dxaOrig="3703" w:dyaOrig="1209">
          <v:shape id="_x0000_i1035" type="#_x0000_t75" style="width:185.25pt;height:60.75pt" o:ole="">
            <v:imagedata r:id="rId29" o:title=""/>
          </v:shape>
          <o:OLEObject Type="Embed" ProgID="ChemDraw.Document.6.0" ShapeID="_x0000_i1035" DrawAspect="Content" ObjectID="_1465025714" r:id="rId30"/>
        </w:object>
      </w:r>
    </w:p>
    <w:tbl>
      <w:tblPr>
        <w:tblW w:w="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794"/>
        <w:gridCol w:w="794"/>
        <w:gridCol w:w="794"/>
        <w:gridCol w:w="794"/>
        <w:gridCol w:w="794"/>
      </w:tblGrid>
      <w:tr w:rsidR="00D80EAE" w:rsidRPr="000F02CC" w:rsidTr="00D80EAE">
        <w:trPr>
          <w:trHeight w:val="20"/>
          <w:jc w:val="center"/>
        </w:trPr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Entry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R</w:t>
            </w:r>
            <w:r w:rsidRPr="00EB57A1">
              <w:rPr>
                <w:vertAlign w:val="superscript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0EAE" w:rsidRPr="000F02CC" w:rsidRDefault="00D80EAE" w:rsidP="0057123E">
            <w:pPr>
              <w:pStyle w:val="G4bTableBody"/>
            </w:pPr>
            <w:r>
              <w:t>R</w:t>
            </w:r>
            <w:r w:rsidRPr="00EB57A1"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Conv. (%)</w:t>
            </w:r>
            <w:r w:rsidRPr="000F02CC">
              <w:rPr>
                <w:i/>
                <w:vertAlign w:val="superscript"/>
              </w:rPr>
              <w:t>a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E.r. (</w:t>
            </w:r>
            <w:r w:rsidRPr="000F02CC">
              <w:rPr>
                <w:i/>
              </w:rPr>
              <w:t>S</w:t>
            </w:r>
            <w:r w:rsidRPr="000F02CC">
              <w:t>:</w:t>
            </w:r>
            <w:r w:rsidRPr="000F02CC">
              <w:rPr>
                <w:i/>
              </w:rPr>
              <w:t>R</w:t>
            </w:r>
            <w:r w:rsidRPr="000F02CC">
              <w:t>)</w:t>
            </w:r>
            <w:r>
              <w:rPr>
                <w:i/>
                <w:vertAlign w:val="superscript"/>
              </w:rPr>
              <w:t>b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H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0EAE" w:rsidRPr="00EB57A1" w:rsidRDefault="00D80EAE" w:rsidP="0057123E">
            <w:pPr>
              <w:pStyle w:val="G4bTableBody"/>
            </w:pPr>
            <w:r w:rsidRPr="00EB57A1">
              <w:rPr>
                <w:i/>
              </w:rPr>
              <w:t>t</w:t>
            </w:r>
            <w:r w:rsidRPr="00EB57A1">
              <w:t>-Bu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a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87</w:t>
            </w:r>
            <w:r>
              <w:t xml:space="preserve"> (80)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84:16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EAE" w:rsidRPr="00EB57A1" w:rsidRDefault="00D80EAE" w:rsidP="0057123E">
            <w:pPr>
              <w:pStyle w:val="G4bTableBody"/>
            </w:pPr>
            <w:r w:rsidRPr="00EB57A1">
              <w:rPr>
                <w:i/>
              </w:rPr>
              <w:t>n</w:t>
            </w:r>
            <w:r w:rsidRPr="00EB57A1">
              <w:t>-Pr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90 (79)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8</w:t>
            </w:r>
            <w:r>
              <w:t>2</w:t>
            </w:r>
            <w:r w:rsidRPr="000F02CC">
              <w:t>:1</w:t>
            </w:r>
            <w:r>
              <w:t>8</w:t>
            </w:r>
          </w:p>
        </w:tc>
      </w:tr>
      <w:tr w:rsidR="00D80EAE" w:rsidRPr="000F02CC" w:rsidTr="00D80EAE">
        <w:trPr>
          <w:trHeight w:val="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EAE" w:rsidRPr="00EB57A1" w:rsidRDefault="00D80EAE" w:rsidP="0057123E">
            <w:pPr>
              <w:pStyle w:val="G4bTableBody"/>
            </w:pPr>
            <w:r w:rsidRPr="00EB57A1">
              <w:t>Me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87 (47)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78</w:t>
            </w:r>
            <w:r w:rsidRPr="000F02CC">
              <w:t>:</w:t>
            </w:r>
            <w:r>
              <w:t>22</w:t>
            </w:r>
          </w:p>
        </w:tc>
      </w:tr>
      <w:tr w:rsidR="00D80EAE" w:rsidRPr="000F02CC" w:rsidTr="00494B44">
        <w:trPr>
          <w:trHeight w:val="20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EAE" w:rsidRPr="00EB57A1" w:rsidRDefault="00D80EAE" w:rsidP="0057123E">
            <w:pPr>
              <w:pStyle w:val="G4bTableBody"/>
            </w:pPr>
            <w:r w:rsidRPr="00EB57A1">
              <w:t>Ph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81 (74)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74:26</w:t>
            </w:r>
            <w:r w:rsidRPr="00EB57A1">
              <w:rPr>
                <w:vertAlign w:val="superscript"/>
              </w:rPr>
              <w:t>c</w:t>
            </w:r>
          </w:p>
        </w:tc>
      </w:tr>
      <w:tr w:rsidR="00D80EAE" w:rsidRPr="000F02CC" w:rsidTr="00494B44">
        <w:trPr>
          <w:trHeight w:val="20"/>
          <w:jc w:val="center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 w:rsidRPr="000F02CC"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EB57A1" w:rsidRDefault="00D80EAE" w:rsidP="0057123E">
            <w:pPr>
              <w:pStyle w:val="G4bTableBody"/>
            </w:pPr>
            <w:r w:rsidRPr="00EB57A1">
              <w:t>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AE" w:rsidRPr="00EB57A1" w:rsidRDefault="00D80EAE" w:rsidP="0057123E">
            <w:pPr>
              <w:pStyle w:val="G4bTableBody"/>
            </w:pPr>
            <w:r w:rsidRPr="00EB57A1">
              <w:t>Me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  <w:rPr>
                <w:b/>
              </w:rPr>
            </w:pPr>
            <w:r w:rsidRPr="000F02CC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56 (35)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EAE" w:rsidRPr="000F02CC" w:rsidRDefault="00D80EAE" w:rsidP="0057123E">
            <w:pPr>
              <w:pStyle w:val="G4bTableBody"/>
            </w:pPr>
            <w:r>
              <w:t>13</w:t>
            </w:r>
            <w:r w:rsidRPr="000F02CC">
              <w:t>:</w:t>
            </w:r>
            <w:r>
              <w:t>87</w:t>
            </w:r>
          </w:p>
        </w:tc>
      </w:tr>
    </w:tbl>
    <w:p w:rsidR="00D80EAE" w:rsidRDefault="00222E25" w:rsidP="00D80EAE">
      <w:pPr>
        <w:pStyle w:val="ElsLegend"/>
      </w:pPr>
      <w:r>
        <w:rPr>
          <w:vertAlign w:val="superscript"/>
        </w:rPr>
        <w:t>a</w:t>
      </w:r>
      <w:r>
        <w:t>Determined by G.C. analysis; v</w:t>
      </w:r>
      <w:r w:rsidR="00D80EAE" w:rsidRPr="00D80EAE">
        <w:t>alues in parenthe</w:t>
      </w:r>
      <w:r>
        <w:t xml:space="preserve">ses are isolated yields of </w:t>
      </w:r>
      <w:r w:rsidR="00D80EAE" w:rsidRPr="00D80EAE">
        <w:t xml:space="preserve">products. </w:t>
      </w:r>
      <w:r w:rsidR="00D80EAE" w:rsidRPr="00D80EAE">
        <w:rPr>
          <w:vertAlign w:val="superscript"/>
        </w:rPr>
        <w:t>b</w:t>
      </w:r>
      <w:r w:rsidR="00D80EAE" w:rsidRPr="00D80EAE">
        <w:t xml:space="preserve">Determined by G.C. analysis. </w:t>
      </w:r>
      <w:r w:rsidR="00D80EAE" w:rsidRPr="00D80EAE">
        <w:rPr>
          <w:vertAlign w:val="superscript"/>
        </w:rPr>
        <w:t>c</w:t>
      </w:r>
      <w:r w:rsidR="00D80EAE" w:rsidRPr="00D80EAE">
        <w:t xml:space="preserve">Determined by HPLC analysis of </w:t>
      </w:r>
      <w:r>
        <w:t>the corresponding cyclohexenone; s</w:t>
      </w:r>
      <w:r w:rsidR="00D80EAE" w:rsidRPr="00D80EAE">
        <w:t xml:space="preserve">ee </w:t>
      </w:r>
      <w:r>
        <w:t>the Experimental section</w:t>
      </w:r>
      <w:r w:rsidR="00D80EAE" w:rsidRPr="00D80EAE">
        <w:t>.</w:t>
      </w:r>
    </w:p>
    <w:p w:rsidR="00D80EAE" w:rsidRPr="00D80EAE" w:rsidRDefault="00D80EAE" w:rsidP="00D80EAE">
      <w:pPr>
        <w:pStyle w:val="ElsLegend"/>
      </w:pPr>
    </w:p>
    <w:p w:rsidR="00D76033" w:rsidRPr="00D76033" w:rsidRDefault="00D76033" w:rsidP="00D76033">
      <w:pPr>
        <w:pStyle w:val="ElsParagraph"/>
      </w:pPr>
      <w:r w:rsidRPr="000F02CC">
        <w:t xml:space="preserve">Pleasingly, </w:t>
      </w:r>
      <w:r w:rsidR="00B12066">
        <w:t xml:space="preserve">amidomagnesium naphtholate base </w:t>
      </w:r>
      <w:r w:rsidRPr="000F02CC">
        <w:rPr>
          <w:b/>
        </w:rPr>
        <w:t>2a</w:t>
      </w:r>
      <w:r w:rsidRPr="000F02CC">
        <w:t xml:space="preserve"> performed effectively over the substrate range evaluated. Both 4-substituted and </w:t>
      </w:r>
      <w:r w:rsidRPr="000F02CC">
        <w:rPr>
          <w:i/>
        </w:rPr>
        <w:t>cis</w:t>
      </w:r>
      <w:r w:rsidRPr="000F02CC">
        <w:t xml:space="preserve">-2,6-disubstituted cyclohexanones </w:t>
      </w:r>
      <w:r w:rsidR="00B12066">
        <w:t>were applicable</w:t>
      </w:r>
      <w:r w:rsidRPr="000F02CC">
        <w:t xml:space="preserve"> </w:t>
      </w:r>
      <w:r w:rsidR="00B12066">
        <w:t xml:space="preserve">at the conveniently accessed temperature of </w:t>
      </w:r>
      <w:r w:rsidR="00B12066" w:rsidRPr="000F02CC">
        <w:t xml:space="preserve">–40 </w:t>
      </w:r>
      <w:r w:rsidR="00B12066" w:rsidRPr="000F02CC">
        <w:sym w:font="Symbol" w:char="F0B0"/>
      </w:r>
      <w:r w:rsidR="00B12066">
        <w:t xml:space="preserve">C, </w:t>
      </w:r>
      <w:r w:rsidRPr="000F02CC">
        <w:t xml:space="preserve">with comparable levels of selectivity </w:t>
      </w:r>
      <w:r w:rsidR="00B12066">
        <w:t xml:space="preserve">being </w:t>
      </w:r>
      <w:r w:rsidRPr="000F02CC">
        <w:t>observed (Entries 1-5). Additionally, efficient deprotonation was achieved</w:t>
      </w:r>
      <w:r w:rsidR="008C75CA">
        <w:t>,</w:t>
      </w:r>
      <w:r w:rsidRPr="000F02CC">
        <w:t xml:space="preserve"> </w:t>
      </w:r>
      <w:r w:rsidR="00B12066">
        <w:t xml:space="preserve">with conversions being </w:t>
      </w:r>
      <w:r w:rsidRPr="000F02CC">
        <w:t xml:space="preserve">generally good (Entries 1-4) or more moderate when applied towards the sterically encumbered 2,6-disubstituted ketone (Entry 5). </w:t>
      </w:r>
      <w:r w:rsidR="00B12066">
        <w:t>Based on the outcomes from this range of substrates</w:t>
      </w:r>
      <w:r w:rsidRPr="000F02CC">
        <w:t xml:space="preserve">, we believe that this new class of heteroleptic magnesium base has considerable potential for structural exploration and optimisation with a view to enhancing the reactivity </w:t>
      </w:r>
      <w:r w:rsidR="00B12066">
        <w:t xml:space="preserve">and selectivity </w:t>
      </w:r>
      <w:r w:rsidRPr="000F02CC">
        <w:t xml:space="preserve">profile within </w:t>
      </w:r>
      <w:r w:rsidR="00B12066">
        <w:t>asymmetric</w:t>
      </w:r>
      <w:r w:rsidRPr="000F02CC">
        <w:t xml:space="preserve"> enolisation processes.</w:t>
      </w:r>
    </w:p>
    <w:p w:rsidR="004C116E" w:rsidRDefault="005B2C8C">
      <w:pPr>
        <w:pStyle w:val="ElsHeading1"/>
      </w:pPr>
      <w:r>
        <w:t>Conclusion</w:t>
      </w:r>
    </w:p>
    <w:p w:rsidR="004C116E" w:rsidRDefault="008C75CA" w:rsidP="00CB5BC8">
      <w:pPr>
        <w:pStyle w:val="ElsParagraph"/>
      </w:pPr>
      <w:r>
        <w:t>U</w:t>
      </w:r>
      <w:r w:rsidR="005B2C8C" w:rsidRPr="009E39FC">
        <w:t xml:space="preserve">sing the diastereoselective Mannich reaction of Cimarelli and Gong, a series of </w:t>
      </w:r>
      <w:r w:rsidR="00CB5BC8">
        <w:t>enantiom</w:t>
      </w:r>
      <w:r w:rsidR="00BF1C2F">
        <w:t xml:space="preserve">erically-enriched </w:t>
      </w:r>
      <w:r w:rsidR="005B2C8C" w:rsidRPr="009E39FC">
        <w:t>aminonaphthols</w:t>
      </w:r>
      <w:r>
        <w:t xml:space="preserve"> have been accessed and</w:t>
      </w:r>
      <w:r w:rsidR="005B2C8C" w:rsidRPr="009E39FC">
        <w:t xml:space="preserve"> </w:t>
      </w:r>
      <w:r w:rsidR="00CB5BC8">
        <w:t>employed in the preparation of</w:t>
      </w:r>
      <w:r w:rsidR="005B2C8C" w:rsidRPr="009E39FC">
        <w:t xml:space="preserve"> </w:t>
      </w:r>
      <w:r w:rsidR="00BF1C2F">
        <w:t xml:space="preserve">a series of </w:t>
      </w:r>
      <w:r w:rsidR="005B2C8C" w:rsidRPr="009E39FC">
        <w:t xml:space="preserve">chiral 6-membered metallocyclic amidomagnesium </w:t>
      </w:r>
      <w:r w:rsidR="00BF1C2F">
        <w:t>naphth</w:t>
      </w:r>
      <w:r>
        <w:t xml:space="preserve">olate complexes. </w:t>
      </w:r>
      <w:r w:rsidR="005B2C8C" w:rsidRPr="009E39FC">
        <w:t xml:space="preserve">These novel reagents were then used to survey the </w:t>
      </w:r>
      <w:r>
        <w:t>structural requirements and influences within</w:t>
      </w:r>
      <w:r w:rsidR="005B2C8C" w:rsidRPr="009E39FC">
        <w:t xml:space="preserve"> this new category of chiral </w:t>
      </w:r>
      <w:r w:rsidR="00BF1C2F">
        <w:t>magnesium-centred base. S</w:t>
      </w:r>
      <w:r w:rsidR="005B2C8C" w:rsidRPr="009E39FC">
        <w:t>ubsequently</w:t>
      </w:r>
      <w:r w:rsidR="00BF1C2F">
        <w:t>, this</w:t>
      </w:r>
      <w:r w:rsidR="005B2C8C" w:rsidRPr="009E39FC">
        <w:t xml:space="preserve"> revealed </w:t>
      </w:r>
      <w:r w:rsidR="00BF1C2F">
        <w:t xml:space="preserve">the </w:t>
      </w:r>
      <w:r w:rsidR="00245273">
        <w:t xml:space="preserve">impact </w:t>
      </w:r>
      <w:r w:rsidR="00BF1C2F">
        <w:t xml:space="preserve">of </w:t>
      </w:r>
      <w:r w:rsidR="00245273">
        <w:t xml:space="preserve">both </w:t>
      </w:r>
      <w:r w:rsidR="00BF1C2F">
        <w:t xml:space="preserve">the </w:t>
      </w:r>
      <w:r w:rsidR="00245273">
        <w:t>various embedded substituents</w:t>
      </w:r>
      <w:r w:rsidR="00BF1C2F">
        <w:t xml:space="preserve"> and, </w:t>
      </w:r>
      <w:r w:rsidR="00CB5BC8">
        <w:t>at least as</w:t>
      </w:r>
      <w:r w:rsidR="00BF1C2F">
        <w:t xml:space="preserve"> importantly, the in</w:t>
      </w:r>
      <w:r w:rsidR="007B66BE">
        <w:t>dividual stere</w:t>
      </w:r>
      <w:r w:rsidR="00245273">
        <w:t>ocentres</w:t>
      </w:r>
      <w:r w:rsidR="00CB5BC8">
        <w:t xml:space="preserve"> on the </w:t>
      </w:r>
      <w:r w:rsidR="00CB5BC8" w:rsidRPr="009E39FC">
        <w:t xml:space="preserve">selectivity </w:t>
      </w:r>
      <w:r w:rsidR="00CB5BC8">
        <w:t>within asymmetric deprotonation</w:t>
      </w:r>
      <w:r w:rsidR="00CB5BC8" w:rsidRPr="009E39FC">
        <w:t>s</w:t>
      </w:r>
      <w:r w:rsidR="00CB5BC8">
        <w:t xml:space="preserve"> of prochiral ketone substrates.  Further, good levels of selectivity and reaction efficiency were achieved at the more readily accessible </w:t>
      </w:r>
      <w:r w:rsidR="00247776">
        <w:t>and energy efficient</w:t>
      </w:r>
      <w:r w:rsidR="00247776">
        <w:rPr>
          <w:vertAlign w:val="superscript"/>
        </w:rPr>
        <w:t>1i</w:t>
      </w:r>
      <w:r w:rsidR="00247776">
        <w:t xml:space="preserve"> reaction temperature </w:t>
      </w:r>
      <w:r w:rsidR="00CB5BC8">
        <w:t xml:space="preserve">of </w:t>
      </w:r>
      <w:r w:rsidR="007B66BE" w:rsidRPr="000F02CC">
        <w:t xml:space="preserve">–40 </w:t>
      </w:r>
      <w:r w:rsidR="007B66BE" w:rsidRPr="000F02CC">
        <w:sym w:font="Symbol" w:char="F0B0"/>
      </w:r>
      <w:r w:rsidR="007B66BE">
        <w:t>C</w:t>
      </w:r>
      <w:r w:rsidR="00CB5BC8">
        <w:t>.</w:t>
      </w:r>
      <w:r w:rsidR="007B66BE">
        <w:t xml:space="preserve"> </w:t>
      </w:r>
      <w:r w:rsidR="00CB5BC8">
        <w:t>I</w:t>
      </w:r>
      <w:r w:rsidR="005B2C8C" w:rsidRPr="009E39FC">
        <w:t xml:space="preserve">nvestigations are </w:t>
      </w:r>
      <w:r w:rsidR="00CB5BC8">
        <w:t xml:space="preserve">now </w:t>
      </w:r>
      <w:r w:rsidR="005B2C8C" w:rsidRPr="009E39FC">
        <w:t xml:space="preserve">underway </w:t>
      </w:r>
      <w:r w:rsidR="00CB5BC8">
        <w:t xml:space="preserve">within our laboratory in order to further </w:t>
      </w:r>
      <w:r w:rsidR="005B2C8C" w:rsidRPr="009E39FC">
        <w:t>establish heteroleptic magnesium amides a</w:t>
      </w:r>
      <w:r w:rsidR="005B2C8C">
        <w:t xml:space="preserve">s competent </w:t>
      </w:r>
      <w:r w:rsidR="00CB5BC8">
        <w:t xml:space="preserve">and widely applicable </w:t>
      </w:r>
      <w:r w:rsidR="005B2C8C">
        <w:t>bases in this arena</w:t>
      </w:r>
      <w:r w:rsidR="00600511">
        <w:t>.</w:t>
      </w:r>
    </w:p>
    <w:p w:rsidR="004C116E" w:rsidRDefault="00600511">
      <w:pPr>
        <w:pStyle w:val="ElsHeading1"/>
      </w:pPr>
      <w:r>
        <w:t>Experimental section</w:t>
      </w:r>
    </w:p>
    <w:p w:rsidR="00CB5979" w:rsidRDefault="00CB5979" w:rsidP="00CB5979">
      <w:pPr>
        <w:pStyle w:val="ElsHeading1"/>
        <w:numPr>
          <w:ilvl w:val="0"/>
          <w:numId w:val="0"/>
        </w:numPr>
      </w:pPr>
      <w:r>
        <w:t>4.1. General information</w:t>
      </w:r>
      <w:r w:rsidR="00F228CA">
        <w:t>.</w:t>
      </w:r>
    </w:p>
    <w:p w:rsidR="00E33BEE" w:rsidRDefault="00E33BEE" w:rsidP="00357191">
      <w:pPr>
        <w:pStyle w:val="ElsParagraph"/>
        <w:rPr>
          <w:lang w:val="en-GB"/>
        </w:rPr>
      </w:pPr>
      <w:r w:rsidRPr="00E33BEE">
        <w:rPr>
          <w:lang w:val="en-GB"/>
        </w:rPr>
        <w:t>All reagents and solvents were obtained from commercial suppliers and were used without further purifi</w:t>
      </w:r>
      <w:r>
        <w:rPr>
          <w:lang w:val="en-GB"/>
        </w:rPr>
        <w:t xml:space="preserve">cation unless otherwise stated. </w:t>
      </w:r>
      <w:r w:rsidRPr="00E33BEE">
        <w:rPr>
          <w:lang w:val="en-GB"/>
        </w:rPr>
        <w:t>Purification was carried out according to standard laboratory methods.</w:t>
      </w:r>
      <w:r w:rsidR="001C5098">
        <w:rPr>
          <w:vertAlign w:val="superscript"/>
          <w:lang w:val="en-GB"/>
        </w:rPr>
        <w:t>7</w:t>
      </w:r>
      <w:r w:rsidR="001C5098">
        <w:rPr>
          <w:lang w:val="en-GB"/>
        </w:rPr>
        <w:t xml:space="preserve"> </w:t>
      </w:r>
      <w:r w:rsidRPr="00E33BEE">
        <w:rPr>
          <w:lang w:val="en-GB"/>
        </w:rPr>
        <w:t xml:space="preserve">Tetrahydrofuran and 1,4-dioxane were dried by heating to reflux over sodium wire, using benzophenone ketyl as an indicator, then distilled under nitrogen. Diethyl ether and petroleum ether 30-40 </w:t>
      </w:r>
      <w:r w:rsidRPr="00E33BEE">
        <w:rPr>
          <w:lang w:val="en-GB"/>
        </w:rPr>
        <w:sym w:font="Symbol" w:char="F0B0"/>
      </w:r>
      <w:r w:rsidRPr="00E33BEE">
        <w:rPr>
          <w:lang w:val="en-GB"/>
        </w:rPr>
        <w:t>C were used as obtained from suppliers without further purification.</w:t>
      </w:r>
      <w:r w:rsidR="001C5098">
        <w:rPr>
          <w:lang w:val="en-GB"/>
        </w:rPr>
        <w:t xml:space="preserve"> </w:t>
      </w:r>
      <w:r w:rsidRPr="00E33BEE">
        <w:rPr>
          <w:lang w:val="en-GB"/>
        </w:rPr>
        <w:t>Di-</w:t>
      </w:r>
      <w:r w:rsidRPr="00E33BEE">
        <w:rPr>
          <w:i/>
          <w:lang w:val="en-GB"/>
        </w:rPr>
        <w:t>n</w:t>
      </w:r>
      <w:r w:rsidRPr="00E33BEE">
        <w:rPr>
          <w:lang w:val="en-GB"/>
        </w:rPr>
        <w:t xml:space="preserve">-butylmagnesium, </w:t>
      </w:r>
      <w:r w:rsidRPr="00E33BEE">
        <w:rPr>
          <w:i/>
          <w:lang w:val="en-GB"/>
        </w:rPr>
        <w:t>n</w:t>
      </w:r>
      <w:r w:rsidRPr="00E33BEE">
        <w:rPr>
          <w:lang w:val="en-GB"/>
        </w:rPr>
        <w:t>-Bu</w:t>
      </w:r>
      <w:r w:rsidRPr="00E33BEE">
        <w:rPr>
          <w:vertAlign w:val="subscript"/>
          <w:lang w:val="en-GB"/>
        </w:rPr>
        <w:t>2</w:t>
      </w:r>
      <w:r w:rsidRPr="00E33BEE">
        <w:rPr>
          <w:lang w:val="en-GB"/>
        </w:rPr>
        <w:t>Mg,</w:t>
      </w:r>
      <w:r w:rsidR="001C5098">
        <w:rPr>
          <w:vertAlign w:val="superscript"/>
          <w:lang w:val="en-GB"/>
        </w:rPr>
        <w:t>5</w:t>
      </w:r>
      <w:r w:rsidRPr="00E33BEE">
        <w:rPr>
          <w:lang w:val="en-GB"/>
        </w:rPr>
        <w:t xml:space="preserve"> obtained as a 1 M solution in heptane, was standardised using salicaldehyde phenylhydrazone as indicator.</w:t>
      </w:r>
      <w:r w:rsidR="00357191">
        <w:rPr>
          <w:vertAlign w:val="superscript"/>
          <w:lang w:val="en-GB"/>
        </w:rPr>
        <w:t>8</w:t>
      </w:r>
      <w:r w:rsidR="00357191">
        <w:rPr>
          <w:lang w:val="en-GB"/>
        </w:rPr>
        <w:t xml:space="preserve"> </w:t>
      </w:r>
      <w:r w:rsidRPr="00E33BEE">
        <w:rPr>
          <w:lang w:val="en-GB"/>
        </w:rPr>
        <w:t xml:space="preserve">Aminonaphthols were dried by (i) placing under high vacuum for 18 h (if solid) or (ii) by heating to 100 </w:t>
      </w:r>
      <w:r w:rsidRPr="00E33BEE">
        <w:rPr>
          <w:lang w:val="en-GB"/>
        </w:rPr>
        <w:sym w:font="Symbol" w:char="F0B0"/>
      </w:r>
      <w:r w:rsidRPr="00E33BEE">
        <w:rPr>
          <w:lang w:val="en-GB"/>
        </w:rPr>
        <w:t>C under vacuum (0.1 mbar) using a Kugelrohr apparatus for 2 h, before being purged with, and stored under N</w:t>
      </w:r>
      <w:r w:rsidRPr="00E33BEE">
        <w:rPr>
          <w:vertAlign w:val="subscript"/>
          <w:lang w:val="en-GB"/>
        </w:rPr>
        <w:t>2</w:t>
      </w:r>
      <w:r w:rsidRPr="00E33BEE">
        <w:rPr>
          <w:lang w:val="en-GB"/>
        </w:rPr>
        <w:t xml:space="preserve"> over 4 Å molecular sieves (if liquid).</w:t>
      </w:r>
      <w:r w:rsidR="00357191">
        <w:rPr>
          <w:lang w:val="en-GB"/>
        </w:rPr>
        <w:t xml:space="preserve"> </w:t>
      </w:r>
      <w:r w:rsidRPr="00E33BEE">
        <w:rPr>
          <w:lang w:val="de-DE"/>
        </w:rPr>
        <w:t>1,3-Dimethyl-3,4,5,6-tetrahydro-2(1</w:t>
      </w:r>
      <w:r w:rsidRPr="00E33BEE">
        <w:rPr>
          <w:i/>
          <w:lang w:val="de-DE"/>
        </w:rPr>
        <w:t>H</w:t>
      </w:r>
      <w:r w:rsidR="00357191">
        <w:rPr>
          <w:lang w:val="de-DE"/>
        </w:rPr>
        <w:t>)-pyrimidinone</w:t>
      </w:r>
      <w:r w:rsidRPr="00E33BEE">
        <w:rPr>
          <w:lang w:val="de-DE"/>
        </w:rPr>
        <w:t xml:space="preserve"> (</w:t>
      </w:r>
      <w:r w:rsidRPr="00E33BEE">
        <w:rPr>
          <w:lang w:val="en-GB"/>
        </w:rPr>
        <w:t>DMPU) was dried by heating to reflux over calcium hydride and distilling under vacuum before bei</w:t>
      </w:r>
      <w:r w:rsidR="00357191">
        <w:rPr>
          <w:lang w:val="en-GB"/>
        </w:rPr>
        <w:t>ng purged with</w:t>
      </w:r>
      <w:r w:rsidRPr="00E33BEE">
        <w:rPr>
          <w:lang w:val="en-GB"/>
        </w:rPr>
        <w:t xml:space="preserve"> and stored under N</w:t>
      </w:r>
      <w:r w:rsidRPr="00E33BEE">
        <w:rPr>
          <w:vertAlign w:val="subscript"/>
          <w:lang w:val="en-GB"/>
        </w:rPr>
        <w:t>2</w:t>
      </w:r>
      <w:r w:rsidRPr="00E33BEE">
        <w:rPr>
          <w:lang w:val="en-GB"/>
        </w:rPr>
        <w:t xml:space="preserve"> over 4 Å molecular sieves.</w:t>
      </w:r>
      <w:r w:rsidR="00357191">
        <w:rPr>
          <w:lang w:val="en-GB"/>
        </w:rPr>
        <w:t xml:space="preserve"> </w:t>
      </w:r>
      <w:r w:rsidRPr="00E33BEE">
        <w:rPr>
          <w:lang w:val="en-GB"/>
        </w:rPr>
        <w:t>Chlorotrimethylsilane was distilled under N</w:t>
      </w:r>
      <w:r w:rsidRPr="00E33BEE">
        <w:rPr>
          <w:vertAlign w:val="subscript"/>
          <w:lang w:val="en-GB"/>
        </w:rPr>
        <w:t>2</w:t>
      </w:r>
      <w:r w:rsidRPr="00E33BEE">
        <w:rPr>
          <w:lang w:val="en-GB"/>
        </w:rPr>
        <w:t xml:space="preserve"> and stored over 4 Å molecular sieves.</w:t>
      </w:r>
      <w:r w:rsidR="00357191">
        <w:rPr>
          <w:lang w:val="en-GB"/>
        </w:rPr>
        <w:t xml:space="preserve"> </w:t>
      </w:r>
      <w:r w:rsidRPr="00E33BEE">
        <w:rPr>
          <w:lang w:val="en-GB"/>
        </w:rPr>
        <w:t>4-</w:t>
      </w:r>
      <w:r w:rsidRPr="00E33BEE">
        <w:rPr>
          <w:i/>
          <w:lang w:val="en-GB"/>
        </w:rPr>
        <w:t>t</w:t>
      </w:r>
      <w:r w:rsidRPr="00E33BEE">
        <w:rPr>
          <w:lang w:val="en-GB"/>
        </w:rPr>
        <w:t xml:space="preserve">-Butylcyclohexanone </w:t>
      </w:r>
      <w:r w:rsidRPr="00E33BEE">
        <w:rPr>
          <w:b/>
          <w:lang w:val="en-GB"/>
        </w:rPr>
        <w:t>4a</w:t>
      </w:r>
      <w:r w:rsidRPr="00E33BEE">
        <w:rPr>
          <w:lang w:val="en-GB"/>
        </w:rPr>
        <w:t xml:space="preserve"> and 4-phenylcyclohexanone </w:t>
      </w:r>
      <w:r w:rsidRPr="00E33BEE">
        <w:rPr>
          <w:b/>
          <w:lang w:val="en-GB"/>
        </w:rPr>
        <w:t>4d</w:t>
      </w:r>
      <w:r w:rsidRPr="00E33BEE">
        <w:rPr>
          <w:lang w:val="en-GB"/>
        </w:rPr>
        <w:t xml:space="preserve"> were recrystallised twice from dry hexane at 4 </w:t>
      </w:r>
      <w:r w:rsidRPr="00E33BEE">
        <w:rPr>
          <w:lang w:val="en-GB"/>
        </w:rPr>
        <w:sym w:font="Symbol" w:char="F0B0"/>
      </w:r>
      <w:r w:rsidRPr="00E33BEE">
        <w:rPr>
          <w:lang w:val="en-GB"/>
        </w:rPr>
        <w:t>C, purged with, and stored under</w:t>
      </w:r>
      <w:r w:rsidR="004F24C0">
        <w:rPr>
          <w:lang w:val="en-GB"/>
        </w:rPr>
        <w:t>,</w:t>
      </w:r>
      <w:r w:rsidRPr="00E33BEE">
        <w:rPr>
          <w:lang w:val="en-GB"/>
        </w:rPr>
        <w:t xml:space="preserve"> N</w:t>
      </w:r>
      <w:r w:rsidRPr="00E33BEE">
        <w:rPr>
          <w:vertAlign w:val="subscript"/>
          <w:lang w:val="en-GB"/>
        </w:rPr>
        <w:t>2</w:t>
      </w:r>
      <w:r w:rsidRPr="00E33BEE">
        <w:rPr>
          <w:lang w:val="en-GB"/>
        </w:rPr>
        <w:t>. 4-</w:t>
      </w:r>
      <w:r w:rsidRPr="00E33BEE">
        <w:rPr>
          <w:i/>
          <w:lang w:val="en-GB"/>
        </w:rPr>
        <w:t>n</w:t>
      </w:r>
      <w:r w:rsidRPr="00E33BEE">
        <w:rPr>
          <w:lang w:val="en-GB"/>
        </w:rPr>
        <w:t xml:space="preserve">-Propylcyclohexanone </w:t>
      </w:r>
      <w:r w:rsidRPr="00E33BEE">
        <w:rPr>
          <w:b/>
          <w:lang w:val="en-GB"/>
        </w:rPr>
        <w:t>4b</w:t>
      </w:r>
      <w:r w:rsidRPr="00E33BEE">
        <w:rPr>
          <w:lang w:val="en-GB"/>
        </w:rPr>
        <w:t xml:space="preserve">, 4-methylcyclohexanone </w:t>
      </w:r>
      <w:r w:rsidRPr="00E33BEE">
        <w:rPr>
          <w:b/>
          <w:lang w:val="en-GB"/>
        </w:rPr>
        <w:t>4c</w:t>
      </w:r>
      <w:r w:rsidRPr="00E33BEE">
        <w:rPr>
          <w:lang w:val="en-GB"/>
        </w:rPr>
        <w:t xml:space="preserve">, and </w:t>
      </w:r>
      <w:r w:rsidRPr="00E33BEE">
        <w:rPr>
          <w:i/>
          <w:lang w:val="en-GB"/>
        </w:rPr>
        <w:t>cis</w:t>
      </w:r>
      <w:r w:rsidRPr="00E33BEE">
        <w:rPr>
          <w:lang w:val="en-GB"/>
        </w:rPr>
        <w:t xml:space="preserve">-2,6-dimethylcyclohexanone </w:t>
      </w:r>
      <w:r w:rsidRPr="00E33BEE">
        <w:rPr>
          <w:b/>
          <w:lang w:val="en-GB"/>
        </w:rPr>
        <w:t>4e</w:t>
      </w:r>
      <w:r w:rsidRPr="00E33BEE">
        <w:rPr>
          <w:lang w:val="en-GB"/>
        </w:rPr>
        <w:t xml:space="preserve">, were dried by heating to reflux over calcium chloride and distilled under </w:t>
      </w:r>
      <w:r w:rsidR="004F24C0">
        <w:rPr>
          <w:lang w:val="en-GB"/>
        </w:rPr>
        <w:t>vacuum before being purged with</w:t>
      </w:r>
      <w:r w:rsidRPr="00E33BEE">
        <w:rPr>
          <w:lang w:val="en-GB"/>
        </w:rPr>
        <w:t xml:space="preserve"> and stored under N</w:t>
      </w:r>
      <w:r w:rsidRPr="00E33BEE">
        <w:rPr>
          <w:vertAlign w:val="subscript"/>
          <w:lang w:val="en-GB"/>
        </w:rPr>
        <w:t>2</w:t>
      </w:r>
      <w:r w:rsidRPr="00E33BEE">
        <w:rPr>
          <w:lang w:val="en-GB"/>
        </w:rPr>
        <w:t xml:space="preserve"> over 4 Å molecular sieves.</w:t>
      </w:r>
    </w:p>
    <w:p w:rsidR="00753696" w:rsidRDefault="00474669" w:rsidP="002C0BF8">
      <w:pPr>
        <w:pStyle w:val="ElsParagraph"/>
        <w:rPr>
          <w:iCs/>
          <w:lang w:val="en-GB" w:eastAsia="en-GB"/>
        </w:rPr>
      </w:pPr>
      <w:r w:rsidRPr="00474669">
        <w:t>All deprotonation reactions were air sensitive and, as such, were carried out usin</w:t>
      </w:r>
      <w:r w:rsidR="009C4CCC">
        <w:t>g flame dried Schlenk apparatus</w:t>
      </w:r>
      <w:r w:rsidR="00753696">
        <w:t>;</w:t>
      </w:r>
      <w:r w:rsidR="00753696" w:rsidRPr="00753696">
        <w:rPr>
          <w:lang w:val="en-GB"/>
        </w:rPr>
        <w:t xml:space="preserve"> </w:t>
      </w:r>
      <w:r w:rsidR="00753696">
        <w:rPr>
          <w:lang w:val="en-GB"/>
        </w:rPr>
        <w:t>p</w:t>
      </w:r>
      <w:r w:rsidR="00753696" w:rsidRPr="00753696">
        <w:rPr>
          <w:lang w:val="en-GB"/>
        </w:rPr>
        <w:t>urging refers to an evacuation/nitrogen refilling procedure carried out 3 times.</w:t>
      </w:r>
      <w:r w:rsidR="009C4CCC">
        <w:t xml:space="preserve"> </w:t>
      </w:r>
      <w:r w:rsidR="009C4CCC" w:rsidRPr="009C4CCC">
        <w:rPr>
          <w:vertAlign w:val="superscript"/>
        </w:rPr>
        <w:t>1</w:t>
      </w:r>
      <w:r w:rsidR="009C4CCC" w:rsidRPr="009C4CCC">
        <w:t xml:space="preserve">H and </w:t>
      </w:r>
      <w:r w:rsidR="009C4CCC" w:rsidRPr="009C4CCC">
        <w:rPr>
          <w:vertAlign w:val="superscript"/>
        </w:rPr>
        <w:t>13</w:t>
      </w:r>
      <w:r w:rsidR="009C4CCC" w:rsidRPr="009C4CCC">
        <w:t>C NMR spectra were recorded on a Bruker DPX 400 spectrometer at 400</w:t>
      </w:r>
      <w:r w:rsidR="00753696">
        <w:t xml:space="preserve"> MHz and 100 MHz, respectively. </w:t>
      </w:r>
      <w:r w:rsidR="00753696" w:rsidRPr="00753696">
        <w:rPr>
          <w:lang w:val="en-GB"/>
        </w:rPr>
        <w:t>Chemic</w:t>
      </w:r>
      <w:r w:rsidR="00753696">
        <w:rPr>
          <w:lang w:val="en-GB"/>
        </w:rPr>
        <w:t xml:space="preserve">al shifts are reported in ppm. </w:t>
      </w:r>
      <w:r w:rsidR="00753696" w:rsidRPr="00753696">
        <w:rPr>
          <w:lang w:val="en-GB"/>
        </w:rPr>
        <w:t xml:space="preserve">Coupling constants are reported in Hz and refer to </w:t>
      </w:r>
      <w:r w:rsidR="00753696" w:rsidRPr="00753696">
        <w:rPr>
          <w:vertAlign w:val="superscript"/>
          <w:lang w:val="en-GB"/>
        </w:rPr>
        <w:t>3</w:t>
      </w:r>
      <w:r w:rsidR="00753696" w:rsidRPr="00753696">
        <w:rPr>
          <w:i/>
          <w:lang w:val="en-GB"/>
        </w:rPr>
        <w:t>J</w:t>
      </w:r>
      <w:r w:rsidR="00753696" w:rsidRPr="00753696">
        <w:rPr>
          <w:vertAlign w:val="subscript"/>
          <w:lang w:val="en-GB"/>
        </w:rPr>
        <w:t>H-H</w:t>
      </w:r>
      <w:r w:rsidR="00753696" w:rsidRPr="00753696">
        <w:rPr>
          <w:lang w:val="en-GB"/>
        </w:rPr>
        <w:t xml:space="preserve"> interactions unless otherwise specified.</w:t>
      </w:r>
      <w:r w:rsidR="00753696">
        <w:rPr>
          <w:lang w:val="en-GB"/>
        </w:rPr>
        <w:t xml:space="preserve"> Note that </w:t>
      </w:r>
      <w:r w:rsidR="00753696" w:rsidRPr="00753696">
        <w:rPr>
          <w:lang w:val="en-GB"/>
        </w:rPr>
        <w:t>CDCl</w:t>
      </w:r>
      <w:r w:rsidR="00753696" w:rsidRPr="00753696">
        <w:rPr>
          <w:vertAlign w:val="subscript"/>
          <w:lang w:val="en-GB"/>
        </w:rPr>
        <w:t>3</w:t>
      </w:r>
      <w:r w:rsidR="00753696" w:rsidRPr="00753696">
        <w:rPr>
          <w:lang w:val="en-GB"/>
        </w:rPr>
        <w:t xml:space="preserve"> </w:t>
      </w:r>
      <w:r w:rsidR="00753696">
        <w:rPr>
          <w:lang w:val="en-GB"/>
        </w:rPr>
        <w:t xml:space="preserve">is </w:t>
      </w:r>
      <w:r w:rsidR="00753696" w:rsidRPr="00753696">
        <w:rPr>
          <w:lang w:val="en-GB"/>
        </w:rPr>
        <w:t xml:space="preserve">referenced at </w:t>
      </w:r>
      <w:r w:rsidR="00753696" w:rsidRPr="00753696">
        <w:rPr>
          <w:lang w:val="en-GB"/>
        </w:rPr>
        <w:sym w:font="Symbol" w:char="F064"/>
      </w:r>
      <w:r w:rsidR="00753696" w:rsidRPr="00753696">
        <w:rPr>
          <w:lang w:val="en-GB"/>
        </w:rPr>
        <w:t xml:space="preserve"> 7.26 and 77.16 ppm.</w:t>
      </w:r>
      <w:r w:rsidR="00753696">
        <w:rPr>
          <w:lang w:val="en-GB"/>
        </w:rPr>
        <w:t xml:space="preserve"> </w:t>
      </w:r>
      <w:r w:rsidR="009C4CCC" w:rsidRPr="009C4CCC">
        <w:t>FTIR spectra were obtained on a Perkin Elmer Spectrum One instrument.</w:t>
      </w:r>
      <w:r w:rsidR="009C4CCC" w:rsidRPr="009C4CCC">
        <w:rPr>
          <w:sz w:val="22"/>
        </w:rPr>
        <w:t xml:space="preserve"> </w:t>
      </w:r>
      <w:r w:rsidR="009C4CCC" w:rsidRPr="009C4CCC">
        <w:t>High Performance Liquid Chromatography was carried out on a Gilson Model 302 pump with a Milton Roy spectromonitor 3100 detector using: Chiracel OD column; 1 m</w:t>
      </w:r>
      <w:r w:rsidR="006B0ADD">
        <w:t>L</w:t>
      </w:r>
      <w:r w:rsidR="009C4CCC" w:rsidRPr="009C4CCC">
        <w:t xml:space="preserve">/min flow rate; </w:t>
      </w:r>
      <w:r w:rsidR="00753696">
        <w:t xml:space="preserve">and a </w:t>
      </w:r>
      <w:r w:rsidR="009C4CCC" w:rsidRPr="009C4CCC">
        <w:t>254 nm detector.</w:t>
      </w:r>
      <w:r w:rsidR="00753696">
        <w:t xml:space="preserve"> </w:t>
      </w:r>
      <w:r w:rsidR="009C4CCC" w:rsidRPr="009C4CCC">
        <w:t>Gas Chromatography was carried out using a Hewlett Packard 5890 Series 2 Gas Chromatograph and data was interpreted using Peaknet computer software</w:t>
      </w:r>
      <w:r w:rsidR="00F00588">
        <w:t>.</w:t>
      </w:r>
      <w:r w:rsidR="00753696">
        <w:rPr>
          <w:sz w:val="22"/>
        </w:rPr>
        <w:t xml:space="preserve"> </w:t>
      </w:r>
      <w:r w:rsidR="00F00588" w:rsidRPr="00F00588">
        <w:t>Optical rotation measurements were recorded using a Perkin Elmer 341 polarimeter, using a ce</w:t>
      </w:r>
      <w:r w:rsidR="00AB4393">
        <w:t>ll with a path length of 1 dm; c</w:t>
      </w:r>
      <w:r w:rsidR="00F00588" w:rsidRPr="00F00588">
        <w:t>oncentrations are expressed in g/100 cm</w:t>
      </w:r>
      <w:r w:rsidR="00F00588" w:rsidRPr="00F00588">
        <w:rPr>
          <w:vertAlign w:val="superscript"/>
        </w:rPr>
        <w:t>3</w:t>
      </w:r>
      <w:r w:rsidR="00F00588" w:rsidRPr="00F00588">
        <w:t>.</w:t>
      </w:r>
      <w:r w:rsidR="00753696">
        <w:t xml:space="preserve"> </w:t>
      </w:r>
      <w:r w:rsidR="00F00588" w:rsidRPr="00F00588">
        <w:rPr>
          <w:iCs/>
          <w:lang w:val="en-GB" w:eastAsia="en-GB"/>
        </w:rPr>
        <w:t xml:space="preserve">High resolution mass spectra </w:t>
      </w:r>
      <w:r w:rsidR="00F00588">
        <w:rPr>
          <w:iCs/>
          <w:lang w:val="en-GB" w:eastAsia="en-GB"/>
        </w:rPr>
        <w:t xml:space="preserve">were recorded on a Finnigan MAT 90XLT instrument at </w:t>
      </w:r>
      <w:r w:rsidR="00F00588" w:rsidRPr="005C7CBB">
        <w:rPr>
          <w:iCs/>
          <w:lang w:val="en-GB" w:eastAsia="en-GB"/>
        </w:rPr>
        <w:t>the EPSRC UK National Mass Spectrometry Facility</w:t>
      </w:r>
      <w:r w:rsidR="00F00588">
        <w:rPr>
          <w:iCs/>
          <w:lang w:val="en-GB" w:eastAsia="en-GB"/>
        </w:rPr>
        <w:t xml:space="preserve"> </w:t>
      </w:r>
      <w:r w:rsidR="00F00588" w:rsidRPr="005C7CBB">
        <w:rPr>
          <w:iCs/>
          <w:lang w:val="en-GB" w:eastAsia="en-GB"/>
        </w:rPr>
        <w:t>at Swansea University</w:t>
      </w:r>
      <w:r w:rsidR="00F00588">
        <w:rPr>
          <w:iCs/>
          <w:lang w:val="en-GB" w:eastAsia="en-GB"/>
        </w:rPr>
        <w:t xml:space="preserve"> (Wales)</w:t>
      </w:r>
      <w:r w:rsidR="00F00588" w:rsidRPr="005C7CBB">
        <w:rPr>
          <w:iCs/>
          <w:lang w:val="en-GB" w:eastAsia="en-GB"/>
        </w:rPr>
        <w:t>.</w:t>
      </w:r>
      <w:r w:rsidR="00E33BEE">
        <w:rPr>
          <w:iCs/>
          <w:lang w:val="en-GB" w:eastAsia="en-GB"/>
        </w:rPr>
        <w:t xml:space="preserve"> </w:t>
      </w:r>
      <w:r w:rsidR="00E33BEE" w:rsidRPr="00E33BEE">
        <w:rPr>
          <w:iCs/>
          <w:lang w:val="en-GB" w:eastAsia="en-GB"/>
        </w:rPr>
        <w:t>Thin layer chromatography was carried out using Camlab silica plates coated with indicator UV</w:t>
      </w:r>
      <w:r w:rsidR="00E33BEE" w:rsidRPr="00E33BEE">
        <w:rPr>
          <w:iCs/>
          <w:vertAlign w:val="subscript"/>
          <w:lang w:val="en-GB" w:eastAsia="en-GB"/>
        </w:rPr>
        <w:t>254</w:t>
      </w:r>
      <w:r w:rsidR="00E33BEE" w:rsidRPr="00E33BEE">
        <w:rPr>
          <w:iCs/>
          <w:lang w:val="en-GB" w:eastAsia="en-GB"/>
        </w:rPr>
        <w:t>. These were analysed using a Mineralight UVGL-25 lamp or developed using vanillin. Flash column chromatography was carried out using Pro</w:t>
      </w:r>
      <w:r w:rsidR="002C0BF8">
        <w:rPr>
          <w:iCs/>
          <w:lang w:val="en-GB" w:eastAsia="en-GB"/>
        </w:rPr>
        <w:t>labo silica gel (230-400 mesh).</w:t>
      </w:r>
    </w:p>
    <w:p w:rsidR="00CB5979" w:rsidRDefault="00CB5979" w:rsidP="00CB5979">
      <w:pPr>
        <w:pStyle w:val="ElsHeading1"/>
        <w:numPr>
          <w:ilvl w:val="0"/>
          <w:numId w:val="0"/>
        </w:numPr>
      </w:pPr>
      <w:r>
        <w:t xml:space="preserve">4.2. </w:t>
      </w:r>
      <w:r w:rsidR="00CE72EA">
        <w:t>Typical procedure for the s</w:t>
      </w:r>
      <w:r w:rsidRPr="00CB5979">
        <w:t>ynthesis of aminonaphthols 3a-g and 3i</w:t>
      </w:r>
      <w:r w:rsidRPr="00F228CA">
        <w:t>.</w:t>
      </w:r>
      <w:r w:rsidRPr="000F02CC">
        <w:t xml:space="preserve"> </w:t>
      </w:r>
    </w:p>
    <w:p w:rsidR="00CB5979" w:rsidRDefault="00CB5979" w:rsidP="00CB5979">
      <w:pPr>
        <w:pStyle w:val="ElsParagraph"/>
      </w:pPr>
      <w:r w:rsidRPr="000F02CC">
        <w:t>Using the procedure of Cimarelli,</w:t>
      </w:r>
      <w:r w:rsidRPr="000F02CC">
        <w:rPr>
          <w:vertAlign w:val="superscript"/>
        </w:rPr>
        <w:t>4</w:t>
      </w:r>
      <w:r w:rsidR="00A357FF">
        <w:rPr>
          <w:vertAlign w:val="superscript"/>
        </w:rPr>
        <w:t>a</w:t>
      </w:r>
      <w:r w:rsidRPr="000F02CC">
        <w:t xml:space="preserve"> for example, synthesis of</w:t>
      </w:r>
      <w:r w:rsidRPr="000F02CC">
        <w:rPr>
          <w:b/>
        </w:rPr>
        <w:t xml:space="preserve"> </w:t>
      </w:r>
      <w:r w:rsidRPr="000F02CC">
        <w:t>(</w:t>
      </w:r>
      <w:r w:rsidRPr="000F02CC">
        <w:rPr>
          <w:i/>
        </w:rPr>
        <w:t>R</w:t>
      </w:r>
      <w:r w:rsidRPr="000F02CC">
        <w:t>,</w:t>
      </w:r>
      <w:r w:rsidRPr="000F02CC">
        <w:rPr>
          <w:i/>
        </w:rPr>
        <w:t>R</w:t>
      </w:r>
      <w:r w:rsidRPr="000F02CC">
        <w:t>)-</w:t>
      </w:r>
      <w:r w:rsidRPr="000F02CC">
        <w:rPr>
          <w:b/>
        </w:rPr>
        <w:t>3a</w:t>
      </w:r>
      <w:r w:rsidRPr="000F02CC">
        <w:t>: A mixture of 2-naphthol (1 eq</w:t>
      </w:r>
      <w:r w:rsidR="00E72BF2">
        <w:t>uiv</w:t>
      </w:r>
      <w:r w:rsidRPr="000F02CC">
        <w:t>., 5 mmol, 0.72 g), benzaldehyde (1.2 eq</w:t>
      </w:r>
      <w:r w:rsidR="00E72BF2">
        <w:t>uiv</w:t>
      </w:r>
      <w:r w:rsidRPr="000F02CC">
        <w:t>., 6 mmol, 0.64 g) and (</w:t>
      </w:r>
      <w:r w:rsidRPr="000F02CC">
        <w:rPr>
          <w:i/>
        </w:rPr>
        <w:t>R</w:t>
      </w:r>
      <w:r w:rsidRPr="000F02CC">
        <w:t>)-1-phenylethylamine (1.05 eq</w:t>
      </w:r>
      <w:r w:rsidR="00E72BF2">
        <w:t>uiv</w:t>
      </w:r>
      <w:r w:rsidRPr="000F02CC">
        <w:t xml:space="preserve">., 5.25 mmol, 0.64 g) was stirred at 60 </w:t>
      </w:r>
      <w:r w:rsidRPr="000F02CC">
        <w:sym w:font="Symbol" w:char="F0B0"/>
      </w:r>
      <w:r w:rsidRPr="000F02CC">
        <w:t>C under N</w:t>
      </w:r>
      <w:r w:rsidRPr="000F02CC">
        <w:rPr>
          <w:vertAlign w:val="subscript"/>
        </w:rPr>
        <w:t>2</w:t>
      </w:r>
      <w:r w:rsidR="00C67A46">
        <w:t xml:space="preserve"> for </w:t>
      </w:r>
      <w:r w:rsidRPr="00C67A46">
        <w:rPr>
          <w:highlight w:val="yellow"/>
        </w:rPr>
        <w:t>8</w:t>
      </w:r>
      <w:r w:rsidRPr="000F02CC">
        <w:t xml:space="preserve"> h. After this time, the mixture was found to have solidified. After cooling to room temperature, the solid was dispersed with EtOH (50 m</w:t>
      </w:r>
      <w:r w:rsidR="006B0ADD">
        <w:t>L</w:t>
      </w:r>
      <w:r w:rsidRPr="000F02CC">
        <w:t>) to afford a white crystalline solid. The solid was isolated by filtration and recrystallised twice from MeOH to provide the pure (</w:t>
      </w:r>
      <w:r w:rsidRPr="000F02CC">
        <w:rPr>
          <w:i/>
        </w:rPr>
        <w:t>R</w:t>
      </w:r>
      <w:r w:rsidRPr="000F02CC">
        <w:t>,</w:t>
      </w:r>
      <w:r w:rsidRPr="000F02CC">
        <w:rPr>
          <w:i/>
        </w:rPr>
        <w:t>R</w:t>
      </w:r>
      <w:r w:rsidRPr="000F02CC">
        <w:t>)-diastereomer, (</w:t>
      </w:r>
      <w:r w:rsidRPr="000F02CC">
        <w:rPr>
          <w:i/>
        </w:rPr>
        <w:t>R</w:t>
      </w:r>
      <w:r w:rsidRPr="000F02CC">
        <w:t>,</w:t>
      </w:r>
      <w:r w:rsidRPr="000F02CC">
        <w:rPr>
          <w:i/>
        </w:rPr>
        <w:t>R</w:t>
      </w:r>
      <w:r w:rsidRPr="000F02CC">
        <w:t>)-</w:t>
      </w:r>
      <w:r w:rsidRPr="000F02CC">
        <w:rPr>
          <w:b/>
        </w:rPr>
        <w:t>3a</w:t>
      </w:r>
      <w:r w:rsidRPr="000F02CC">
        <w:t>, as colourless crystals (1.29 g, 73%).</w:t>
      </w:r>
    </w:p>
    <w:p w:rsidR="0057123E" w:rsidRPr="0057123E" w:rsidRDefault="0057123E" w:rsidP="00B17C29">
      <w:pPr>
        <w:pStyle w:val="ElsParagraph"/>
        <w:ind w:firstLine="0"/>
        <w:rPr>
          <w:lang w:val="en-GB"/>
        </w:rPr>
      </w:pPr>
      <w:r>
        <w:rPr>
          <w:i/>
          <w:lang w:val="en-GB"/>
        </w:rPr>
        <w:t xml:space="preserve">4.2.1 </w:t>
      </w:r>
      <w:r w:rsidRPr="0057123E">
        <w:rPr>
          <w:i/>
          <w:lang w:val="en-GB"/>
        </w:rPr>
        <w:t xml:space="preserve">1-((R)-Phenyl((R)-1-phenylethylamino)methyl)naphthalen-2-ol </w:t>
      </w:r>
      <w:r w:rsidRPr="0057123E">
        <w:rPr>
          <w:b/>
          <w:i/>
          <w:lang w:val="en-GB"/>
        </w:rPr>
        <w:t>(R,R)-3a</w:t>
      </w:r>
      <w:r w:rsidRPr="00B17C29">
        <w:rPr>
          <w:lang w:val="en-GB"/>
        </w:rPr>
        <w:t>.</w:t>
      </w:r>
      <w:r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Pr="0057123E">
        <w:rPr>
          <w:lang w:val="en-GB"/>
        </w:rPr>
        <w:t xml:space="preserve">Colourless crystals: M.Pt. 132-134 </w:t>
      </w:r>
      <w:r w:rsidRPr="0057123E">
        <w:rPr>
          <w:lang w:val="en-GB"/>
        </w:rPr>
        <w:sym w:font="Symbol" w:char="F0B0"/>
      </w:r>
      <w:r w:rsidR="00081A7D">
        <w:rPr>
          <w:lang w:val="en-GB"/>
        </w:rPr>
        <w:t>C (MeOH)</w:t>
      </w:r>
      <w:r w:rsidR="00B17C29">
        <w:rPr>
          <w:lang w:val="en-GB"/>
        </w:rPr>
        <w:t xml:space="preserve">. </w:t>
      </w:r>
      <w:r w:rsidRPr="0057123E">
        <w:rPr>
          <w:lang w:val="en-GB"/>
        </w:rPr>
        <w:sym w:font="Symbol" w:char="F06E"/>
      </w:r>
      <w:r w:rsidRPr="0057123E">
        <w:rPr>
          <w:vertAlign w:val="subscript"/>
          <w:lang w:val="en-GB"/>
        </w:rPr>
        <w:t>max</w:t>
      </w:r>
      <w:r w:rsidRPr="0057123E">
        <w:rPr>
          <w:lang w:val="en-GB"/>
        </w:rPr>
        <w:t xml:space="preserve"> (CH</w:t>
      </w:r>
      <w:r w:rsidRPr="0057123E">
        <w:rPr>
          <w:vertAlign w:val="subscript"/>
          <w:lang w:val="en-GB"/>
        </w:rPr>
        <w:t>2</w:t>
      </w:r>
      <w:r w:rsidRPr="0057123E">
        <w:rPr>
          <w:lang w:val="en-GB"/>
        </w:rPr>
        <w:t>Cl</w:t>
      </w:r>
      <w:r w:rsidRPr="0057123E">
        <w:rPr>
          <w:vertAlign w:val="subscript"/>
          <w:lang w:val="en-GB"/>
        </w:rPr>
        <w:t>2</w:t>
      </w:r>
      <w:r w:rsidRPr="0057123E">
        <w:rPr>
          <w:lang w:val="en-GB"/>
        </w:rPr>
        <w:t>): 3319, 2747, 1621, 1523 cm</w:t>
      </w:r>
      <w:r w:rsidRPr="0057123E">
        <w:rPr>
          <w:vertAlign w:val="superscript"/>
          <w:lang w:val="en-GB"/>
        </w:rPr>
        <w:t>–1</w:t>
      </w:r>
      <w:r w:rsidRPr="0057123E">
        <w:rPr>
          <w:lang w:val="en-GB"/>
        </w:rPr>
        <w:t xml:space="preserve">. </w:t>
      </w:r>
      <w:r w:rsidRPr="0057123E">
        <w:rPr>
          <w:vertAlign w:val="superscript"/>
          <w:lang w:val="en-GB"/>
        </w:rPr>
        <w:t>1</w:t>
      </w:r>
      <w:r w:rsidRPr="0057123E">
        <w:rPr>
          <w:lang w:val="en-GB"/>
        </w:rPr>
        <w:t>H NMR (400 MHz, CDCl</w:t>
      </w:r>
      <w:r w:rsidRPr="0057123E">
        <w:rPr>
          <w:vertAlign w:val="subscript"/>
          <w:lang w:val="en-GB"/>
        </w:rPr>
        <w:t>3</w:t>
      </w:r>
      <w:r w:rsidRPr="0057123E">
        <w:rPr>
          <w:lang w:val="en-GB"/>
        </w:rPr>
        <w:t xml:space="preserve">) δ: 1.52 (d, 3H, </w:t>
      </w:r>
      <w:r w:rsidRPr="0057123E">
        <w:rPr>
          <w:i/>
          <w:lang w:val="en-GB"/>
        </w:rPr>
        <w:t>J</w:t>
      </w:r>
      <w:r w:rsidRPr="0057123E">
        <w:rPr>
          <w:lang w:val="en-GB"/>
        </w:rPr>
        <w:t xml:space="preserve"> = 7.0 Hz), 2.31 (br s, 1H), 3.92 (q, 1H, </w:t>
      </w:r>
      <w:r w:rsidRPr="0057123E">
        <w:rPr>
          <w:i/>
          <w:lang w:val="en-GB"/>
        </w:rPr>
        <w:t>J</w:t>
      </w:r>
      <w:r w:rsidRPr="0057123E">
        <w:rPr>
          <w:lang w:val="en-GB"/>
        </w:rPr>
        <w:t xml:space="preserve"> = 7.0 Hz), 5.47 (s, 1H), 7.18-7.76 (m, 16H), 13.65 (br s, 1H).</w:t>
      </w:r>
      <w:r w:rsidR="00B17C29">
        <w:rPr>
          <w:lang w:val="en-GB"/>
        </w:rPr>
        <w:t xml:space="preserve"> </w:t>
      </w:r>
      <w:r w:rsidRPr="0057123E">
        <w:rPr>
          <w:lang w:val="en-GB"/>
        </w:rPr>
        <w:t>[</w:t>
      </w:r>
      <w:r w:rsidRPr="0057123E">
        <w:rPr>
          <w:lang w:val="en-GB"/>
        </w:rPr>
        <w:sym w:font="Symbol" w:char="F061"/>
      </w:r>
      <w:r w:rsidRPr="0057123E">
        <w:rPr>
          <w:lang w:val="en-GB"/>
        </w:rPr>
        <w:t>]</w:t>
      </w:r>
      <w:r w:rsidRPr="0057123E">
        <w:rPr>
          <w:vertAlign w:val="subscript"/>
          <w:lang w:val="en-GB"/>
        </w:rPr>
        <w:t>D</w:t>
      </w:r>
      <w:r w:rsidRPr="0057123E">
        <w:rPr>
          <w:vertAlign w:val="superscript"/>
          <w:lang w:val="en-GB"/>
        </w:rPr>
        <w:t>20</w:t>
      </w:r>
      <w:r w:rsidRPr="0057123E">
        <w:rPr>
          <w:lang w:val="en-GB"/>
        </w:rPr>
        <w:t xml:space="preserve"> (</w:t>
      </w:r>
      <w:r w:rsidRPr="0057123E">
        <w:rPr>
          <w:i/>
          <w:lang w:val="en-GB"/>
        </w:rPr>
        <w:t>R</w:t>
      </w:r>
      <w:r w:rsidRPr="0057123E">
        <w:rPr>
          <w:lang w:val="en-GB"/>
        </w:rPr>
        <w:t>,</w:t>
      </w:r>
      <w:r w:rsidRPr="0057123E">
        <w:rPr>
          <w:i/>
          <w:lang w:val="en-GB"/>
        </w:rPr>
        <w:t>R</w:t>
      </w:r>
      <w:r w:rsidRPr="0057123E">
        <w:rPr>
          <w:lang w:val="en-GB"/>
        </w:rPr>
        <w:t>): –220.0 (</w:t>
      </w:r>
      <w:r w:rsidRPr="0057123E">
        <w:rPr>
          <w:i/>
          <w:lang w:val="en-GB"/>
        </w:rPr>
        <w:t>c</w:t>
      </w:r>
      <w:r w:rsidRPr="0057123E">
        <w:rPr>
          <w:lang w:val="en-GB"/>
        </w:rPr>
        <w:t xml:space="preserve"> 2.1, CHCl</w:t>
      </w:r>
      <w:r w:rsidRPr="0057123E">
        <w:rPr>
          <w:vertAlign w:val="subscript"/>
          <w:lang w:val="en-GB"/>
        </w:rPr>
        <w:t>3</w:t>
      </w:r>
      <w:r w:rsidRPr="0057123E">
        <w:rPr>
          <w:lang w:val="en-GB"/>
        </w:rPr>
        <w:t>); Lit. (</w:t>
      </w:r>
      <w:r w:rsidRPr="0057123E">
        <w:rPr>
          <w:i/>
          <w:lang w:val="en-GB"/>
        </w:rPr>
        <w:t>R</w:t>
      </w:r>
      <w:r w:rsidRPr="0057123E">
        <w:rPr>
          <w:lang w:val="en-GB"/>
        </w:rPr>
        <w:t>,</w:t>
      </w:r>
      <w:r w:rsidRPr="0057123E">
        <w:rPr>
          <w:i/>
          <w:lang w:val="en-GB"/>
        </w:rPr>
        <w:t>R</w:t>
      </w:r>
      <w:r w:rsidRPr="0057123E">
        <w:rPr>
          <w:lang w:val="en-GB"/>
        </w:rPr>
        <w:t>):</w:t>
      </w:r>
      <w:r w:rsidRPr="0057123E">
        <w:rPr>
          <w:vertAlign w:val="superscript"/>
          <w:lang w:val="en-GB"/>
        </w:rPr>
        <w:t>4</w:t>
      </w:r>
      <w:r w:rsidR="00B17C29">
        <w:rPr>
          <w:vertAlign w:val="superscript"/>
          <w:lang w:val="en-GB"/>
        </w:rPr>
        <w:t>a</w:t>
      </w:r>
      <w:r w:rsidRPr="0057123E">
        <w:rPr>
          <w:lang w:val="en-GB"/>
        </w:rPr>
        <w:t xml:space="preserve"> –220.7 (</w:t>
      </w:r>
      <w:r w:rsidRPr="0057123E">
        <w:rPr>
          <w:i/>
          <w:lang w:val="en-GB"/>
        </w:rPr>
        <w:t>c</w:t>
      </w:r>
      <w:r w:rsidRPr="0057123E">
        <w:rPr>
          <w:lang w:val="en-GB"/>
        </w:rPr>
        <w:t xml:space="preserve"> 2.1, CHCl</w:t>
      </w:r>
      <w:r w:rsidRPr="0057123E">
        <w:rPr>
          <w:vertAlign w:val="subscript"/>
          <w:lang w:val="en-GB"/>
        </w:rPr>
        <w:t>3</w:t>
      </w:r>
      <w:r w:rsidRPr="0057123E">
        <w:rPr>
          <w:lang w:val="en-GB"/>
        </w:rPr>
        <w:t>).</w:t>
      </w:r>
    </w:p>
    <w:p w:rsidR="00B17C29" w:rsidRDefault="00B17C29" w:rsidP="00B17C29">
      <w:pPr>
        <w:pStyle w:val="ElsParagraph"/>
        <w:ind w:firstLine="0"/>
        <w:rPr>
          <w:lang w:val="en-GB"/>
        </w:rPr>
      </w:pPr>
      <w:r>
        <w:rPr>
          <w:i/>
          <w:lang w:val="en-GB"/>
        </w:rPr>
        <w:t xml:space="preserve">4.2.2 </w:t>
      </w:r>
      <w:r w:rsidR="0057123E" w:rsidRPr="00B17C29">
        <w:rPr>
          <w:i/>
          <w:lang w:val="en-GB"/>
        </w:rPr>
        <w:t>1-((R)-(4-Methylphenyl)((R)-1-phenylethylamino)methyl)naphthalen-2-ol</w:t>
      </w:r>
      <w:r>
        <w:rPr>
          <w:b/>
          <w:lang w:val="en-GB"/>
        </w:rPr>
        <w:t xml:space="preserve"> </w:t>
      </w:r>
      <w:r w:rsidRPr="00B17C29">
        <w:rPr>
          <w:b/>
          <w:i/>
          <w:lang w:val="en-GB"/>
        </w:rPr>
        <w:t>(R,R)-3b</w:t>
      </w:r>
      <w:r w:rsidRPr="00B17C29">
        <w:rPr>
          <w:lang w:val="en-GB"/>
        </w:rPr>
        <w:t>.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="007B0385" w:rsidRPr="007B0385">
        <w:rPr>
          <w:highlight w:val="yellow"/>
          <w:lang w:val="en-GB"/>
        </w:rPr>
        <w:t>4.93 g, 32% (41.6 mmol reaction scale).</w:t>
      </w:r>
      <w:r w:rsidR="007B0385">
        <w:rPr>
          <w:lang w:val="en-GB"/>
        </w:rPr>
        <w:t xml:space="preserve"> </w:t>
      </w:r>
      <w:r w:rsidR="0057123E" w:rsidRPr="0057123E">
        <w:rPr>
          <w:lang w:val="en-GB"/>
        </w:rPr>
        <w:t xml:space="preserve">Colourless crystals: M.Pt.: 112-114 </w:t>
      </w:r>
      <w:r w:rsidR="0057123E" w:rsidRPr="0057123E">
        <w:rPr>
          <w:lang w:val="en-GB"/>
        </w:rPr>
        <w:sym w:font="Symbol" w:char="F0B0"/>
      </w:r>
      <w:r w:rsidR="00E1677A">
        <w:rPr>
          <w:lang w:val="en-GB"/>
        </w:rPr>
        <w:t>C (MeOH)</w:t>
      </w:r>
      <w:r w:rsidR="0057123E" w:rsidRPr="0057123E">
        <w:rPr>
          <w:lang w:val="en-GB"/>
        </w:rPr>
        <w:t>.</w:t>
      </w:r>
      <w:r>
        <w:rPr>
          <w:lang w:val="en-GB"/>
        </w:rPr>
        <w:t xml:space="preserve">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3319, 2742, 1621, 1517 cm</w:t>
      </w:r>
      <w:r w:rsidR="0057123E" w:rsidRPr="0057123E">
        <w:rPr>
          <w:vertAlign w:val="superscript"/>
          <w:lang w:val="en-GB"/>
        </w:rPr>
        <w:t>–1</w:t>
      </w:r>
      <w:r>
        <w:rPr>
          <w:lang w:val="en-GB"/>
        </w:rPr>
        <w:t xml:space="preserve">.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1.51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1.54 (br s, 1H), 2.25 (s, 3H), 3.90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5.44 (s, 1H), 7.03-</w:t>
      </w:r>
      <w:r>
        <w:rPr>
          <w:lang w:val="en-GB"/>
        </w:rPr>
        <w:t xml:space="preserve">7.55 (m, 15H), 13.68 (br s, 1H).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–184.9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3,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); Lit.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 w:rsidR="0057123E" w:rsidRPr="0057123E">
        <w:rPr>
          <w:lang w:val="en-GB"/>
        </w:rPr>
        <w:t xml:space="preserve"> –191.9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3.1,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).</w:t>
      </w:r>
    </w:p>
    <w:p w:rsidR="000A03F9" w:rsidRDefault="00B17C29" w:rsidP="000A03F9">
      <w:pPr>
        <w:pStyle w:val="ElsParagraph"/>
        <w:ind w:firstLine="0"/>
        <w:rPr>
          <w:lang w:val="en-GB"/>
        </w:rPr>
      </w:pPr>
      <w:r w:rsidRPr="000A03F9">
        <w:rPr>
          <w:i/>
          <w:lang w:val="en-GB"/>
        </w:rPr>
        <w:t>4.2.3</w:t>
      </w:r>
      <w:r w:rsidR="000A03F9">
        <w:rPr>
          <w:i/>
          <w:lang w:val="en-GB"/>
        </w:rPr>
        <w:t xml:space="preserve"> </w:t>
      </w:r>
      <w:r w:rsidR="0057123E" w:rsidRPr="00B17C29">
        <w:rPr>
          <w:i/>
          <w:lang w:val="en-GB"/>
        </w:rPr>
        <w:t>1-((R)-(4-Methoxyphenyl)((R)-1-phenylethylamino)methyl)naphthalen-2-ol</w:t>
      </w:r>
      <w:r w:rsidRPr="00B17C29">
        <w:rPr>
          <w:i/>
          <w:lang w:val="en-GB"/>
        </w:rPr>
        <w:t xml:space="preserve"> </w:t>
      </w:r>
      <w:r w:rsidRPr="00B17C29">
        <w:rPr>
          <w:b/>
          <w:i/>
          <w:lang w:val="en-GB"/>
        </w:rPr>
        <w:t>(R,R)-3c</w:t>
      </w:r>
      <w:r w:rsidRPr="00B17C29">
        <w:rPr>
          <w:i/>
          <w:lang w:val="en-GB"/>
        </w:rPr>
        <w:t>.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="007B0385">
        <w:rPr>
          <w:highlight w:val="yellow"/>
          <w:lang w:val="en-GB"/>
        </w:rPr>
        <w:t>3.04 g, 20</w:t>
      </w:r>
      <w:r w:rsidR="007B0385" w:rsidRPr="007B0385">
        <w:rPr>
          <w:highlight w:val="yellow"/>
          <w:lang w:val="en-GB"/>
        </w:rPr>
        <w:t>% (41.6 mmol reaction scale).</w:t>
      </w:r>
      <w:r w:rsidR="007B0385">
        <w:rPr>
          <w:lang w:val="en-GB"/>
        </w:rPr>
        <w:t xml:space="preserve"> </w:t>
      </w:r>
      <w:r w:rsidR="0057123E" w:rsidRPr="0057123E">
        <w:rPr>
          <w:lang w:val="en-GB"/>
        </w:rPr>
        <w:t xml:space="preserve">Colourless crystals: M.Pt. 104-106 </w:t>
      </w:r>
      <w:r w:rsidR="0057123E" w:rsidRPr="0057123E">
        <w:rPr>
          <w:lang w:val="en-GB"/>
        </w:rPr>
        <w:sym w:font="Symbol" w:char="F0B0"/>
      </w:r>
      <w:r w:rsidR="00E1677A">
        <w:rPr>
          <w:lang w:val="en-GB"/>
        </w:rPr>
        <w:t xml:space="preserve">C (MeOH).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3319, 2747, 1619, 1509 cm</w:t>
      </w:r>
      <w:r w:rsidR="0057123E" w:rsidRPr="0057123E">
        <w:rPr>
          <w:vertAlign w:val="superscript"/>
          <w:lang w:val="en-GB"/>
        </w:rPr>
        <w:t>–1</w:t>
      </w:r>
      <w:r w:rsidR="0057123E" w:rsidRPr="0057123E">
        <w:rPr>
          <w:lang w:val="en-GB"/>
        </w:rPr>
        <w:t>.</w:t>
      </w:r>
      <w:r w:rsidR="000A03F9"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1.51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2.27 (br s, 1H), 3.72 (s, 3H), 3.89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5.43 (s, 1H), 6.74-7.75 (m, 15H), 13.71 (br s, 1H).</w:t>
      </w:r>
      <w:r w:rsidR="000A03F9">
        <w:rPr>
          <w:lang w:val="en-GB"/>
        </w:rPr>
        <w:t xml:space="preserve">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–188.6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1.9,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); Lit.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</w:t>
      </w:r>
      <w:r w:rsidR="0057123E" w:rsidRPr="0057123E">
        <w:rPr>
          <w:vertAlign w:val="superscript"/>
          <w:lang w:val="en-GB"/>
        </w:rPr>
        <w:t>4</w:t>
      </w:r>
      <w:r w:rsidR="000A03F9">
        <w:rPr>
          <w:vertAlign w:val="superscript"/>
          <w:lang w:val="en-GB"/>
        </w:rPr>
        <w:t>a</w:t>
      </w:r>
      <w:r w:rsidR="0057123E" w:rsidRPr="0057123E">
        <w:rPr>
          <w:lang w:val="en-GB"/>
        </w:rPr>
        <w:t xml:space="preserve"> –190.4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1.9,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).</w:t>
      </w:r>
    </w:p>
    <w:p w:rsidR="000A03F9" w:rsidRDefault="000A03F9" w:rsidP="000A03F9">
      <w:pPr>
        <w:pStyle w:val="ElsParagraph"/>
        <w:ind w:firstLine="0"/>
        <w:rPr>
          <w:lang w:val="en-GB"/>
        </w:rPr>
      </w:pPr>
      <w:r w:rsidRPr="000A03F9">
        <w:rPr>
          <w:i/>
          <w:lang w:val="en-GB"/>
        </w:rPr>
        <w:t>4.2.4</w:t>
      </w:r>
      <w:r>
        <w:rPr>
          <w:lang w:val="en-GB"/>
        </w:rPr>
        <w:t xml:space="preserve"> </w:t>
      </w:r>
      <w:r w:rsidR="0057123E" w:rsidRPr="000A03F9">
        <w:rPr>
          <w:i/>
          <w:lang w:val="en-GB"/>
        </w:rPr>
        <w:t>1-((R)-(4-Chlorophenyl)((R)-1-phenyle</w:t>
      </w:r>
      <w:r>
        <w:rPr>
          <w:i/>
          <w:lang w:val="en-GB"/>
        </w:rPr>
        <w:t xml:space="preserve">thylamino)methyl)naphthalen-2-ol </w:t>
      </w:r>
      <w:r w:rsidRPr="000A03F9">
        <w:rPr>
          <w:b/>
          <w:i/>
          <w:lang w:val="en-GB"/>
        </w:rPr>
        <w:t>(R,R)-3d</w:t>
      </w:r>
      <w:r>
        <w:rPr>
          <w:i/>
          <w:lang w:val="en-GB"/>
        </w:rPr>
        <w:t>.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="007B0385">
        <w:rPr>
          <w:highlight w:val="yellow"/>
          <w:lang w:val="en-GB"/>
        </w:rPr>
        <w:t>10.11 g, 63</w:t>
      </w:r>
      <w:r w:rsidR="007B0385" w:rsidRPr="007B0385">
        <w:rPr>
          <w:highlight w:val="yellow"/>
          <w:lang w:val="en-GB"/>
        </w:rPr>
        <w:t>% (41.6 mmol reaction scale).</w:t>
      </w:r>
      <w:r w:rsidR="007B0385">
        <w:rPr>
          <w:lang w:val="en-GB"/>
        </w:rPr>
        <w:t xml:space="preserve"> </w:t>
      </w:r>
      <w:r w:rsidR="0057123E" w:rsidRPr="0057123E">
        <w:rPr>
          <w:lang w:val="en-GB"/>
        </w:rPr>
        <w:t xml:space="preserve">Colourless crystals: M.Pt. 122-124 </w:t>
      </w:r>
      <w:r w:rsidR="0057123E" w:rsidRPr="0057123E">
        <w:rPr>
          <w:lang w:val="en-GB"/>
        </w:rPr>
        <w:sym w:font="Symbol" w:char="F0B0"/>
      </w:r>
      <w:r w:rsidR="00E1677A">
        <w:rPr>
          <w:lang w:val="en-GB"/>
        </w:rPr>
        <w:t xml:space="preserve">C (MeOH).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3319, 2747, 1621, 1520 cm</w:t>
      </w:r>
      <w:r w:rsidR="0057123E" w:rsidRPr="0057123E">
        <w:rPr>
          <w:vertAlign w:val="superscript"/>
          <w:lang w:val="en-GB"/>
        </w:rPr>
        <w:t>–1</w:t>
      </w:r>
      <w:r w:rsidR="0057123E" w:rsidRPr="0057123E">
        <w:rPr>
          <w:lang w:val="en-GB"/>
        </w:rPr>
        <w:t>.</w:t>
      </w:r>
      <w:r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1.52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2.25 (br s, 1H), 3.90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5.44 (s, 1H), 7.11-7.77 (m, 15H), 13.50 (br s, 1H).</w:t>
      </w:r>
      <w:r>
        <w:rPr>
          <w:lang w:val="en-GB"/>
        </w:rPr>
        <w:t xml:space="preserve">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–193.5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3.5,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); Lit.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–192.0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3.5,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).</w:t>
      </w:r>
    </w:p>
    <w:p w:rsidR="000A03F9" w:rsidRDefault="000A03F9" w:rsidP="000A03F9">
      <w:pPr>
        <w:pStyle w:val="ElsParagraph"/>
        <w:ind w:firstLine="0"/>
        <w:rPr>
          <w:lang w:val="en-GB"/>
        </w:rPr>
      </w:pPr>
      <w:r w:rsidRPr="000A03F9">
        <w:rPr>
          <w:i/>
          <w:lang w:val="en-GB"/>
        </w:rPr>
        <w:t xml:space="preserve">4.2.5 </w:t>
      </w:r>
      <w:r w:rsidR="0057123E" w:rsidRPr="000A03F9">
        <w:rPr>
          <w:i/>
          <w:lang w:val="en-GB"/>
        </w:rPr>
        <w:t>1-((R)-Cyclohexyl((R</w:t>
      </w:r>
      <w:r w:rsidRPr="000A03F9">
        <w:rPr>
          <w:i/>
          <w:lang w:val="en-GB"/>
        </w:rPr>
        <w:t>)-1-</w:t>
      </w:r>
      <w:r w:rsidR="0057123E" w:rsidRPr="000A03F9">
        <w:rPr>
          <w:i/>
          <w:lang w:val="en-GB"/>
        </w:rPr>
        <w:t>phenylethylamino)methyl)naphthalen-2-ol</w:t>
      </w:r>
      <w:r w:rsidRPr="000A03F9">
        <w:rPr>
          <w:i/>
          <w:lang w:val="en-GB"/>
        </w:rPr>
        <w:t xml:space="preserve"> </w:t>
      </w:r>
      <w:r w:rsidRPr="000A03F9">
        <w:rPr>
          <w:b/>
          <w:i/>
          <w:lang w:val="en-GB"/>
        </w:rPr>
        <w:t>(R,R)-3e</w:t>
      </w:r>
      <w:r w:rsidRPr="000A03F9">
        <w:rPr>
          <w:lang w:val="en-GB"/>
        </w:rPr>
        <w:t>.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="004362D9">
        <w:rPr>
          <w:highlight w:val="yellow"/>
          <w:lang w:val="en-GB"/>
        </w:rPr>
        <w:t>8.84 g, 59</w:t>
      </w:r>
      <w:r w:rsidR="004362D9" w:rsidRPr="007B0385">
        <w:rPr>
          <w:highlight w:val="yellow"/>
          <w:lang w:val="en-GB"/>
        </w:rPr>
        <w:t>% (41.6 mmol reaction scale).</w:t>
      </w:r>
      <w:r w:rsidR="004362D9">
        <w:rPr>
          <w:lang w:val="en-GB"/>
        </w:rPr>
        <w:t xml:space="preserve"> </w:t>
      </w:r>
      <w:r w:rsidR="0057123E" w:rsidRPr="0057123E">
        <w:rPr>
          <w:lang w:val="en-GB"/>
        </w:rPr>
        <w:t xml:space="preserve">Colourless crystals: M.Pt. 145-147 </w:t>
      </w:r>
      <w:r w:rsidR="0057123E" w:rsidRPr="0057123E">
        <w:rPr>
          <w:lang w:val="en-GB"/>
        </w:rPr>
        <w:sym w:font="Symbol" w:char="F0B0"/>
      </w:r>
      <w:r w:rsidR="00E1677A">
        <w:rPr>
          <w:lang w:val="en-GB"/>
        </w:rPr>
        <w:t xml:space="preserve">C (MeOH).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3335, 2670, 1621, 1517 cm</w:t>
      </w:r>
      <w:r w:rsidR="0057123E" w:rsidRPr="0057123E">
        <w:rPr>
          <w:vertAlign w:val="superscript"/>
          <w:lang w:val="en-GB"/>
        </w:rPr>
        <w:t>–1</w:t>
      </w:r>
      <w:r>
        <w:rPr>
          <w:lang w:val="en-GB"/>
        </w:rPr>
        <w:t xml:space="preserve">.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0.90-1.30 (m, 6H), 1.47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1.53-1.90 (m, 5H), 2.32 (br s, 1H), 3.69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4.17 (d,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6.0), 7.06-7.76 (m, 11H), 13.04 (br s, 1H</w:t>
      </w:r>
      <w:r>
        <w:rPr>
          <w:lang w:val="en-GB"/>
        </w:rPr>
        <w:t xml:space="preserve">).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–5.5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2.1,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); Lit.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 w:rsidR="0057123E" w:rsidRPr="0057123E">
        <w:rPr>
          <w:lang w:val="en-GB"/>
        </w:rPr>
        <w:t xml:space="preserve"> –5.93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2.1,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).</w:t>
      </w:r>
    </w:p>
    <w:p w:rsidR="000F0EB1" w:rsidRDefault="000A03F9" w:rsidP="000F0EB1">
      <w:pPr>
        <w:pStyle w:val="ElsParagraph"/>
        <w:ind w:firstLine="0"/>
        <w:rPr>
          <w:lang w:val="en-GB"/>
        </w:rPr>
      </w:pPr>
      <w:r w:rsidRPr="000A03F9">
        <w:rPr>
          <w:i/>
          <w:lang w:val="en-GB"/>
        </w:rPr>
        <w:t xml:space="preserve">4.2.6 </w:t>
      </w:r>
      <w:r w:rsidR="0057123E" w:rsidRPr="000A03F9">
        <w:rPr>
          <w:i/>
          <w:lang w:val="en-GB"/>
        </w:rPr>
        <w:t>1-((R)-2-Methyl-1-((R)-1-phenylethylamino)propyl)naphthalen-2-ol</w:t>
      </w:r>
      <w:r w:rsidRPr="000A03F9">
        <w:rPr>
          <w:i/>
          <w:lang w:val="en-GB"/>
        </w:rPr>
        <w:t xml:space="preserve"> </w:t>
      </w:r>
      <w:r w:rsidRPr="000A03F9">
        <w:rPr>
          <w:b/>
          <w:i/>
          <w:lang w:val="en-GB"/>
        </w:rPr>
        <w:t>(R,R)-3f</w:t>
      </w:r>
      <w:r w:rsidRPr="000A03F9">
        <w:rPr>
          <w:lang w:val="en-GB"/>
        </w:rPr>
        <w:t>.</w:t>
      </w:r>
      <w:r w:rsidR="0057123E" w:rsidRPr="0057123E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="004362D9">
        <w:rPr>
          <w:highlight w:val="yellow"/>
          <w:lang w:val="en-GB"/>
        </w:rPr>
        <w:t>3.36 g, 27</w:t>
      </w:r>
      <w:r w:rsidR="004362D9" w:rsidRPr="007B0385">
        <w:rPr>
          <w:highlight w:val="yellow"/>
          <w:lang w:val="en-GB"/>
        </w:rPr>
        <w:t>% (41.6 mmol reaction scale).</w:t>
      </w:r>
      <w:r w:rsidR="004362D9">
        <w:rPr>
          <w:lang w:val="en-GB"/>
        </w:rPr>
        <w:t xml:space="preserve"> </w:t>
      </w:r>
      <w:r>
        <w:rPr>
          <w:lang w:val="en-GB"/>
        </w:rPr>
        <w:t xml:space="preserve">Colourless crystals: </w:t>
      </w:r>
      <w:r w:rsidR="0057123E" w:rsidRPr="0057123E">
        <w:rPr>
          <w:lang w:val="en-GB"/>
        </w:rPr>
        <w:t xml:space="preserve">M.Pt. 117-119 </w:t>
      </w:r>
      <w:r w:rsidR="0057123E" w:rsidRPr="0057123E">
        <w:rPr>
          <w:lang w:val="en-GB"/>
        </w:rPr>
        <w:sym w:font="Symbol" w:char="F0B0"/>
      </w:r>
      <w:r w:rsidR="00E1677A">
        <w:rPr>
          <w:lang w:val="en-GB"/>
        </w:rPr>
        <w:t>C (MeOH)</w:t>
      </w:r>
      <w:r w:rsidR="0057123E" w:rsidRPr="0057123E">
        <w:rPr>
          <w:lang w:val="en-GB"/>
        </w:rPr>
        <w:t>.</w:t>
      </w:r>
      <w:r>
        <w:rPr>
          <w:lang w:val="en-GB"/>
        </w:rPr>
        <w:t xml:space="preserve">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3335, 2747, 1621, 1517 cm</w:t>
      </w:r>
      <w:r w:rsidR="0057123E" w:rsidRPr="0057123E">
        <w:rPr>
          <w:vertAlign w:val="superscript"/>
          <w:lang w:val="en-GB"/>
        </w:rPr>
        <w:t>–1</w:t>
      </w:r>
      <w:r w:rsidR="0057123E" w:rsidRPr="0057123E">
        <w:rPr>
          <w:lang w:val="en-GB"/>
        </w:rPr>
        <w:t>.</w:t>
      </w:r>
      <w:r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0.75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0.98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1.49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6.5), 2.14-2.23 (m, 1H), 2.27 (br s, 1H), 3.70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4.16 (d,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6.5 Hz), 7.08-7.76 (m, 11H), 13.09 (br s, 1H).</w:t>
      </w:r>
      <w:r>
        <w:rPr>
          <w:lang w:val="en-GB"/>
        </w:rPr>
        <w:t xml:space="preserve">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–11.6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2,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); Lit.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</w:t>
      </w:r>
      <w:r w:rsidR="0057123E" w:rsidRPr="0057123E">
        <w:rPr>
          <w:vertAlign w:val="superscript"/>
          <w:lang w:val="en-GB"/>
        </w:rPr>
        <w:t>4</w:t>
      </w:r>
      <w:r w:rsidR="00E1677A">
        <w:rPr>
          <w:vertAlign w:val="superscript"/>
          <w:lang w:val="en-GB"/>
        </w:rPr>
        <w:t>a</w:t>
      </w:r>
      <w:r w:rsidR="0057123E" w:rsidRPr="0057123E">
        <w:rPr>
          <w:lang w:val="en-GB"/>
        </w:rPr>
        <w:t xml:space="preserve"> –10.95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2,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).</w:t>
      </w:r>
    </w:p>
    <w:p w:rsidR="008533CD" w:rsidRDefault="000F0EB1" w:rsidP="008533CD">
      <w:pPr>
        <w:pStyle w:val="ElsParagraph"/>
        <w:ind w:firstLine="0"/>
        <w:rPr>
          <w:lang w:val="en-GB"/>
        </w:rPr>
      </w:pPr>
      <w:r w:rsidRPr="000F0EB1">
        <w:rPr>
          <w:i/>
          <w:lang w:val="en-GB"/>
        </w:rPr>
        <w:t xml:space="preserve">4.2.7 </w:t>
      </w:r>
      <w:r w:rsidR="0057123E" w:rsidRPr="000F0EB1">
        <w:rPr>
          <w:i/>
          <w:lang w:val="en-GB"/>
        </w:rPr>
        <w:t>1-((R)-1-((R)-1-Phenylethylamino)hexyl)naphthalen-2-ol</w:t>
      </w:r>
      <w:r w:rsidRPr="000F0EB1">
        <w:rPr>
          <w:i/>
          <w:lang w:val="en-GB"/>
        </w:rPr>
        <w:t xml:space="preserve"> </w:t>
      </w:r>
      <w:r w:rsidRPr="000F0EB1">
        <w:rPr>
          <w:b/>
          <w:i/>
          <w:lang w:val="en-GB"/>
        </w:rPr>
        <w:t>(R,R)-3g</w:t>
      </w:r>
      <w:r w:rsidRPr="000F0EB1">
        <w:rPr>
          <w:lang w:val="en-GB"/>
        </w:rPr>
        <w:t>.</w:t>
      </w:r>
      <w:r>
        <w:rPr>
          <w:lang w:val="en-GB"/>
        </w:rPr>
        <w:t xml:space="preserve"> </w:t>
      </w:r>
      <w:r w:rsidR="003D217B" w:rsidRPr="00E008A0">
        <w:rPr>
          <w:highlight w:val="yellow"/>
          <w:lang w:val="en-GB"/>
        </w:rPr>
        <w:t xml:space="preserve">Following the typical procedure (4.2) on a 41.6 mmol scale, an oily diastereomeric mixture of </w:t>
      </w:r>
      <w:r w:rsidR="003D217B" w:rsidRPr="00E008A0">
        <w:rPr>
          <w:b/>
          <w:highlight w:val="yellow"/>
          <w:lang w:val="en-GB"/>
        </w:rPr>
        <w:t>3g</w:t>
      </w:r>
      <w:r w:rsidR="003D217B" w:rsidRPr="00E008A0">
        <w:rPr>
          <w:highlight w:val="yellow"/>
          <w:lang w:val="en-GB"/>
        </w:rPr>
        <w:t xml:space="preserve"> was obtained (75:25 d.r.; </w:t>
      </w:r>
      <w:r w:rsidR="003D217B" w:rsidRPr="00E008A0">
        <w:rPr>
          <w:i/>
          <w:highlight w:val="yellow"/>
          <w:lang w:val="en-GB"/>
        </w:rPr>
        <w:t>R</w:t>
      </w:r>
      <w:r w:rsidR="003D217B" w:rsidRPr="00E008A0">
        <w:rPr>
          <w:highlight w:val="yellow"/>
          <w:lang w:val="en-GB"/>
        </w:rPr>
        <w:t>,</w:t>
      </w:r>
      <w:r w:rsidR="003D217B" w:rsidRPr="00E008A0">
        <w:rPr>
          <w:i/>
          <w:highlight w:val="yellow"/>
          <w:lang w:val="en-GB"/>
        </w:rPr>
        <w:t>R</w:t>
      </w:r>
      <w:r w:rsidR="003D217B" w:rsidRPr="00E008A0">
        <w:rPr>
          <w:highlight w:val="yellow"/>
          <w:lang w:val="en-GB"/>
        </w:rPr>
        <w:t>:</w:t>
      </w:r>
      <w:r w:rsidR="003D217B" w:rsidRPr="00E008A0">
        <w:rPr>
          <w:i/>
          <w:highlight w:val="yellow"/>
          <w:lang w:val="en-GB"/>
        </w:rPr>
        <w:t>R</w:t>
      </w:r>
      <w:r w:rsidR="003D217B" w:rsidRPr="00E008A0">
        <w:rPr>
          <w:highlight w:val="yellow"/>
          <w:lang w:val="en-GB"/>
        </w:rPr>
        <w:t>,</w:t>
      </w:r>
      <w:r w:rsidR="003D217B" w:rsidRPr="00E008A0">
        <w:rPr>
          <w:i/>
          <w:highlight w:val="yellow"/>
          <w:lang w:val="en-GB"/>
        </w:rPr>
        <w:t>S</w:t>
      </w:r>
      <w:r w:rsidR="003D217B" w:rsidRPr="00E008A0">
        <w:rPr>
          <w:highlight w:val="yellow"/>
          <w:lang w:val="en-GB"/>
        </w:rPr>
        <w:t>; 5.24 g, 36%). This was salted with saturated hydrochloric acid in ethereal solution and recrystallized from MeOH/MTBE.  The hydrochloride salt (2.64 g) was neutralised with NaHCO</w:t>
      </w:r>
      <w:r w:rsidR="003D217B" w:rsidRPr="00E008A0">
        <w:rPr>
          <w:highlight w:val="yellow"/>
          <w:vertAlign w:val="subscript"/>
          <w:lang w:val="en-GB"/>
        </w:rPr>
        <w:t>3</w:t>
      </w:r>
      <w:r w:rsidR="003D217B" w:rsidRPr="00E008A0">
        <w:rPr>
          <w:highlight w:val="yellow"/>
          <w:lang w:val="en-GB"/>
        </w:rPr>
        <w:t xml:space="preserve"> resulting in the isolation of </w:t>
      </w:r>
      <w:r w:rsidR="003D217B" w:rsidRPr="00E008A0">
        <w:rPr>
          <w:b/>
          <w:highlight w:val="yellow"/>
          <w:lang w:val="en-GB"/>
        </w:rPr>
        <w:t>(</w:t>
      </w:r>
      <w:r w:rsidR="003D217B" w:rsidRPr="00E008A0">
        <w:rPr>
          <w:b/>
          <w:i/>
          <w:highlight w:val="yellow"/>
          <w:lang w:val="en-GB"/>
        </w:rPr>
        <w:t>R,R</w:t>
      </w:r>
      <w:r w:rsidR="003D217B" w:rsidRPr="00E008A0">
        <w:rPr>
          <w:b/>
          <w:highlight w:val="yellow"/>
          <w:lang w:val="en-GB"/>
        </w:rPr>
        <w:t>)-3g</w:t>
      </w:r>
      <w:r w:rsidR="00DD66EF" w:rsidRPr="00E008A0">
        <w:rPr>
          <w:highlight w:val="yellow"/>
          <w:lang w:val="en-GB"/>
        </w:rPr>
        <w:t xml:space="preserve"> (1.8 g, 12</w:t>
      </w:r>
      <w:r w:rsidR="003D217B" w:rsidRPr="00E008A0">
        <w:rPr>
          <w:highlight w:val="yellow"/>
          <w:lang w:val="en-GB"/>
        </w:rPr>
        <w:t>%).</w:t>
      </w:r>
      <w:r w:rsidR="003D217B">
        <w:rPr>
          <w:lang w:val="en-GB"/>
        </w:rPr>
        <w:t xml:space="preserve"> </w:t>
      </w:r>
      <w:r w:rsidR="0057123E" w:rsidRPr="003D217B">
        <w:rPr>
          <w:lang w:val="en-GB"/>
        </w:rPr>
        <w:t>Viscous</w:t>
      </w:r>
      <w:r w:rsidR="0057123E" w:rsidRPr="0057123E">
        <w:rPr>
          <w:lang w:val="en-GB"/>
        </w:rPr>
        <w:t xml:space="preserve"> oil.</w:t>
      </w:r>
      <w:r>
        <w:rPr>
          <w:lang w:val="en-GB"/>
        </w:rPr>
        <w:t xml:space="preserve">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3324, 2752, 1619, 1517 cm</w:t>
      </w:r>
      <w:r w:rsidR="0057123E" w:rsidRPr="0057123E">
        <w:rPr>
          <w:vertAlign w:val="superscript"/>
          <w:lang w:val="en-GB"/>
        </w:rPr>
        <w:t>–1</w:t>
      </w:r>
      <w:r w:rsidR="0057123E" w:rsidRPr="0057123E">
        <w:rPr>
          <w:lang w:val="en-GB"/>
        </w:rPr>
        <w:t>.</w:t>
      </w:r>
      <w:r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0.81 (t,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1.08-1.41 (m, 6H), 1.48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1.67-1.86 (m, 2H), 2.17 (br s, 1H), 3.74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4.38 (dd,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5.0 Hz, 8.5 Hz), 7.10-7.</w:t>
      </w:r>
      <w:r>
        <w:rPr>
          <w:lang w:val="en-GB"/>
        </w:rPr>
        <w:t xml:space="preserve">78 (m, 11H), 13.10 (br s, 1H). </w:t>
      </w:r>
      <w:r w:rsidR="0057123E" w:rsidRPr="0057123E">
        <w:rPr>
          <w:vertAlign w:val="superscript"/>
          <w:lang w:val="en-GB"/>
        </w:rPr>
        <w:t>13</w:t>
      </w:r>
      <w:r w:rsidR="0057123E" w:rsidRPr="0057123E">
        <w:rPr>
          <w:lang w:val="en-GB"/>
        </w:rPr>
        <w:t>C NMR (100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 δ:</w:t>
      </w:r>
      <w:r w:rsidR="0057123E" w:rsidRPr="0057123E">
        <w:rPr>
          <w:lang w:bidi="en-US"/>
        </w:rPr>
        <w:t xml:space="preserve"> 14.0, 22.5, 23.1, 25.7, 31.4, 34.9, 54.9, 55.5, 115.8, 119.8, 121.0, 122.2, 126.1, 126.6, 127.7, 128.7, 128.8, 128.9, 129.0, 132.7, 143.5, 156.5.</w:t>
      </w:r>
      <w:r>
        <w:rPr>
          <w:lang w:val="en-GB"/>
        </w:rPr>
        <w:t xml:space="preserve">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–5.9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2, CHCl</w:t>
      </w:r>
      <w:r w:rsidR="0057123E" w:rsidRPr="0057123E">
        <w:rPr>
          <w:vertAlign w:val="subscript"/>
          <w:lang w:val="en-GB"/>
        </w:rPr>
        <w:t>3</w:t>
      </w:r>
      <w:r>
        <w:rPr>
          <w:lang w:val="en-GB"/>
        </w:rPr>
        <w:t xml:space="preserve">). </w:t>
      </w:r>
      <w:r w:rsidR="0057123E" w:rsidRPr="0057123E">
        <w:rPr>
          <w:i/>
          <w:lang w:val="en-GB"/>
        </w:rPr>
        <w:t>m/z</w:t>
      </w:r>
      <w:r w:rsidR="0057123E" w:rsidRPr="0057123E">
        <w:rPr>
          <w:lang w:val="en-GB"/>
        </w:rPr>
        <w:t xml:space="preserve"> [M+H</w:t>
      </w:r>
      <w:r w:rsidR="0057123E" w:rsidRPr="0057123E">
        <w:rPr>
          <w:vertAlign w:val="superscript"/>
          <w:lang w:val="en-GB"/>
        </w:rPr>
        <w:t>+</w:t>
      </w:r>
      <w:r w:rsidR="0057123E" w:rsidRPr="0057123E">
        <w:rPr>
          <w:lang w:val="en-GB"/>
        </w:rPr>
        <w:t>] for C</w:t>
      </w:r>
      <w:r w:rsidR="0057123E" w:rsidRPr="0057123E">
        <w:rPr>
          <w:vertAlign w:val="subscript"/>
          <w:lang w:val="en-GB"/>
        </w:rPr>
        <w:t>24</w:t>
      </w:r>
      <w:r w:rsidR="0057123E" w:rsidRPr="0057123E">
        <w:rPr>
          <w:lang w:val="en-GB"/>
        </w:rPr>
        <w:t>H</w:t>
      </w:r>
      <w:r w:rsidR="0057123E" w:rsidRPr="0057123E">
        <w:rPr>
          <w:vertAlign w:val="subscript"/>
          <w:lang w:val="en-GB"/>
        </w:rPr>
        <w:t>30</w:t>
      </w:r>
      <w:r w:rsidR="0057123E" w:rsidRPr="0057123E">
        <w:rPr>
          <w:lang w:val="en-GB"/>
        </w:rPr>
        <w:t>NO requires 348.2322, found 348.2325.</w:t>
      </w:r>
    </w:p>
    <w:p w:rsidR="00DA73C2" w:rsidRPr="00DA73C2" w:rsidRDefault="00DA73C2" w:rsidP="00DA73C2">
      <w:pPr>
        <w:pStyle w:val="ElsParagraph"/>
        <w:rPr>
          <w:b/>
          <w:i/>
          <w:lang w:val="en-GB"/>
        </w:rPr>
      </w:pPr>
      <w:r w:rsidRPr="00DA73C2">
        <w:rPr>
          <w:i/>
          <w:lang w:val="en-GB"/>
        </w:rPr>
        <w:t>4.2.8 (R)-1-((1-Phenylethylamino)methyl)naphthalen-2-ol</w:t>
      </w:r>
      <w:r w:rsidRPr="00DA73C2">
        <w:rPr>
          <w:b/>
          <w:i/>
          <w:lang w:val="en-GB"/>
        </w:rPr>
        <w:t xml:space="preserve"> 3i</w:t>
      </w:r>
      <w:r w:rsidRPr="00DA73C2">
        <w:rPr>
          <w:lang w:val="en-GB"/>
        </w:rPr>
        <w:t>.</w:t>
      </w:r>
      <w:r>
        <w:rPr>
          <w:b/>
          <w:i/>
          <w:lang w:val="en-GB"/>
        </w:rPr>
        <w:t xml:space="preserve"> </w:t>
      </w:r>
      <w:r w:rsidR="00C67A46" w:rsidRPr="00C67A46">
        <w:rPr>
          <w:highlight w:val="yellow"/>
          <w:lang w:val="en-GB"/>
        </w:rPr>
        <w:t xml:space="preserve">2.08 g, 54% (13.87 mmol reaction scale, with a reaction temperature of 65 </w:t>
      </w:r>
      <w:r w:rsidR="00C67A46" w:rsidRPr="00C67A46">
        <w:rPr>
          <w:highlight w:val="yellow"/>
        </w:rPr>
        <w:sym w:font="Symbol" w:char="F0B0"/>
      </w:r>
      <w:r w:rsidR="00C67A46" w:rsidRPr="00C67A46">
        <w:rPr>
          <w:highlight w:val="yellow"/>
        </w:rPr>
        <w:t>C</w:t>
      </w:r>
      <w:r w:rsidR="00C67A46" w:rsidRPr="00C67A46">
        <w:rPr>
          <w:highlight w:val="yellow"/>
          <w:lang w:val="en-GB"/>
        </w:rPr>
        <w:t>).</w:t>
      </w:r>
      <w:r w:rsidR="00C67A46">
        <w:rPr>
          <w:lang w:val="en-GB"/>
        </w:rPr>
        <w:t xml:space="preserve"> </w:t>
      </w:r>
      <w:r w:rsidRPr="0057123E">
        <w:rPr>
          <w:lang w:val="en-GB"/>
        </w:rPr>
        <w:t xml:space="preserve">Colourless crystals. M.Pt. 67-69 </w:t>
      </w:r>
      <w:r w:rsidRPr="0057123E">
        <w:rPr>
          <w:lang w:val="en-GB"/>
        </w:rPr>
        <w:sym w:font="Symbol" w:char="F0B0"/>
      </w:r>
      <w:r w:rsidRPr="0057123E">
        <w:rPr>
          <w:lang w:val="en-GB"/>
        </w:rPr>
        <w:t>C (EtOAc/Hexane).</w:t>
      </w:r>
      <w:r>
        <w:rPr>
          <w:b/>
          <w:i/>
          <w:lang w:val="en-GB"/>
        </w:rPr>
        <w:t xml:space="preserve"> </w:t>
      </w:r>
      <w:r w:rsidRPr="0057123E">
        <w:rPr>
          <w:lang w:val="en-GB"/>
        </w:rPr>
        <w:sym w:font="Symbol" w:char="F06E"/>
      </w:r>
      <w:r w:rsidRPr="0057123E">
        <w:rPr>
          <w:vertAlign w:val="subscript"/>
          <w:lang w:val="en-GB"/>
        </w:rPr>
        <w:t>max</w:t>
      </w:r>
      <w:r w:rsidRPr="0057123E">
        <w:rPr>
          <w:lang w:val="en-GB"/>
        </w:rPr>
        <w:t xml:space="preserve"> (CH</w:t>
      </w:r>
      <w:r w:rsidRPr="0057123E">
        <w:rPr>
          <w:vertAlign w:val="subscript"/>
          <w:lang w:val="en-GB"/>
        </w:rPr>
        <w:t>2</w:t>
      </w:r>
      <w:r w:rsidRPr="0057123E">
        <w:rPr>
          <w:lang w:val="en-GB"/>
        </w:rPr>
        <w:t>Cl</w:t>
      </w:r>
      <w:r w:rsidRPr="0057123E">
        <w:rPr>
          <w:vertAlign w:val="subscript"/>
          <w:lang w:val="en-GB"/>
        </w:rPr>
        <w:t>2</w:t>
      </w:r>
      <w:r w:rsidRPr="0057123E">
        <w:rPr>
          <w:lang w:val="en-GB"/>
        </w:rPr>
        <w:t>): 3302, 2802, 1619, 1520 cm</w:t>
      </w:r>
      <w:r w:rsidRPr="0057123E">
        <w:rPr>
          <w:vertAlign w:val="superscript"/>
          <w:lang w:val="en-GB"/>
        </w:rPr>
        <w:t>–1</w:t>
      </w:r>
      <w:r w:rsidRPr="0057123E">
        <w:rPr>
          <w:lang w:val="en-GB"/>
        </w:rPr>
        <w:t>.</w:t>
      </w:r>
      <w:r>
        <w:rPr>
          <w:b/>
          <w:lang w:val="en-GB"/>
        </w:rPr>
        <w:t xml:space="preserve"> </w:t>
      </w:r>
      <w:r w:rsidRPr="0057123E">
        <w:rPr>
          <w:vertAlign w:val="superscript"/>
          <w:lang w:val="en-GB"/>
        </w:rPr>
        <w:t>1</w:t>
      </w:r>
      <w:r w:rsidRPr="0057123E">
        <w:rPr>
          <w:lang w:val="en-GB"/>
        </w:rPr>
        <w:t>H NMR (400 MHz, CDCl</w:t>
      </w:r>
      <w:r w:rsidRPr="0057123E">
        <w:rPr>
          <w:vertAlign w:val="subscript"/>
          <w:lang w:val="en-GB"/>
        </w:rPr>
        <w:t>3</w:t>
      </w:r>
      <w:r w:rsidRPr="0057123E">
        <w:rPr>
          <w:lang w:val="en-GB"/>
        </w:rPr>
        <w:t>) δ: 1</w:t>
      </w:r>
      <w:r w:rsidRPr="0057123E">
        <w:rPr>
          <w:lang w:bidi="en-US"/>
        </w:rPr>
        <w:t xml:space="preserve">.53 (d, 3H, </w:t>
      </w:r>
      <w:r w:rsidRPr="0057123E">
        <w:rPr>
          <w:i/>
          <w:lang w:bidi="en-US"/>
        </w:rPr>
        <w:t>J</w:t>
      </w:r>
      <w:r w:rsidRPr="0057123E">
        <w:rPr>
          <w:lang w:bidi="en-US"/>
        </w:rPr>
        <w:t xml:space="preserve"> = 6.5 Hz), 3.92 (q, 1H, </w:t>
      </w:r>
      <w:r w:rsidRPr="0057123E">
        <w:rPr>
          <w:i/>
          <w:lang w:bidi="en-US"/>
        </w:rPr>
        <w:t>J</w:t>
      </w:r>
      <w:r w:rsidRPr="0057123E">
        <w:rPr>
          <w:lang w:bidi="en-US"/>
        </w:rPr>
        <w:t xml:space="preserve"> = 6.5 Hz), 4.24 (d, 1H, </w:t>
      </w:r>
      <w:r w:rsidRPr="0057123E">
        <w:rPr>
          <w:i/>
          <w:lang w:bidi="en-US"/>
        </w:rPr>
        <w:t>J</w:t>
      </w:r>
      <w:r w:rsidRPr="0057123E">
        <w:rPr>
          <w:lang w:bidi="en-US"/>
        </w:rPr>
        <w:t xml:space="preserve"> = 14.5 Hz), 4.34 (d, 1H, </w:t>
      </w:r>
      <w:r w:rsidRPr="0057123E">
        <w:rPr>
          <w:i/>
          <w:lang w:bidi="en-US"/>
        </w:rPr>
        <w:t>J</w:t>
      </w:r>
      <w:r w:rsidRPr="0057123E">
        <w:rPr>
          <w:lang w:bidi="en-US"/>
        </w:rPr>
        <w:t xml:space="preserve"> = 14.5 Hz), 7.12-7.76 (m, 11H).</w:t>
      </w:r>
      <w:r>
        <w:rPr>
          <w:b/>
          <w:lang w:val="en-GB"/>
        </w:rPr>
        <w:t xml:space="preserve"> </w:t>
      </w:r>
      <w:r w:rsidRPr="0057123E">
        <w:rPr>
          <w:vertAlign w:val="superscript"/>
          <w:lang w:val="en-GB"/>
        </w:rPr>
        <w:t>13</w:t>
      </w:r>
      <w:r w:rsidRPr="0057123E">
        <w:rPr>
          <w:lang w:val="en-GB"/>
        </w:rPr>
        <w:t>C NMR (100 MHz, CDCl</w:t>
      </w:r>
      <w:r w:rsidRPr="0057123E">
        <w:rPr>
          <w:vertAlign w:val="subscript"/>
          <w:lang w:val="en-GB"/>
        </w:rPr>
        <w:t>3</w:t>
      </w:r>
      <w:r w:rsidRPr="0057123E">
        <w:rPr>
          <w:lang w:val="en-GB"/>
        </w:rPr>
        <w:t>) δ:</w:t>
      </w:r>
      <w:r w:rsidRPr="0057123E">
        <w:rPr>
          <w:lang w:bidi="en-US"/>
        </w:rPr>
        <w:t xml:space="preserve"> 23.4, 45.2, 57.7, 112.5, 119.6, 121.2, 121.3, 122.6, 126.4, 126.8, 127.9, 128.7, 129.0, 129.3, 132.5, 143.4, 157.1.</w:t>
      </w:r>
      <w:r>
        <w:rPr>
          <w:b/>
          <w:i/>
          <w:lang w:val="en-GB"/>
        </w:rPr>
        <w:t xml:space="preserve"> </w:t>
      </w:r>
      <w:r w:rsidRPr="0057123E">
        <w:rPr>
          <w:lang w:val="en-GB"/>
        </w:rPr>
        <w:t>[</w:t>
      </w:r>
      <w:r w:rsidRPr="0057123E">
        <w:rPr>
          <w:lang w:val="en-GB"/>
        </w:rPr>
        <w:sym w:font="Symbol" w:char="F061"/>
      </w:r>
      <w:r w:rsidRPr="0057123E">
        <w:rPr>
          <w:lang w:val="en-GB"/>
        </w:rPr>
        <w:t>]</w:t>
      </w:r>
      <w:r w:rsidRPr="0057123E">
        <w:rPr>
          <w:vertAlign w:val="subscript"/>
          <w:lang w:val="en-GB"/>
        </w:rPr>
        <w:t>D</w:t>
      </w:r>
      <w:r w:rsidRPr="0057123E">
        <w:rPr>
          <w:vertAlign w:val="superscript"/>
          <w:lang w:val="en-GB"/>
        </w:rPr>
        <w:t>20</w:t>
      </w:r>
      <w:r w:rsidRPr="0057123E">
        <w:rPr>
          <w:lang w:val="en-GB"/>
        </w:rPr>
        <w:t xml:space="preserve"> (</w:t>
      </w:r>
      <w:r w:rsidRPr="0057123E">
        <w:rPr>
          <w:i/>
          <w:lang w:val="en-GB"/>
        </w:rPr>
        <w:t>R</w:t>
      </w:r>
      <w:r w:rsidRPr="0057123E">
        <w:rPr>
          <w:lang w:val="en-GB"/>
        </w:rPr>
        <w:t>,</w:t>
      </w:r>
      <w:r w:rsidRPr="0057123E">
        <w:rPr>
          <w:i/>
          <w:lang w:val="en-GB"/>
        </w:rPr>
        <w:t>R</w:t>
      </w:r>
      <w:r w:rsidRPr="0057123E">
        <w:rPr>
          <w:lang w:val="en-GB"/>
        </w:rPr>
        <w:t>): 43.6 (</w:t>
      </w:r>
      <w:r w:rsidRPr="0057123E">
        <w:rPr>
          <w:i/>
          <w:lang w:val="en-GB"/>
        </w:rPr>
        <w:t>c</w:t>
      </w:r>
      <w:r w:rsidRPr="0057123E">
        <w:rPr>
          <w:lang w:val="en-GB"/>
        </w:rPr>
        <w:t xml:space="preserve"> 3.5, CHCl</w:t>
      </w:r>
      <w:r w:rsidRPr="0057123E">
        <w:rPr>
          <w:vertAlign w:val="subscript"/>
          <w:lang w:val="en-GB"/>
        </w:rPr>
        <w:t>3</w:t>
      </w:r>
      <w:r w:rsidRPr="0057123E">
        <w:rPr>
          <w:lang w:val="en-GB"/>
        </w:rPr>
        <w:t>).</w:t>
      </w:r>
      <w:r>
        <w:rPr>
          <w:b/>
          <w:lang w:val="en-GB"/>
        </w:rPr>
        <w:t xml:space="preserve"> </w:t>
      </w:r>
      <w:r w:rsidRPr="0057123E">
        <w:rPr>
          <w:i/>
          <w:lang w:val="en-GB"/>
        </w:rPr>
        <w:t>m/z</w:t>
      </w:r>
      <w:r w:rsidRPr="0057123E">
        <w:rPr>
          <w:lang w:val="en-GB"/>
        </w:rPr>
        <w:t xml:space="preserve"> [M+H</w:t>
      </w:r>
      <w:r w:rsidRPr="0057123E">
        <w:rPr>
          <w:vertAlign w:val="superscript"/>
          <w:lang w:val="en-GB"/>
        </w:rPr>
        <w:t>+</w:t>
      </w:r>
      <w:r w:rsidRPr="0057123E">
        <w:rPr>
          <w:lang w:val="en-GB"/>
        </w:rPr>
        <w:t>] for C</w:t>
      </w:r>
      <w:r w:rsidRPr="0057123E">
        <w:rPr>
          <w:vertAlign w:val="subscript"/>
          <w:lang w:val="en-GB"/>
        </w:rPr>
        <w:t>19</w:t>
      </w:r>
      <w:r w:rsidRPr="0057123E">
        <w:rPr>
          <w:lang w:val="en-GB"/>
        </w:rPr>
        <w:t>H</w:t>
      </w:r>
      <w:r w:rsidRPr="0057123E">
        <w:rPr>
          <w:vertAlign w:val="subscript"/>
          <w:lang w:val="en-GB"/>
        </w:rPr>
        <w:t>20</w:t>
      </w:r>
      <w:r w:rsidRPr="0057123E">
        <w:rPr>
          <w:lang w:val="en-GB"/>
        </w:rPr>
        <w:t>NO requires 278.1539, found 278.1539.</w:t>
      </w:r>
    </w:p>
    <w:p w:rsidR="008533CD" w:rsidRDefault="008533CD" w:rsidP="008533CD">
      <w:pPr>
        <w:pStyle w:val="ElsHeading1"/>
        <w:numPr>
          <w:ilvl w:val="0"/>
          <w:numId w:val="0"/>
        </w:numPr>
      </w:pPr>
      <w:r>
        <w:t>4.3</w:t>
      </w:r>
      <w:r w:rsidRPr="00CB5979">
        <w:t xml:space="preserve">. </w:t>
      </w:r>
      <w:r w:rsidRPr="008533CD">
        <w:rPr>
          <w:lang w:val="en-GB"/>
        </w:rPr>
        <w:t>1-((</w:t>
      </w:r>
      <w:r w:rsidRPr="008533CD">
        <w:rPr>
          <w:i/>
          <w:lang w:val="en-GB"/>
        </w:rPr>
        <w:t>S</w:t>
      </w:r>
      <w:r w:rsidRPr="008533CD">
        <w:rPr>
          <w:lang w:val="en-GB"/>
        </w:rPr>
        <w:t>)-2,2,2-Trifluoro-1-((</w:t>
      </w:r>
      <w:r w:rsidRPr="008533CD">
        <w:rPr>
          <w:i/>
          <w:lang w:val="en-GB"/>
        </w:rPr>
        <w:t>R</w:t>
      </w:r>
      <w:r w:rsidRPr="008533CD">
        <w:rPr>
          <w:lang w:val="en-GB"/>
        </w:rPr>
        <w:t>)-1-phenylethylamino)ethyl)naphthalen-2-ol (</w:t>
      </w:r>
      <w:r w:rsidRPr="008533CD">
        <w:rPr>
          <w:i/>
          <w:lang w:val="en-GB"/>
        </w:rPr>
        <w:t>S,R</w:t>
      </w:r>
      <w:r w:rsidRPr="008533CD">
        <w:rPr>
          <w:lang w:val="en-GB"/>
        </w:rPr>
        <w:t>)-3h</w:t>
      </w:r>
      <w:r w:rsidRPr="00F228CA">
        <w:t>.</w:t>
      </w:r>
    </w:p>
    <w:p w:rsidR="0057123E" w:rsidRDefault="008533CD" w:rsidP="0042608F">
      <w:pPr>
        <w:pStyle w:val="ElsParagraph"/>
        <w:ind w:firstLine="0"/>
        <w:rPr>
          <w:lang w:val="en-GB"/>
        </w:rPr>
      </w:pPr>
      <w:r w:rsidRPr="00742A52">
        <w:t>Prepared following the procedure of Gong:</w:t>
      </w:r>
      <w:r w:rsidRPr="00742A52">
        <w:rPr>
          <w:vertAlign w:val="superscript"/>
        </w:rPr>
        <w:t>4c</w:t>
      </w:r>
      <w:r w:rsidRPr="00742A52">
        <w:t xml:space="preserve"> Trifluoroacetaldehyde ethylhemiacetal (6.00 g, 41.64 mmol, 1.2 equiv</w:t>
      </w:r>
      <w:r>
        <w:t>.</w:t>
      </w:r>
      <w:r w:rsidRPr="00742A52">
        <w:t>) was added to a solution of (</w:t>
      </w:r>
      <w:r w:rsidRPr="00742A52">
        <w:rPr>
          <w:i/>
        </w:rPr>
        <w:t>R</w:t>
      </w:r>
      <w:r w:rsidRPr="00742A52">
        <w:t>)-1-phenylethylamine (4.20 g, 34.7 mmol, 1.0 equiv</w:t>
      </w:r>
      <w:r>
        <w:t>.</w:t>
      </w:r>
      <w:r w:rsidRPr="00742A52">
        <w:t>) in dry PhMe (40 mL). The mixture was stirred at room temperature for 15 min and then stirred at reflux for 2 h. After cooling, the solvent was evaporated under reduced pressure to afford a residue. A portion of the residue (3.49 g, 17.34 mmol) was dissolved in dry CH</w:t>
      </w:r>
      <w:r w:rsidRPr="00742A52">
        <w:rPr>
          <w:vertAlign w:val="subscript"/>
        </w:rPr>
        <w:t>2</w:t>
      </w:r>
      <w:r w:rsidRPr="00742A52">
        <w:t>Cl</w:t>
      </w:r>
      <w:r w:rsidRPr="00742A52">
        <w:rPr>
          <w:vertAlign w:val="subscript"/>
        </w:rPr>
        <w:t>2</w:t>
      </w:r>
      <w:r w:rsidRPr="00742A52">
        <w:t xml:space="preserve"> (50 mL) and 2-naphthol (2.50 g, 17.34 mmol, 1.0 eq</w:t>
      </w:r>
      <w:r>
        <w:t>uiv.</w:t>
      </w:r>
      <w:r w:rsidRPr="00742A52">
        <w:t>) was added. The mixture was cooled to 0 °C and BF</w:t>
      </w:r>
      <w:r w:rsidRPr="00742A52">
        <w:rPr>
          <w:vertAlign w:val="subscript"/>
        </w:rPr>
        <w:t>3</w:t>
      </w:r>
      <w:r w:rsidRPr="00742A52">
        <w:t>.Et</w:t>
      </w:r>
      <w:r w:rsidRPr="00742A52">
        <w:rPr>
          <w:vertAlign w:val="subscript"/>
        </w:rPr>
        <w:t>2</w:t>
      </w:r>
      <w:r w:rsidRPr="00742A52">
        <w:t>O (2.46 g, 17.34 mmol, 1.0 eq</w:t>
      </w:r>
      <w:r>
        <w:t>uiv.</w:t>
      </w:r>
      <w:r w:rsidRPr="00742A52">
        <w:t>) was added. The reaction mixture was then stirred overnight at room temperature before addition of H</w:t>
      </w:r>
      <w:r w:rsidRPr="00742A52">
        <w:rPr>
          <w:vertAlign w:val="subscript"/>
        </w:rPr>
        <w:t>2</w:t>
      </w:r>
      <w:r w:rsidRPr="00742A52">
        <w:t>O (40 mL). The mixture was then neutralized with sat. aq. NaHCO</w:t>
      </w:r>
      <w:r w:rsidRPr="00742A52">
        <w:rPr>
          <w:vertAlign w:val="subscript"/>
        </w:rPr>
        <w:t>3</w:t>
      </w:r>
      <w:r w:rsidRPr="00742A52">
        <w:t xml:space="preserve"> solution. The organic layer was separated and the aqueous layer was extracted with EtOAc (2x30 mL). The combined organic extracts were dried (MgSO</w:t>
      </w:r>
      <w:r w:rsidRPr="00742A52">
        <w:rPr>
          <w:vertAlign w:val="subscript"/>
        </w:rPr>
        <w:t>4</w:t>
      </w:r>
      <w:r w:rsidRPr="00742A52">
        <w:t xml:space="preserve">), filtered, and concentrated </w:t>
      </w:r>
      <w:r w:rsidRPr="00742A52">
        <w:rPr>
          <w:i/>
        </w:rPr>
        <w:t>in vacuo</w:t>
      </w:r>
      <w:r w:rsidRPr="00742A52">
        <w:t xml:space="preserve"> to a residue that was purified by flash column chromatography eluting with EtOAc:Hexane (1:10-1:5) to provide the product as a mixture of diastereomers (2.64 g, 44%, 74:26 d.r. (</w:t>
      </w:r>
      <w:r w:rsidRPr="00742A52">
        <w:rPr>
          <w:i/>
        </w:rPr>
        <w:t>S</w:t>
      </w:r>
      <w:r w:rsidRPr="00742A52">
        <w:t>,</w:t>
      </w:r>
      <w:r w:rsidRPr="00742A52">
        <w:rPr>
          <w:i/>
        </w:rPr>
        <w:t>R</w:t>
      </w:r>
      <w:r w:rsidRPr="00742A52">
        <w:t>:</w:t>
      </w:r>
      <w:r w:rsidRPr="00742A52">
        <w:rPr>
          <w:i/>
        </w:rPr>
        <w:t>R</w:t>
      </w:r>
      <w:r w:rsidRPr="00742A52">
        <w:t>,</w:t>
      </w:r>
      <w:r w:rsidRPr="00742A52">
        <w:rPr>
          <w:i/>
        </w:rPr>
        <w:t>R</w:t>
      </w:r>
      <w:r w:rsidRPr="00742A52">
        <w:t>)). Crystallisation from MeOH yielded white crystals of 95% purity for (</w:t>
      </w:r>
      <w:r w:rsidRPr="00742A52">
        <w:rPr>
          <w:i/>
        </w:rPr>
        <w:t>S</w:t>
      </w:r>
      <w:r w:rsidRPr="00742A52">
        <w:t>,</w:t>
      </w:r>
      <w:r w:rsidRPr="00742A52">
        <w:rPr>
          <w:i/>
        </w:rPr>
        <w:t>R</w:t>
      </w:r>
      <w:r w:rsidRPr="00742A52">
        <w:t>)-</w:t>
      </w:r>
      <w:r w:rsidRPr="00742A52">
        <w:rPr>
          <w:b/>
        </w:rPr>
        <w:t>3h</w:t>
      </w:r>
      <w:r w:rsidRPr="00742A52">
        <w:t xml:space="preserve"> as determined by </w:t>
      </w:r>
      <w:r w:rsidRPr="00742A52">
        <w:rPr>
          <w:vertAlign w:val="superscript"/>
        </w:rPr>
        <w:t>1</w:t>
      </w:r>
      <w:r w:rsidRPr="00742A52">
        <w:t>H NMR (1.18 g, 20% yield). Further fractional recrystallisation from MeOH enriched the mixture to 97% purity (1.07 g, 18% yield).</w:t>
      </w:r>
      <w:r>
        <w:rPr>
          <w:i/>
          <w:lang w:val="en-GB"/>
        </w:rPr>
        <w:t xml:space="preserve"> </w:t>
      </w:r>
      <w:r w:rsidR="0057123E" w:rsidRPr="0057123E">
        <w:rPr>
          <w:lang w:val="en-GB"/>
        </w:rPr>
        <w:t xml:space="preserve">Colourless crystals: M.Pt. 114-116 </w:t>
      </w:r>
      <w:r w:rsidR="0057123E" w:rsidRPr="0057123E">
        <w:rPr>
          <w:lang w:val="en-GB"/>
        </w:rPr>
        <w:sym w:font="Symbol" w:char="F0B0"/>
      </w:r>
      <w:r w:rsidR="00E1677A">
        <w:rPr>
          <w:lang w:val="en-GB"/>
        </w:rPr>
        <w:t>C (MeOH)</w:t>
      </w:r>
      <w:r w:rsidR="0057123E" w:rsidRPr="0057123E">
        <w:rPr>
          <w:lang w:val="en-GB"/>
        </w:rPr>
        <w:t>.</w:t>
      </w:r>
      <w:r>
        <w:rPr>
          <w:i/>
          <w:lang w:val="en-GB"/>
        </w:rPr>
        <w:t xml:space="preserve">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3324, 2929, 1621, 1523, 1185 cm</w:t>
      </w:r>
      <w:r w:rsidR="0057123E" w:rsidRPr="0057123E">
        <w:rPr>
          <w:vertAlign w:val="superscript"/>
          <w:lang w:val="en-GB"/>
        </w:rPr>
        <w:t>–1</w:t>
      </w:r>
      <w:r w:rsidR="0057123E" w:rsidRPr="0057123E">
        <w:rPr>
          <w:lang w:val="en-GB"/>
        </w:rPr>
        <w:t>.</w:t>
      </w:r>
      <w:r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1.56 (d, 3H,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2.49 (br s, 1H), 3.76 (q, 1H, </w:t>
      </w:r>
      <w:r w:rsidR="0057123E" w:rsidRPr="0057123E">
        <w:rPr>
          <w:i/>
          <w:lang w:val="en-GB"/>
        </w:rPr>
        <w:t>J</w:t>
      </w:r>
      <w:r w:rsidR="0057123E" w:rsidRPr="0057123E">
        <w:rPr>
          <w:lang w:val="en-GB"/>
        </w:rPr>
        <w:t xml:space="preserve"> = 7.0 Hz), 4.88 (q, 1H, </w:t>
      </w:r>
      <w:r w:rsidR="00A269B4">
        <w:rPr>
          <w:vertAlign w:val="superscript"/>
          <w:lang w:val="en-GB"/>
        </w:rPr>
        <w:t>3</w:t>
      </w:r>
      <w:r w:rsidR="0057123E" w:rsidRPr="0057123E">
        <w:rPr>
          <w:i/>
          <w:lang w:val="en-GB"/>
        </w:rPr>
        <w:t>J</w:t>
      </w:r>
      <w:r w:rsidR="00A269B4">
        <w:rPr>
          <w:vertAlign w:val="subscript"/>
          <w:lang w:val="en-GB"/>
        </w:rPr>
        <w:t>H-F</w:t>
      </w:r>
      <w:r w:rsidR="0057123E" w:rsidRPr="0057123E">
        <w:rPr>
          <w:lang w:val="en-GB"/>
        </w:rPr>
        <w:t xml:space="preserve"> = 7.5 Hz), 7.01-7.83 (m, 11H), 11.89 (br s, 1H).</w:t>
      </w:r>
      <w:r>
        <w:rPr>
          <w:i/>
          <w:lang w:val="en-GB"/>
        </w:rPr>
        <w:t xml:space="preserve">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S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 –5.6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1,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); Lit. (</w:t>
      </w:r>
      <w:r w:rsidR="0057123E" w:rsidRPr="0057123E">
        <w:rPr>
          <w:i/>
          <w:lang w:val="en-GB"/>
        </w:rPr>
        <w:t>S</w:t>
      </w:r>
      <w:r w:rsidR="0057123E" w:rsidRPr="0057123E">
        <w:rPr>
          <w:lang w:val="en-GB"/>
        </w:rPr>
        <w:t>,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):</w:t>
      </w:r>
      <w:r>
        <w:rPr>
          <w:vertAlign w:val="superscript"/>
          <w:lang w:val="en-GB"/>
        </w:rPr>
        <w:t>4c</w:t>
      </w:r>
      <w:r w:rsidR="0057123E" w:rsidRPr="0057123E">
        <w:rPr>
          <w:lang w:val="en-GB"/>
        </w:rPr>
        <w:t xml:space="preserve"> –2.3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1, CHCl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).</w:t>
      </w:r>
    </w:p>
    <w:p w:rsidR="00120C83" w:rsidRDefault="00120C83" w:rsidP="00F228CA">
      <w:pPr>
        <w:pStyle w:val="ElsParagraph"/>
        <w:ind w:firstLine="0"/>
        <w:rPr>
          <w:b/>
          <w:lang w:val="en-GB"/>
        </w:rPr>
      </w:pPr>
    </w:p>
    <w:p w:rsidR="00F228CA" w:rsidRPr="0057123E" w:rsidRDefault="00F228CA" w:rsidP="00F228CA">
      <w:pPr>
        <w:pStyle w:val="ElsParagraph"/>
        <w:ind w:firstLine="0"/>
        <w:rPr>
          <w:b/>
          <w:lang w:val="en-GB"/>
        </w:rPr>
      </w:pPr>
      <w:r>
        <w:rPr>
          <w:b/>
          <w:lang w:val="en-GB"/>
        </w:rPr>
        <w:t xml:space="preserve">4.4 </w:t>
      </w:r>
      <w:r w:rsidRPr="0057123E">
        <w:rPr>
          <w:b/>
          <w:lang w:val="en-GB"/>
        </w:rPr>
        <w:t xml:space="preserve">Preparation of </w:t>
      </w:r>
      <w:r>
        <w:rPr>
          <w:b/>
          <w:lang w:val="en-GB"/>
        </w:rPr>
        <w:t>(±)-1-(</w:t>
      </w:r>
      <w:r w:rsidR="00120C83" w:rsidRPr="00120C83">
        <w:rPr>
          <w:rFonts w:ascii="Symbol" w:hAnsi="Symbol"/>
          <w:b/>
          <w:lang w:val="en-GB"/>
        </w:rPr>
        <w:t></w:t>
      </w:r>
      <w:r w:rsidR="00120C83">
        <w:rPr>
          <w:b/>
          <w:lang w:val="en-GB"/>
        </w:rPr>
        <w:t>-</w:t>
      </w:r>
      <w:r>
        <w:rPr>
          <w:b/>
          <w:lang w:val="en-GB"/>
        </w:rPr>
        <w:t>A</w:t>
      </w:r>
      <w:r w:rsidR="00120C83">
        <w:rPr>
          <w:b/>
          <w:lang w:val="en-GB"/>
        </w:rPr>
        <w:t>minobenzyl</w:t>
      </w:r>
      <w:r>
        <w:rPr>
          <w:b/>
          <w:lang w:val="en-GB"/>
        </w:rPr>
        <w:t>)</w:t>
      </w:r>
      <w:r w:rsidR="0074048A">
        <w:rPr>
          <w:b/>
          <w:lang w:val="en-GB"/>
        </w:rPr>
        <w:t>naphthalen</w:t>
      </w:r>
      <w:r>
        <w:rPr>
          <w:b/>
          <w:lang w:val="en-GB"/>
        </w:rPr>
        <w:t>-2-ol.</w:t>
      </w:r>
      <w:r w:rsidR="00815F88">
        <w:rPr>
          <w:vertAlign w:val="superscript"/>
          <w:lang w:val="en-GB"/>
        </w:rPr>
        <w:t>9</w:t>
      </w:r>
    </w:p>
    <w:p w:rsidR="00F228CA" w:rsidRPr="0057123E" w:rsidRDefault="00120C83" w:rsidP="00815F88">
      <w:pPr>
        <w:pStyle w:val="ElsParagraph"/>
        <w:ind w:firstLine="0"/>
        <w:rPr>
          <w:lang w:val="en-GB"/>
        </w:rPr>
      </w:pPr>
      <w:r>
        <w:rPr>
          <w:lang w:bidi="en-US"/>
        </w:rPr>
        <w:t>Prepared f</w:t>
      </w:r>
      <w:r w:rsidR="00F228CA" w:rsidRPr="0057123E">
        <w:rPr>
          <w:lang w:bidi="en-US"/>
        </w:rPr>
        <w:t>ollowing the procedure of Betti:</w:t>
      </w:r>
      <w:r w:rsidR="00815F88">
        <w:rPr>
          <w:vertAlign w:val="superscript"/>
          <w:lang w:bidi="en-US"/>
        </w:rPr>
        <w:t>9</w:t>
      </w:r>
      <w:r w:rsidR="00F228CA" w:rsidRPr="0057123E">
        <w:rPr>
          <w:lang w:bidi="en-US"/>
        </w:rPr>
        <w:t xml:space="preserve"> To a solution of 2-naphthol (1 equiv, 100 mmol, 14.4 g) in EtOH (95%, 20 mL) was added benzaldehyde (2 equiv, 21.2 g, 200 mmol) and saturated ammonia aq. solution (20 mL). The reaction mixture was stoppered and allowed to stand for 2 h at room temperature. The solution became red and warmed up spontaneously. The stopper was then removed and the excess ammonia </w:t>
      </w:r>
      <w:r>
        <w:rPr>
          <w:lang w:val="en-GB"/>
        </w:rPr>
        <w:t xml:space="preserve">allowed to </w:t>
      </w:r>
      <w:r w:rsidR="00F228CA" w:rsidRPr="0057123E">
        <w:rPr>
          <w:lang w:val="en-GB"/>
        </w:rPr>
        <w:t xml:space="preserve">escape. After 12 h the precipitate was removed by filtration and </w:t>
      </w:r>
      <w:r w:rsidR="00F228CA" w:rsidRPr="0057123E">
        <w:rPr>
          <w:lang w:bidi="en-US"/>
        </w:rPr>
        <w:t>aq. HCl (20%, 120 mL)</w:t>
      </w:r>
      <w:r>
        <w:rPr>
          <w:lang w:bidi="en-US"/>
        </w:rPr>
        <w:t xml:space="preserve"> added</w:t>
      </w:r>
      <w:r w:rsidR="00F228CA" w:rsidRPr="0057123E">
        <w:rPr>
          <w:lang w:bidi="en-US"/>
        </w:rPr>
        <w:t>. The mixture w</w:t>
      </w:r>
      <w:r>
        <w:rPr>
          <w:lang w:bidi="en-US"/>
        </w:rPr>
        <w:t xml:space="preserve">as then distilled to remove </w:t>
      </w:r>
      <w:r w:rsidR="00F228CA" w:rsidRPr="0057123E">
        <w:rPr>
          <w:lang w:bidi="en-US"/>
        </w:rPr>
        <w:t>benzaldehyde. The remaining hydrochloride salt was suspended in water (45 mL) and stirred with aq. Na</w:t>
      </w:r>
      <w:r w:rsidR="00F228CA" w:rsidRPr="0057123E">
        <w:rPr>
          <w:vertAlign w:val="subscript"/>
          <w:lang w:bidi="en-US"/>
        </w:rPr>
        <w:t>2</w:t>
      </w:r>
      <w:r w:rsidR="00F228CA" w:rsidRPr="0057123E">
        <w:rPr>
          <w:lang w:bidi="en-US"/>
        </w:rPr>
        <w:t>CO</w:t>
      </w:r>
      <w:r w:rsidR="00F228CA" w:rsidRPr="0057123E">
        <w:rPr>
          <w:vertAlign w:val="subscript"/>
          <w:lang w:bidi="en-US"/>
        </w:rPr>
        <w:t>3</w:t>
      </w:r>
      <w:r w:rsidR="00F228CA" w:rsidRPr="0057123E">
        <w:rPr>
          <w:lang w:bidi="en-US"/>
        </w:rPr>
        <w:t xml:space="preserve"> (2 M, 240 mL) before </w:t>
      </w:r>
      <w:r w:rsidR="00F228CA" w:rsidRPr="0057123E">
        <w:rPr>
          <w:lang w:val="en-GB"/>
        </w:rPr>
        <w:t>extracting with EtOAc (4x90 mL). The combined organic extracts were dried (MgSO</w:t>
      </w:r>
      <w:r w:rsidR="00F228CA" w:rsidRPr="0057123E">
        <w:rPr>
          <w:vertAlign w:val="subscript"/>
          <w:lang w:val="en-GB"/>
        </w:rPr>
        <w:t>4</w:t>
      </w:r>
      <w:r w:rsidR="00F228CA" w:rsidRPr="0057123E">
        <w:rPr>
          <w:lang w:val="en-GB"/>
        </w:rPr>
        <w:t xml:space="preserve">), filtered, and concentrated </w:t>
      </w:r>
      <w:r w:rsidR="00F228CA" w:rsidRPr="0057123E">
        <w:rPr>
          <w:i/>
          <w:lang w:val="en-GB"/>
        </w:rPr>
        <w:t>in vacuo</w:t>
      </w:r>
      <w:r w:rsidR="00F228CA" w:rsidRPr="0057123E">
        <w:rPr>
          <w:lang w:val="en-GB"/>
        </w:rPr>
        <w:t xml:space="preserve"> to afford the title compound as a white powder (15.89 g, 68%).</w:t>
      </w:r>
    </w:p>
    <w:p w:rsidR="00F228CA" w:rsidRPr="00120C83" w:rsidRDefault="00120C83" w:rsidP="00120C83">
      <w:pPr>
        <w:pStyle w:val="ElsParagraph"/>
        <w:ind w:firstLine="0"/>
        <w:rPr>
          <w:vertAlign w:val="superscript"/>
          <w:lang w:val="en-GB"/>
        </w:rPr>
      </w:pPr>
      <w:r>
        <w:rPr>
          <w:b/>
          <w:lang w:val="en-GB"/>
        </w:rPr>
        <w:t xml:space="preserve">4.5 </w:t>
      </w:r>
      <w:r w:rsidR="00F228CA" w:rsidRPr="0057123E">
        <w:rPr>
          <w:b/>
          <w:lang w:val="en-GB"/>
        </w:rPr>
        <w:t>Preparation of (</w:t>
      </w:r>
      <w:r w:rsidR="00F228CA" w:rsidRPr="0057123E">
        <w:rPr>
          <w:b/>
          <w:i/>
          <w:lang w:val="en-GB"/>
        </w:rPr>
        <w:t>S</w:t>
      </w:r>
      <w:r w:rsidR="00F228CA" w:rsidRPr="0057123E">
        <w:rPr>
          <w:b/>
          <w:lang w:val="en-GB"/>
        </w:rPr>
        <w:t>)-</w:t>
      </w:r>
      <w:r>
        <w:rPr>
          <w:b/>
          <w:lang w:val="en-GB"/>
        </w:rPr>
        <w:t>1-(</w:t>
      </w:r>
      <w:r w:rsidRPr="00120C83">
        <w:rPr>
          <w:rFonts w:ascii="Symbol" w:hAnsi="Symbol"/>
          <w:b/>
          <w:lang w:val="en-GB"/>
        </w:rPr>
        <w:t></w:t>
      </w:r>
      <w:r>
        <w:rPr>
          <w:b/>
          <w:lang w:val="en-GB"/>
        </w:rPr>
        <w:t>-Aminobenzyl)</w:t>
      </w:r>
      <w:r w:rsidR="0074048A">
        <w:rPr>
          <w:b/>
          <w:lang w:val="en-GB"/>
        </w:rPr>
        <w:t>naphthalen</w:t>
      </w:r>
      <w:r>
        <w:rPr>
          <w:b/>
          <w:lang w:val="en-GB"/>
        </w:rPr>
        <w:t>-2-ol.</w:t>
      </w:r>
      <w:r>
        <w:rPr>
          <w:vertAlign w:val="superscript"/>
          <w:lang w:val="en-GB"/>
        </w:rPr>
        <w:t>9,10</w:t>
      </w:r>
    </w:p>
    <w:p w:rsidR="00F228CA" w:rsidRPr="0074048A" w:rsidRDefault="0074048A" w:rsidP="00F228CA">
      <w:pPr>
        <w:pStyle w:val="ElsParagraph"/>
        <w:ind w:firstLine="0"/>
        <w:rPr>
          <w:lang w:val="en-GB"/>
        </w:rPr>
      </w:pPr>
      <w:r>
        <w:rPr>
          <w:lang w:bidi="en-US"/>
        </w:rPr>
        <w:t>Prepared f</w:t>
      </w:r>
      <w:r w:rsidR="00F228CA" w:rsidRPr="0057123E">
        <w:rPr>
          <w:lang w:bidi="en-US"/>
        </w:rPr>
        <w:t>ollowing the procedure of Cardellicchio:</w:t>
      </w:r>
      <w:r w:rsidR="00120C83">
        <w:rPr>
          <w:vertAlign w:val="superscript"/>
          <w:lang w:bidi="en-US"/>
        </w:rPr>
        <w:t>11</w:t>
      </w:r>
      <w:r w:rsidR="00F228CA" w:rsidRPr="0057123E">
        <w:rPr>
          <w:lang w:bidi="en-US"/>
        </w:rPr>
        <w:t xml:space="preserve"> A solution of L-tartaric acid (1 equiv, 38.1 mmol, 5.72 </w:t>
      </w:r>
      <w:r w:rsidR="00F228CA" w:rsidRPr="0057123E">
        <w:rPr>
          <w:lang w:val="en-GB"/>
        </w:rPr>
        <w:t xml:space="preserve">g) in 95% EtOH:MeOH (25 mL:13 mL) was added dropwise to a solution of </w:t>
      </w:r>
      <w:r>
        <w:rPr>
          <w:lang w:val="en-GB"/>
        </w:rPr>
        <w:t>(±)-</w:t>
      </w:r>
      <w:r w:rsidR="00F228CA" w:rsidRPr="0057123E">
        <w:rPr>
          <w:lang w:val="en-GB"/>
        </w:rPr>
        <w:t>1-(α-aminobenzyl)-2-naphth</w:t>
      </w:r>
      <w:r>
        <w:rPr>
          <w:lang w:val="en-GB"/>
        </w:rPr>
        <w:t>alen-2-</w:t>
      </w:r>
      <w:r w:rsidR="00F228CA" w:rsidRPr="0057123E">
        <w:rPr>
          <w:lang w:val="en-GB"/>
        </w:rPr>
        <w:t xml:space="preserve">ol (1 equiv, 38.1 mmol, 9.5 g) in EtOH (95%, 300 mL). The reaction mixture was slowly stirred for 6 h at room temperature. The formed tartarate salt was removed by filtration and then slurried in methanol (40 mL), dried </w:t>
      </w:r>
      <w:r w:rsidR="00F228CA" w:rsidRPr="0057123E">
        <w:rPr>
          <w:i/>
          <w:lang w:val="en-GB"/>
        </w:rPr>
        <w:t>in vacuo</w:t>
      </w:r>
      <w:r w:rsidR="00F228CA" w:rsidRPr="0057123E">
        <w:rPr>
          <w:lang w:val="en-GB"/>
        </w:rPr>
        <w:t>, and isolated as a white solid (6.51 g, 43% yield). The tartarate salt (5.48 g, 13.72 mmol) was suspended in water (55 mL) and aq. Na</w:t>
      </w:r>
      <w:r w:rsidR="00F228CA" w:rsidRPr="0057123E">
        <w:rPr>
          <w:vertAlign w:val="subscript"/>
          <w:lang w:val="en-GB"/>
        </w:rPr>
        <w:t>2</w:t>
      </w:r>
      <w:r w:rsidR="00F228CA" w:rsidRPr="0057123E">
        <w:rPr>
          <w:lang w:val="en-GB"/>
        </w:rPr>
        <w:t>CO</w:t>
      </w:r>
      <w:r w:rsidR="00F228CA" w:rsidRPr="0057123E">
        <w:rPr>
          <w:vertAlign w:val="subscript"/>
          <w:lang w:val="en-GB"/>
        </w:rPr>
        <w:t>3</w:t>
      </w:r>
      <w:r w:rsidR="00F228CA" w:rsidRPr="0057123E">
        <w:rPr>
          <w:lang w:val="en-GB"/>
        </w:rPr>
        <w:t xml:space="preserve"> (2 M, 55 mL) was added. The mixture was stirred for 45 min then extracted with Et</w:t>
      </w:r>
      <w:r w:rsidR="00F228CA" w:rsidRPr="0057123E">
        <w:rPr>
          <w:vertAlign w:val="subscript"/>
          <w:lang w:val="en-GB"/>
        </w:rPr>
        <w:t>2</w:t>
      </w:r>
      <w:r w:rsidR="00F228CA" w:rsidRPr="0057123E">
        <w:rPr>
          <w:lang w:val="en-GB"/>
        </w:rPr>
        <w:t>O (4</w:t>
      </w:r>
      <w:r>
        <w:rPr>
          <w:lang w:val="en-GB"/>
        </w:rPr>
        <w:t xml:space="preserve"> </w:t>
      </w:r>
      <w:r w:rsidR="00F228CA" w:rsidRPr="0057123E">
        <w:rPr>
          <w:lang w:val="en-GB"/>
        </w:rPr>
        <w:t>x</w:t>
      </w:r>
      <w:r>
        <w:rPr>
          <w:lang w:val="en-GB"/>
        </w:rPr>
        <w:t xml:space="preserve"> </w:t>
      </w:r>
      <w:r w:rsidR="00F228CA" w:rsidRPr="0057123E">
        <w:rPr>
          <w:lang w:val="en-GB"/>
        </w:rPr>
        <w:t>90 mL). The combined organic extracts were dried (MgSO</w:t>
      </w:r>
      <w:r w:rsidR="00F228CA" w:rsidRPr="0057123E">
        <w:rPr>
          <w:vertAlign w:val="subscript"/>
          <w:lang w:val="en-GB"/>
        </w:rPr>
        <w:t>4</w:t>
      </w:r>
      <w:r w:rsidR="00F228CA" w:rsidRPr="0057123E">
        <w:rPr>
          <w:lang w:val="en-GB"/>
        </w:rPr>
        <w:t xml:space="preserve">), filtered, and concentrated </w:t>
      </w:r>
      <w:r w:rsidR="00F228CA" w:rsidRPr="0057123E">
        <w:rPr>
          <w:i/>
          <w:lang w:val="en-GB"/>
        </w:rPr>
        <w:t>in vacuo</w:t>
      </w:r>
      <w:r w:rsidR="00F228CA" w:rsidRPr="0057123E">
        <w:rPr>
          <w:lang w:val="en-GB"/>
        </w:rPr>
        <w:t xml:space="preserve"> to afford the title compound as a white solid (2.90 g, 61% based on the maximum possible yield of the (</w:t>
      </w:r>
      <w:r w:rsidR="00F228CA" w:rsidRPr="0057123E">
        <w:rPr>
          <w:i/>
          <w:lang w:val="en-GB"/>
        </w:rPr>
        <w:t>S</w:t>
      </w:r>
      <w:r>
        <w:rPr>
          <w:lang w:val="en-GB"/>
        </w:rPr>
        <w:t xml:space="preserve">)-isomer). </w:t>
      </w:r>
      <w:r w:rsidR="00F228CA" w:rsidRPr="0057123E">
        <w:rPr>
          <w:lang w:val="en-GB"/>
        </w:rPr>
        <w:t xml:space="preserve">Amorphous white powder. M.Pt. 110-113 </w:t>
      </w:r>
      <w:r w:rsidR="00F228CA" w:rsidRPr="0057123E">
        <w:rPr>
          <w:lang w:val="en-GB"/>
        </w:rPr>
        <w:sym w:font="Symbol" w:char="F0B0"/>
      </w:r>
      <w:r w:rsidR="00F228CA" w:rsidRPr="0057123E">
        <w:rPr>
          <w:lang w:val="en-GB"/>
        </w:rPr>
        <w:t>C (Et</w:t>
      </w:r>
      <w:r w:rsidR="00F228CA" w:rsidRPr="0057123E">
        <w:rPr>
          <w:vertAlign w:val="subscript"/>
          <w:lang w:val="en-GB"/>
        </w:rPr>
        <w:t>2</w:t>
      </w:r>
      <w:r>
        <w:rPr>
          <w:lang w:val="en-GB"/>
        </w:rPr>
        <w:t xml:space="preserve">O). </w:t>
      </w:r>
      <w:r w:rsidR="00F228CA" w:rsidRPr="0057123E">
        <w:rPr>
          <w:lang w:val="en-GB"/>
        </w:rPr>
        <w:sym w:font="Symbol" w:char="F06E"/>
      </w:r>
      <w:r w:rsidR="00F228CA" w:rsidRPr="0057123E">
        <w:rPr>
          <w:vertAlign w:val="subscript"/>
          <w:lang w:val="en-GB"/>
        </w:rPr>
        <w:t>max</w:t>
      </w:r>
      <w:r w:rsidR="00F228CA" w:rsidRPr="0057123E">
        <w:rPr>
          <w:lang w:val="en-GB"/>
        </w:rPr>
        <w:t xml:space="preserve"> (CH</w:t>
      </w:r>
      <w:r w:rsidR="00F228CA" w:rsidRPr="0057123E">
        <w:rPr>
          <w:vertAlign w:val="subscript"/>
          <w:lang w:val="en-GB"/>
        </w:rPr>
        <w:t>2</w:t>
      </w:r>
      <w:r w:rsidR="00F228CA" w:rsidRPr="0057123E">
        <w:rPr>
          <w:lang w:val="en-GB"/>
        </w:rPr>
        <w:t>Cl</w:t>
      </w:r>
      <w:r w:rsidR="00F228CA" w:rsidRPr="0057123E">
        <w:rPr>
          <w:vertAlign w:val="subscript"/>
          <w:lang w:val="en-GB"/>
        </w:rPr>
        <w:t>2</w:t>
      </w:r>
      <w:r w:rsidR="00F228CA" w:rsidRPr="0057123E">
        <w:rPr>
          <w:lang w:val="en-GB"/>
        </w:rPr>
        <w:t xml:space="preserve">): </w:t>
      </w:r>
      <w:r w:rsidR="00F228CA" w:rsidRPr="0057123E">
        <w:rPr>
          <w:lang w:bidi="en-US"/>
        </w:rPr>
        <w:t>3384, 2830, 1621, 1520 cm</w:t>
      </w:r>
      <w:r w:rsidR="00F228CA" w:rsidRPr="0057123E">
        <w:rPr>
          <w:vertAlign w:val="superscript"/>
          <w:lang w:bidi="en-US"/>
        </w:rPr>
        <w:t>–1</w:t>
      </w:r>
      <w:r w:rsidR="00F228CA" w:rsidRPr="0057123E">
        <w:rPr>
          <w:lang w:bidi="en-US"/>
        </w:rPr>
        <w:t>.</w:t>
      </w:r>
      <w:r>
        <w:rPr>
          <w:lang w:val="en-GB"/>
        </w:rPr>
        <w:t xml:space="preserve"> </w:t>
      </w:r>
      <w:r w:rsidR="00F228CA" w:rsidRPr="0057123E">
        <w:rPr>
          <w:vertAlign w:val="superscript"/>
          <w:lang w:val="en-GB"/>
        </w:rPr>
        <w:t>1</w:t>
      </w:r>
      <w:r w:rsidR="00F228CA" w:rsidRPr="0057123E">
        <w:rPr>
          <w:lang w:val="en-GB"/>
        </w:rPr>
        <w:t>H NMR (400 MHz, CDCl</w:t>
      </w:r>
      <w:r w:rsidR="00F228CA" w:rsidRPr="0057123E">
        <w:rPr>
          <w:vertAlign w:val="subscript"/>
          <w:lang w:val="en-GB"/>
        </w:rPr>
        <w:t>3</w:t>
      </w:r>
      <w:r w:rsidR="00F228CA" w:rsidRPr="0057123E">
        <w:rPr>
          <w:lang w:val="en-GB"/>
        </w:rPr>
        <w:t xml:space="preserve">) δ: </w:t>
      </w:r>
      <w:r w:rsidR="00F228CA" w:rsidRPr="0057123E">
        <w:rPr>
          <w:lang w:bidi="en-US"/>
        </w:rPr>
        <w:t>2.38 (br s, 2H), 6.18 (s, 1H), 7.17-7.75 (m, 11H), 13.07 (br s, 1H).</w:t>
      </w:r>
      <w:r>
        <w:rPr>
          <w:lang w:val="en-GB"/>
        </w:rPr>
        <w:t xml:space="preserve"> </w:t>
      </w:r>
      <w:r w:rsidR="00F228CA" w:rsidRPr="0057123E">
        <w:rPr>
          <w:lang w:val="en-GB"/>
        </w:rPr>
        <w:t>[</w:t>
      </w:r>
      <w:r w:rsidR="00F228CA" w:rsidRPr="0057123E">
        <w:rPr>
          <w:lang w:val="en-GB"/>
        </w:rPr>
        <w:sym w:font="Symbol" w:char="F061"/>
      </w:r>
      <w:r w:rsidR="00F228CA" w:rsidRPr="0057123E">
        <w:rPr>
          <w:lang w:val="en-GB"/>
        </w:rPr>
        <w:t>]</w:t>
      </w:r>
      <w:r w:rsidR="00F228CA" w:rsidRPr="0057123E">
        <w:rPr>
          <w:vertAlign w:val="subscript"/>
          <w:lang w:val="en-GB"/>
        </w:rPr>
        <w:t>D</w:t>
      </w:r>
      <w:r w:rsidR="00F228CA" w:rsidRPr="0057123E">
        <w:rPr>
          <w:vertAlign w:val="superscript"/>
          <w:lang w:val="en-GB"/>
        </w:rPr>
        <w:t>20</w:t>
      </w:r>
      <w:r w:rsidR="00F228CA" w:rsidRPr="0057123E">
        <w:rPr>
          <w:lang w:val="en-GB"/>
        </w:rPr>
        <w:t xml:space="preserve"> (</w:t>
      </w:r>
      <w:r w:rsidR="00F228CA" w:rsidRPr="0057123E">
        <w:rPr>
          <w:i/>
          <w:lang w:val="en-GB"/>
        </w:rPr>
        <w:t>R</w:t>
      </w:r>
      <w:r w:rsidR="00F228CA" w:rsidRPr="0057123E">
        <w:rPr>
          <w:lang w:val="en-GB"/>
        </w:rPr>
        <w:t>,</w:t>
      </w:r>
      <w:r w:rsidR="00F228CA" w:rsidRPr="0057123E">
        <w:rPr>
          <w:i/>
          <w:lang w:val="en-GB"/>
        </w:rPr>
        <w:t>R</w:t>
      </w:r>
      <w:r w:rsidR="00F228CA" w:rsidRPr="0057123E">
        <w:rPr>
          <w:lang w:val="en-GB"/>
        </w:rPr>
        <w:t>): +55.7 (</w:t>
      </w:r>
      <w:r w:rsidR="00F228CA" w:rsidRPr="0057123E">
        <w:rPr>
          <w:i/>
          <w:lang w:val="en-GB"/>
        </w:rPr>
        <w:t>c</w:t>
      </w:r>
      <w:r w:rsidR="00F228CA" w:rsidRPr="0057123E">
        <w:rPr>
          <w:lang w:val="en-GB"/>
        </w:rPr>
        <w:t xml:space="preserve"> 4.4, C</w:t>
      </w:r>
      <w:r w:rsidR="00F228CA" w:rsidRPr="0057123E">
        <w:rPr>
          <w:vertAlign w:val="subscript"/>
          <w:lang w:val="en-GB"/>
        </w:rPr>
        <w:t>6</w:t>
      </w:r>
      <w:r w:rsidR="00F228CA" w:rsidRPr="0057123E">
        <w:rPr>
          <w:lang w:val="en-GB"/>
        </w:rPr>
        <w:t>H</w:t>
      </w:r>
      <w:r w:rsidR="00F228CA" w:rsidRPr="0057123E">
        <w:rPr>
          <w:vertAlign w:val="subscript"/>
          <w:lang w:val="en-GB"/>
        </w:rPr>
        <w:t>6</w:t>
      </w:r>
      <w:r w:rsidR="00F228CA" w:rsidRPr="0057123E">
        <w:rPr>
          <w:lang w:val="en-GB"/>
        </w:rPr>
        <w:t>). Lit. (</w:t>
      </w:r>
      <w:r w:rsidR="00F228CA" w:rsidRPr="0057123E">
        <w:rPr>
          <w:i/>
          <w:lang w:val="en-GB"/>
        </w:rPr>
        <w:t>S</w:t>
      </w:r>
      <w:r w:rsidR="00F228CA" w:rsidRPr="0057123E">
        <w:rPr>
          <w:lang w:val="en-GB"/>
        </w:rPr>
        <w:t>):</w:t>
      </w:r>
      <w:r>
        <w:rPr>
          <w:vertAlign w:val="superscript"/>
          <w:lang w:val="en-GB"/>
        </w:rPr>
        <w:t>10</w:t>
      </w:r>
      <w:r w:rsidR="00F228CA" w:rsidRPr="0057123E">
        <w:rPr>
          <w:lang w:val="en-GB"/>
        </w:rPr>
        <w:t xml:space="preserve"> +58.84 (</w:t>
      </w:r>
      <w:r w:rsidR="00F228CA" w:rsidRPr="0057123E">
        <w:rPr>
          <w:i/>
          <w:lang w:val="en-GB"/>
        </w:rPr>
        <w:t>c</w:t>
      </w:r>
      <w:r w:rsidR="00F228CA" w:rsidRPr="0057123E">
        <w:rPr>
          <w:lang w:val="en-GB"/>
        </w:rPr>
        <w:t xml:space="preserve"> 5, C</w:t>
      </w:r>
      <w:r w:rsidR="00F228CA" w:rsidRPr="0057123E">
        <w:rPr>
          <w:vertAlign w:val="subscript"/>
          <w:lang w:val="en-GB"/>
        </w:rPr>
        <w:t>6</w:t>
      </w:r>
      <w:r w:rsidR="00F228CA" w:rsidRPr="0057123E">
        <w:rPr>
          <w:lang w:val="en-GB"/>
        </w:rPr>
        <w:t>H</w:t>
      </w:r>
      <w:r w:rsidR="00F228CA" w:rsidRPr="0057123E">
        <w:rPr>
          <w:vertAlign w:val="subscript"/>
          <w:lang w:val="en-GB"/>
        </w:rPr>
        <w:t>6</w:t>
      </w:r>
      <w:r w:rsidR="00F228CA" w:rsidRPr="0057123E">
        <w:rPr>
          <w:lang w:val="en-GB"/>
        </w:rPr>
        <w:t>).</w:t>
      </w:r>
    </w:p>
    <w:p w:rsidR="0057123E" w:rsidRPr="00073544" w:rsidRDefault="00073544" w:rsidP="00073544">
      <w:pPr>
        <w:pStyle w:val="ElsParagraph"/>
        <w:ind w:firstLine="0"/>
        <w:rPr>
          <w:b/>
          <w:vertAlign w:val="superscript"/>
          <w:lang w:val="en-GB"/>
        </w:rPr>
      </w:pPr>
      <w:r w:rsidRPr="00073544">
        <w:rPr>
          <w:b/>
          <w:lang w:val="en-GB"/>
        </w:rPr>
        <w:t>4.6 Preparation of 1-((</w:t>
      </w:r>
      <w:r w:rsidRPr="00073544">
        <w:rPr>
          <w:b/>
          <w:i/>
          <w:lang w:val="en-GB"/>
        </w:rPr>
        <w:t>S</w:t>
      </w:r>
      <w:r w:rsidRPr="00073544">
        <w:rPr>
          <w:b/>
          <w:lang w:val="en-GB"/>
        </w:rPr>
        <w:t>)-Phenyl(phenylmethylamino)methyl)naphthalen-2-ol (</w:t>
      </w:r>
      <w:r w:rsidRPr="009715DD">
        <w:rPr>
          <w:b/>
          <w:i/>
          <w:lang w:val="en-GB"/>
        </w:rPr>
        <w:t>S</w:t>
      </w:r>
      <w:r w:rsidRPr="00073544">
        <w:rPr>
          <w:b/>
          <w:lang w:val="en-GB"/>
        </w:rPr>
        <w:t>)-3j.</w:t>
      </w:r>
      <w:r w:rsidRPr="00073544">
        <w:rPr>
          <w:vertAlign w:val="superscript"/>
          <w:lang w:val="en-GB"/>
        </w:rPr>
        <w:t>11</w:t>
      </w:r>
    </w:p>
    <w:p w:rsidR="00996663" w:rsidRDefault="00073544" w:rsidP="00996663">
      <w:pPr>
        <w:pStyle w:val="ElsParagraph"/>
        <w:ind w:firstLine="0"/>
        <w:rPr>
          <w:lang w:val="en-GB"/>
        </w:rPr>
      </w:pPr>
      <w:r>
        <w:rPr>
          <w:lang w:bidi="en-US"/>
        </w:rPr>
        <w:t>Prepared f</w:t>
      </w:r>
      <w:r w:rsidR="0057123E" w:rsidRPr="0057123E">
        <w:rPr>
          <w:lang w:bidi="en-US"/>
        </w:rPr>
        <w:t>ollowing the procedure of Cardellicchio:</w:t>
      </w:r>
      <w:r>
        <w:rPr>
          <w:vertAlign w:val="superscript"/>
          <w:lang w:bidi="en-US"/>
        </w:rPr>
        <w:t>11</w:t>
      </w:r>
      <w:r w:rsidR="0057123E" w:rsidRPr="0057123E">
        <w:rPr>
          <w:lang w:bidi="en-US"/>
        </w:rPr>
        <w:t xml:space="preserve"> A solution of benzaldehyde (1 equiv, 11.63 mmol, 1.23 g) in EtOH (95%, 19 mL) was added dropwise to a </w:t>
      </w:r>
      <w:r w:rsidR="0057123E" w:rsidRPr="0057123E">
        <w:rPr>
          <w:lang w:val="en-GB"/>
        </w:rPr>
        <w:t xml:space="preserve">solution of </w:t>
      </w:r>
      <w:r w:rsidR="009715DD" w:rsidRPr="009715DD">
        <w:rPr>
          <w:lang w:val="en-GB"/>
        </w:rPr>
        <w:t>(</w:t>
      </w:r>
      <w:r w:rsidR="009715DD" w:rsidRPr="009715DD">
        <w:rPr>
          <w:i/>
          <w:lang w:val="en-GB"/>
        </w:rPr>
        <w:t>S</w:t>
      </w:r>
      <w:r w:rsidR="009715DD" w:rsidRPr="009715DD">
        <w:rPr>
          <w:lang w:val="en-GB"/>
        </w:rPr>
        <w:t>)-1-(a-</w:t>
      </w:r>
      <w:r w:rsidR="009715DD">
        <w:rPr>
          <w:lang w:val="en-GB"/>
        </w:rPr>
        <w:t>a</w:t>
      </w:r>
      <w:r w:rsidR="009715DD" w:rsidRPr="009715DD">
        <w:rPr>
          <w:lang w:val="en-GB"/>
        </w:rPr>
        <w:t xml:space="preserve">minobenzyl)naphthalen-2-ol </w:t>
      </w:r>
      <w:r w:rsidR="009715DD">
        <w:rPr>
          <w:lang w:val="en-GB"/>
        </w:rPr>
        <w:t>(</w:t>
      </w:r>
      <w:r w:rsidR="0057123E" w:rsidRPr="0057123E">
        <w:rPr>
          <w:lang w:val="en-GB"/>
        </w:rPr>
        <w:t>1 equiv, 11.63 mmol, 2.90 g) and the reaction mixture stirred overnight. The precipitate was removed by filtration and dried under high vacuum giving a white solid (3.19 g, 81% yield). The solid was suspended in PhMe (80 mL) and hydrogenated using palladium on carbon (10%) in a Parr hydrogenator under an atmosphere of 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 xml:space="preserve"> (45 psi). The crude product was filtered through a plug of celite and recrystallised from EtOAc/hexane to afford the title compound (2.66 g, 89% yield). The enantiomeric excess was determined by chiral HPLC to be 98% (</w:t>
      </w:r>
      <w:r w:rsidR="0057123E" w:rsidRPr="0057123E">
        <w:rPr>
          <w:i/>
          <w:lang w:val="en-GB"/>
        </w:rPr>
        <w:t>S</w:t>
      </w:r>
      <w:r w:rsidR="009715DD">
        <w:rPr>
          <w:lang w:val="en-GB"/>
        </w:rPr>
        <w:t xml:space="preserve">). </w:t>
      </w:r>
      <w:r w:rsidR="0057123E" w:rsidRPr="0057123E">
        <w:rPr>
          <w:lang w:val="en-GB"/>
        </w:rPr>
        <w:t xml:space="preserve">Colourless crystals. M.Pt. 109-112 </w:t>
      </w:r>
      <w:r w:rsidR="0057123E" w:rsidRPr="0057123E">
        <w:rPr>
          <w:lang w:val="en-GB"/>
        </w:rPr>
        <w:sym w:font="Symbol" w:char="F0B0"/>
      </w:r>
      <w:r w:rsidR="009715DD">
        <w:rPr>
          <w:lang w:val="en-GB"/>
        </w:rPr>
        <w:t xml:space="preserve">C (EtOAc/Hexane). </w:t>
      </w:r>
      <w:r w:rsidR="0057123E" w:rsidRPr="0057123E">
        <w:rPr>
          <w:lang w:val="en-GB"/>
        </w:rPr>
        <w:sym w:font="Symbol" w:char="F06E"/>
      </w:r>
      <w:r w:rsidR="0057123E" w:rsidRPr="0057123E">
        <w:rPr>
          <w:vertAlign w:val="subscript"/>
          <w:lang w:val="en-GB"/>
        </w:rPr>
        <w:t>max</w:t>
      </w:r>
      <w:r w:rsidR="0057123E" w:rsidRPr="0057123E">
        <w:rPr>
          <w:lang w:val="en-GB"/>
        </w:rPr>
        <w:t xml:space="preserve"> (CH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Cl</w:t>
      </w:r>
      <w:r w:rsidR="0057123E" w:rsidRPr="0057123E">
        <w:rPr>
          <w:vertAlign w:val="subscript"/>
          <w:lang w:val="en-GB"/>
        </w:rPr>
        <w:t>2</w:t>
      </w:r>
      <w:r w:rsidR="0057123E" w:rsidRPr="0057123E">
        <w:rPr>
          <w:lang w:val="en-GB"/>
        </w:rPr>
        <w:t>): 3324, 2742, 1621, 1520 cm</w:t>
      </w:r>
      <w:r w:rsidR="0057123E" w:rsidRPr="0057123E">
        <w:rPr>
          <w:vertAlign w:val="superscript"/>
          <w:lang w:val="en-GB"/>
        </w:rPr>
        <w:t>–1</w:t>
      </w:r>
      <w:r w:rsidR="0057123E" w:rsidRPr="0057123E">
        <w:rPr>
          <w:lang w:val="en-GB"/>
        </w:rPr>
        <w:t>.</w:t>
      </w:r>
      <w:r w:rsidR="009715DD"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</w:t>
      </w:r>
      <w:r w:rsidR="0057123E" w:rsidRPr="0057123E">
        <w:rPr>
          <w:lang w:val="en-GB"/>
        </w:rPr>
        <w:t>H NMR (400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 xml:space="preserve">) δ: </w:t>
      </w:r>
      <w:r w:rsidR="0057123E" w:rsidRPr="0057123E">
        <w:rPr>
          <w:lang w:bidi="en-US"/>
        </w:rPr>
        <w:t xml:space="preserve">2.34 (br s, 1H), 3.87 (d, 1H, </w:t>
      </w:r>
      <w:r w:rsidR="0057123E" w:rsidRPr="0057123E">
        <w:rPr>
          <w:i/>
          <w:lang w:bidi="en-US"/>
        </w:rPr>
        <w:t>J</w:t>
      </w:r>
      <w:r w:rsidR="0057123E" w:rsidRPr="0057123E">
        <w:rPr>
          <w:lang w:bidi="en-US"/>
        </w:rPr>
        <w:t xml:space="preserve"> = 13.0 Hz), 4.09 (d, 1H, </w:t>
      </w:r>
      <w:r w:rsidR="0057123E" w:rsidRPr="0057123E">
        <w:rPr>
          <w:i/>
          <w:lang w:bidi="en-US"/>
        </w:rPr>
        <w:t>J</w:t>
      </w:r>
      <w:r w:rsidR="0057123E" w:rsidRPr="0057123E">
        <w:rPr>
          <w:lang w:bidi="en-US"/>
        </w:rPr>
        <w:t xml:space="preserve"> = 13.0 Hz), 5.82 (s, 1H), 7.24-7.80 (m, 16H), 13.57 (br s, 1H).</w:t>
      </w:r>
      <w:r w:rsidR="009715DD">
        <w:rPr>
          <w:lang w:val="en-GB"/>
        </w:rPr>
        <w:t xml:space="preserve"> </w:t>
      </w:r>
      <w:r w:rsidR="0057123E" w:rsidRPr="0057123E">
        <w:rPr>
          <w:vertAlign w:val="superscript"/>
          <w:lang w:val="en-GB"/>
        </w:rPr>
        <w:t>13</w:t>
      </w:r>
      <w:r w:rsidR="0057123E" w:rsidRPr="0057123E">
        <w:rPr>
          <w:lang w:val="en-GB"/>
        </w:rPr>
        <w:t>C NMR (100 MHz, CDCl</w:t>
      </w:r>
      <w:r w:rsidR="0057123E" w:rsidRPr="0057123E">
        <w:rPr>
          <w:vertAlign w:val="subscript"/>
          <w:lang w:val="en-GB"/>
        </w:rPr>
        <w:t>3</w:t>
      </w:r>
      <w:r w:rsidR="0057123E" w:rsidRPr="0057123E">
        <w:rPr>
          <w:lang w:val="en-GB"/>
        </w:rPr>
        <w:t>) δ:</w:t>
      </w:r>
      <w:r w:rsidR="0057123E" w:rsidRPr="0057123E">
        <w:rPr>
          <w:lang w:bidi="en-US"/>
        </w:rPr>
        <w:t xml:space="preserve"> 52.9, 63.0, 113.2, 120.3, 121.4, 122.7, 126.7, 127.8, 128.0, 128.3, 128.8, 129.0, 129.1, 129.2, 129.3, 130.1, 132.9, 138.1, 141.5, 157.0.</w:t>
      </w:r>
      <w:r w:rsidR="009715DD">
        <w:rPr>
          <w:lang w:val="en-GB"/>
        </w:rPr>
        <w:t xml:space="preserve"> </w:t>
      </w:r>
      <w:r w:rsidR="0057123E" w:rsidRPr="0057123E">
        <w:rPr>
          <w:lang w:val="en-GB"/>
        </w:rPr>
        <w:t xml:space="preserve">HPLC (Chiracel OD, 10% </w:t>
      </w:r>
      <w:r w:rsidR="0057123E" w:rsidRPr="0057123E">
        <w:rPr>
          <w:i/>
          <w:lang w:val="en-GB"/>
        </w:rPr>
        <w:t>i</w:t>
      </w:r>
      <w:r w:rsidR="0057123E" w:rsidRPr="0057123E">
        <w:rPr>
          <w:lang w:val="en-GB"/>
        </w:rPr>
        <w:t>-PrOH/Hexane, flow rate 1 ml/min, 254 nm detector): t</w:t>
      </w:r>
      <w:r w:rsidR="0057123E" w:rsidRPr="0057123E">
        <w:rPr>
          <w:vertAlign w:val="subscript"/>
          <w:lang w:val="en-GB"/>
        </w:rPr>
        <w:t>R</w:t>
      </w:r>
      <w:r w:rsidR="0057123E" w:rsidRPr="0057123E">
        <w:rPr>
          <w:lang w:val="en-GB"/>
        </w:rPr>
        <w:t>(</w:t>
      </w:r>
      <w:r w:rsidR="0057123E" w:rsidRPr="0057123E">
        <w:rPr>
          <w:i/>
          <w:lang w:val="en-GB"/>
        </w:rPr>
        <w:t>S</w:t>
      </w:r>
      <w:r w:rsidR="0057123E" w:rsidRPr="0057123E">
        <w:rPr>
          <w:lang w:val="en-GB"/>
        </w:rPr>
        <w:t>) = 7.85 min, t</w:t>
      </w:r>
      <w:r w:rsidR="0057123E" w:rsidRPr="0057123E">
        <w:rPr>
          <w:vertAlign w:val="subscript"/>
          <w:lang w:val="en-GB"/>
        </w:rPr>
        <w:t>R</w:t>
      </w:r>
      <w:r w:rsidR="0057123E" w:rsidRPr="0057123E">
        <w:rPr>
          <w:lang w:val="en-GB"/>
        </w:rPr>
        <w:t>(</w:t>
      </w:r>
      <w:r w:rsidR="0057123E" w:rsidRPr="0057123E">
        <w:rPr>
          <w:i/>
          <w:lang w:val="en-GB"/>
        </w:rPr>
        <w:t>R</w:t>
      </w:r>
      <w:r w:rsidR="0057123E" w:rsidRPr="0057123E">
        <w:rPr>
          <w:lang w:val="en-GB"/>
        </w:rPr>
        <w:t>) = 9.38 min.</w:t>
      </w:r>
      <w:r w:rsidR="009715DD">
        <w:rPr>
          <w:lang w:val="en-GB"/>
        </w:rPr>
        <w:t xml:space="preserve"> </w:t>
      </w:r>
      <w:r w:rsidR="0057123E" w:rsidRPr="0057123E">
        <w:rPr>
          <w:lang w:val="en-GB"/>
        </w:rPr>
        <w:t>[</w:t>
      </w:r>
      <w:r w:rsidR="0057123E" w:rsidRPr="0057123E">
        <w:rPr>
          <w:lang w:val="en-GB"/>
        </w:rPr>
        <w:sym w:font="Symbol" w:char="F061"/>
      </w:r>
      <w:r w:rsidR="0057123E" w:rsidRPr="0057123E">
        <w:rPr>
          <w:lang w:val="en-GB"/>
        </w:rPr>
        <w:t>]</w:t>
      </w:r>
      <w:r w:rsidR="0057123E" w:rsidRPr="0057123E">
        <w:rPr>
          <w:vertAlign w:val="subscript"/>
          <w:lang w:val="en-GB"/>
        </w:rPr>
        <w:t>D</w:t>
      </w:r>
      <w:r w:rsidR="0057123E" w:rsidRPr="0057123E">
        <w:rPr>
          <w:vertAlign w:val="superscript"/>
          <w:lang w:val="en-GB"/>
        </w:rPr>
        <w:t>20</w:t>
      </w:r>
      <w:r w:rsidR="0057123E" w:rsidRPr="0057123E">
        <w:rPr>
          <w:lang w:val="en-GB"/>
        </w:rPr>
        <w:t xml:space="preserve"> (</w:t>
      </w:r>
      <w:r w:rsidR="0057123E" w:rsidRPr="0057123E">
        <w:rPr>
          <w:i/>
          <w:lang w:val="en-GB"/>
        </w:rPr>
        <w:t>S</w:t>
      </w:r>
      <w:r w:rsidR="0057123E" w:rsidRPr="0057123E">
        <w:rPr>
          <w:lang w:val="en-GB"/>
        </w:rPr>
        <w:t>): –206.1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1, C</w:t>
      </w:r>
      <w:r w:rsidR="0057123E" w:rsidRPr="0057123E">
        <w:rPr>
          <w:vertAlign w:val="subscript"/>
          <w:lang w:val="en-GB"/>
        </w:rPr>
        <w:t>6</w:t>
      </w:r>
      <w:r w:rsidR="0057123E" w:rsidRPr="0057123E">
        <w:rPr>
          <w:lang w:val="en-GB"/>
        </w:rPr>
        <w:t>H</w:t>
      </w:r>
      <w:r w:rsidR="0057123E" w:rsidRPr="0057123E">
        <w:rPr>
          <w:vertAlign w:val="subscript"/>
          <w:lang w:val="en-GB"/>
        </w:rPr>
        <w:t>6</w:t>
      </w:r>
      <w:r w:rsidR="0057123E" w:rsidRPr="0057123E">
        <w:rPr>
          <w:lang w:val="en-GB"/>
        </w:rPr>
        <w:t>), Lit. (</w:t>
      </w:r>
      <w:r w:rsidR="0057123E" w:rsidRPr="0057123E">
        <w:rPr>
          <w:i/>
          <w:lang w:val="en-GB"/>
        </w:rPr>
        <w:t>S</w:t>
      </w:r>
      <w:r w:rsidR="0057123E" w:rsidRPr="0057123E">
        <w:rPr>
          <w:lang w:val="en-GB"/>
        </w:rPr>
        <w:t>):</w:t>
      </w:r>
      <w:r w:rsidR="009715DD">
        <w:rPr>
          <w:vertAlign w:val="superscript"/>
          <w:lang w:val="en-GB"/>
        </w:rPr>
        <w:t>11</w:t>
      </w:r>
      <w:r w:rsidR="0057123E" w:rsidRPr="0057123E">
        <w:rPr>
          <w:lang w:val="en-GB"/>
        </w:rPr>
        <w:t xml:space="preserve"> –208 (</w:t>
      </w:r>
      <w:r w:rsidR="0057123E" w:rsidRPr="0057123E">
        <w:rPr>
          <w:i/>
          <w:lang w:val="en-GB"/>
        </w:rPr>
        <w:t>c</w:t>
      </w:r>
      <w:r w:rsidR="0057123E" w:rsidRPr="0057123E">
        <w:rPr>
          <w:lang w:val="en-GB"/>
        </w:rPr>
        <w:t xml:space="preserve"> 1, C</w:t>
      </w:r>
      <w:r w:rsidR="0057123E" w:rsidRPr="0057123E">
        <w:rPr>
          <w:vertAlign w:val="subscript"/>
          <w:lang w:val="en-GB"/>
        </w:rPr>
        <w:t>6</w:t>
      </w:r>
      <w:r w:rsidR="0057123E" w:rsidRPr="0057123E">
        <w:rPr>
          <w:lang w:val="en-GB"/>
        </w:rPr>
        <w:t>H</w:t>
      </w:r>
      <w:r w:rsidR="0057123E" w:rsidRPr="0057123E">
        <w:rPr>
          <w:vertAlign w:val="subscript"/>
          <w:lang w:val="en-GB"/>
        </w:rPr>
        <w:t>6</w:t>
      </w:r>
      <w:r w:rsidR="0057123E" w:rsidRPr="0057123E">
        <w:rPr>
          <w:lang w:val="en-GB"/>
        </w:rPr>
        <w:t>).</w:t>
      </w:r>
    </w:p>
    <w:p w:rsidR="00996663" w:rsidRDefault="00996663" w:rsidP="00996663">
      <w:pPr>
        <w:pStyle w:val="ElsParagraph"/>
        <w:ind w:firstLine="0"/>
        <w:rPr>
          <w:lang w:val="en-GB"/>
        </w:rPr>
      </w:pPr>
    </w:p>
    <w:p w:rsidR="00996663" w:rsidRDefault="00996663" w:rsidP="00996663">
      <w:pPr>
        <w:pStyle w:val="ElsParagraph"/>
        <w:ind w:firstLine="0"/>
        <w:rPr>
          <w:lang w:val="en-GB"/>
        </w:rPr>
      </w:pPr>
    </w:p>
    <w:p w:rsidR="00CB5979" w:rsidRPr="00996663" w:rsidRDefault="00D35436" w:rsidP="00996663">
      <w:pPr>
        <w:pStyle w:val="ElsParagraph"/>
        <w:ind w:firstLine="0"/>
        <w:rPr>
          <w:b/>
          <w:lang w:val="en-GB"/>
        </w:rPr>
      </w:pPr>
      <w:r w:rsidRPr="00996663">
        <w:rPr>
          <w:b/>
        </w:rPr>
        <w:t>4.7</w:t>
      </w:r>
      <w:r w:rsidR="00CB5979" w:rsidRPr="00996663">
        <w:rPr>
          <w:b/>
        </w:rPr>
        <w:t xml:space="preserve">. </w:t>
      </w:r>
      <w:r w:rsidR="0042608F" w:rsidRPr="00996663">
        <w:rPr>
          <w:b/>
        </w:rPr>
        <w:t>Typical procedure for the a</w:t>
      </w:r>
      <w:r w:rsidR="00CB5979" w:rsidRPr="00996663">
        <w:rPr>
          <w:b/>
        </w:rPr>
        <w:t>symmetric deprotonation of prochiral ketones.</w:t>
      </w:r>
    </w:p>
    <w:p w:rsidR="00CB5979" w:rsidRDefault="00CB5979" w:rsidP="0042608F">
      <w:pPr>
        <w:pStyle w:val="ElsParagraph"/>
        <w:ind w:firstLine="0"/>
      </w:pPr>
      <w:r w:rsidRPr="000F02CC">
        <w:t>For example, Table 4, Entry 1: A flame-dried Schlenk tube was cooled, purged with N</w:t>
      </w:r>
      <w:r w:rsidRPr="000F02CC">
        <w:rPr>
          <w:vertAlign w:val="subscript"/>
        </w:rPr>
        <w:t>2</w:t>
      </w:r>
      <w:r w:rsidRPr="000F02CC">
        <w:t xml:space="preserve"> (</w:t>
      </w:r>
      <w:r w:rsidR="0042608F">
        <w:t>x 3</w:t>
      </w:r>
      <w:r w:rsidRPr="000F02CC">
        <w:t xml:space="preserve">), and charged with </w:t>
      </w:r>
      <w:r w:rsidRPr="000F02CC">
        <w:rPr>
          <w:i/>
        </w:rPr>
        <w:t>n</w:t>
      </w:r>
      <w:r w:rsidRPr="000F02CC">
        <w:t>-Bu</w:t>
      </w:r>
      <w:r w:rsidRPr="000F02CC">
        <w:rPr>
          <w:vertAlign w:val="subscript"/>
        </w:rPr>
        <w:t>2</w:t>
      </w:r>
      <w:r w:rsidRPr="000F02CC">
        <w:t>Mg (1 M in heptane, 1 eq</w:t>
      </w:r>
      <w:r w:rsidR="00E72BF2">
        <w:t>uiv</w:t>
      </w:r>
      <w:r w:rsidRPr="000F02CC">
        <w:t xml:space="preserve">., 1 mmol, 1 mL). The heptane was then removed </w:t>
      </w:r>
      <w:r w:rsidRPr="000F02CC">
        <w:rPr>
          <w:i/>
        </w:rPr>
        <w:t>in vacuo</w:t>
      </w:r>
      <w:r w:rsidRPr="000F02CC">
        <w:t xml:space="preserve"> to give a white solid. A solution of aminonaphthol </w:t>
      </w:r>
      <w:r w:rsidRPr="000F02CC">
        <w:rPr>
          <w:b/>
        </w:rPr>
        <w:t>3a</w:t>
      </w:r>
      <w:r w:rsidRPr="000F02CC">
        <w:t xml:space="preserve"> (1 eq</w:t>
      </w:r>
      <w:r w:rsidR="00E72BF2">
        <w:t>uiv</w:t>
      </w:r>
      <w:r w:rsidRPr="000F02CC">
        <w:t xml:space="preserve">., 1 mmol, 353 mg) in dry THF (10 mL) was added and the mixture was stirred for 1 h at room temperature. The mixture was then cooled to –40 </w:t>
      </w:r>
      <w:r w:rsidRPr="000F02CC">
        <w:sym w:font="Symbol" w:char="F0B0"/>
      </w:r>
      <w:r w:rsidRPr="000F02CC">
        <w:t>C before the addition of DMPU (0.5 eq</w:t>
      </w:r>
      <w:r w:rsidR="00E72BF2">
        <w:t>uiv</w:t>
      </w:r>
      <w:r w:rsidRPr="000F02CC">
        <w:t>., 0.5 mmol, 60 μL) and Me</w:t>
      </w:r>
      <w:r w:rsidRPr="000F02CC">
        <w:rPr>
          <w:vertAlign w:val="subscript"/>
        </w:rPr>
        <w:t>3</w:t>
      </w:r>
      <w:r w:rsidRPr="000F02CC">
        <w:t>SiCl (4 eq</w:t>
      </w:r>
      <w:r w:rsidR="00E72BF2">
        <w:t>uiv</w:t>
      </w:r>
      <w:r w:rsidRPr="000F02CC">
        <w:t>., 4 mmol, 0.5 mL). The mixture was stirred for 20 min before the addition of 4-</w:t>
      </w:r>
      <w:r w:rsidRPr="000F02CC">
        <w:rPr>
          <w:i/>
        </w:rPr>
        <w:t>tert</w:t>
      </w:r>
      <w:r w:rsidRPr="000F02CC">
        <w:t xml:space="preserve">-butylcyclohexanone, </w:t>
      </w:r>
      <w:r w:rsidRPr="000F02CC">
        <w:rPr>
          <w:b/>
        </w:rPr>
        <w:t>4a</w:t>
      </w:r>
      <w:r w:rsidRPr="000F02CC">
        <w:t xml:space="preserve"> (0.8 eq</w:t>
      </w:r>
      <w:r w:rsidR="00E72BF2">
        <w:t>uiv</w:t>
      </w:r>
      <w:r w:rsidRPr="000F02CC">
        <w:t xml:space="preserve">., 0.8 mmol, 123 mg) as a solution in THF (2 mL) over 1 h </w:t>
      </w:r>
      <w:r w:rsidRPr="000F02CC">
        <w:rPr>
          <w:i/>
        </w:rPr>
        <w:t>via</w:t>
      </w:r>
      <w:r w:rsidRPr="000F02CC">
        <w:t xml:space="preserve"> syringe pump. The reaction mixture was then stirred at –40 </w:t>
      </w:r>
      <w:r w:rsidRPr="000F02CC">
        <w:sym w:font="Symbol" w:char="F0B0"/>
      </w:r>
      <w:r w:rsidRPr="000F02CC">
        <w:t>C under N</w:t>
      </w:r>
      <w:r w:rsidRPr="000F02CC">
        <w:rPr>
          <w:vertAlign w:val="subscript"/>
        </w:rPr>
        <w:t>2</w:t>
      </w:r>
      <w:r w:rsidRPr="000F02CC">
        <w:t xml:space="preserve"> for 18 h before being quenched with sat. aq. NaHCO</w:t>
      </w:r>
      <w:r w:rsidRPr="000F02CC">
        <w:rPr>
          <w:vertAlign w:val="subscript"/>
        </w:rPr>
        <w:t>3</w:t>
      </w:r>
      <w:r w:rsidRPr="000F02CC">
        <w:t xml:space="preserve"> solution (10 mL). The mixture was allowed to warm to room temperature before being extracted with Et</w:t>
      </w:r>
      <w:r w:rsidRPr="000F02CC">
        <w:rPr>
          <w:vertAlign w:val="subscript"/>
        </w:rPr>
        <w:t>2</w:t>
      </w:r>
      <w:r w:rsidRPr="000F02CC">
        <w:t>O (2</w:t>
      </w:r>
      <w:r w:rsidR="0042608F">
        <w:t xml:space="preserve"> </w:t>
      </w:r>
      <w:r w:rsidRPr="000F02CC">
        <w:t>x</w:t>
      </w:r>
      <w:r w:rsidR="0042608F">
        <w:t xml:space="preserve"> </w:t>
      </w:r>
      <w:r w:rsidRPr="000F02CC">
        <w:t>15 mL). The combined organic extracts were dried (MgSO</w:t>
      </w:r>
      <w:r w:rsidRPr="000F02CC">
        <w:rPr>
          <w:vertAlign w:val="subscript"/>
        </w:rPr>
        <w:t>4</w:t>
      </w:r>
      <w:r w:rsidRPr="000F02CC">
        <w:t xml:space="preserve">) and a representative sample was analysed by achiral G.C. to obtain the ketone to enol silane conversion (87%). The solution was then filtered and concentrated </w:t>
      </w:r>
      <w:r w:rsidRPr="000F02CC">
        <w:rPr>
          <w:i/>
        </w:rPr>
        <w:t>in vacuo</w:t>
      </w:r>
      <w:r w:rsidRPr="000F02CC">
        <w:t xml:space="preserve"> to afford a residue that was purified by column chromatography eluting (1% Et</w:t>
      </w:r>
      <w:r w:rsidRPr="000F02CC">
        <w:rPr>
          <w:vertAlign w:val="subscript"/>
        </w:rPr>
        <w:t>2</w:t>
      </w:r>
      <w:r w:rsidRPr="000F02CC">
        <w:t xml:space="preserve">O/petroleum ether 30-40 </w:t>
      </w:r>
      <w:r w:rsidRPr="000F02CC">
        <w:sym w:font="Symbol" w:char="F0B0"/>
      </w:r>
      <w:r w:rsidRPr="000F02CC">
        <w:t xml:space="preserve">C) to afford </w:t>
      </w:r>
      <w:r w:rsidRPr="000F02CC">
        <w:rPr>
          <w:b/>
        </w:rPr>
        <w:t>5a</w:t>
      </w:r>
      <w:r w:rsidRPr="000F02CC">
        <w:t xml:space="preserve"> as a colourless oil (145 mg, 80%). A representative sample of the product was analysed by chiral G.C. to obtain the enantiomeric ratio (84:16 (</w:t>
      </w:r>
      <w:r w:rsidRPr="000F02CC">
        <w:rPr>
          <w:i/>
        </w:rPr>
        <w:t>S</w:t>
      </w:r>
      <w:r w:rsidRPr="000F02CC">
        <w:t>:</w:t>
      </w:r>
      <w:r w:rsidRPr="000F02CC">
        <w:rPr>
          <w:i/>
        </w:rPr>
        <w:t>R</w:t>
      </w:r>
      <w:r w:rsidRPr="000F02CC">
        <w:t>)).</w:t>
      </w:r>
    </w:p>
    <w:p w:rsidR="0042608F" w:rsidRDefault="002C0BF8" w:rsidP="0042608F">
      <w:pPr>
        <w:pStyle w:val="ElsParagraph"/>
        <w:ind w:firstLine="0"/>
        <w:rPr>
          <w:lang w:val="en-GB"/>
        </w:rPr>
      </w:pPr>
      <w:r w:rsidRPr="00753696">
        <w:rPr>
          <w:lang w:val="en-GB"/>
        </w:rPr>
        <w:t>Achiral G.C. analysis: (i) CP SIL-19CB column; (ii) carrier gas, H</w:t>
      </w:r>
      <w:r w:rsidRPr="00753696">
        <w:rPr>
          <w:vertAlign w:val="subscript"/>
          <w:lang w:val="en-GB"/>
        </w:rPr>
        <w:t>2</w:t>
      </w:r>
      <w:r w:rsidRPr="00753696">
        <w:rPr>
          <w:lang w:val="en-GB"/>
        </w:rPr>
        <w:t xml:space="preserve"> (80 kPa): (i) injector/detector temperature, 200 °C; (ii) initial oven temperature, 45 °C; (iii) temperature gradient, 20 </w:t>
      </w:r>
      <w:r w:rsidRPr="00753696">
        <w:rPr>
          <w:lang w:val="en-GB"/>
        </w:rPr>
        <w:sym w:font="Symbol" w:char="F0B0"/>
      </w:r>
      <w:r w:rsidRPr="00753696">
        <w:rPr>
          <w:lang w:val="en-GB"/>
        </w:rPr>
        <w:t>C min</w:t>
      </w:r>
      <w:r w:rsidRPr="00753696">
        <w:rPr>
          <w:vertAlign w:val="superscript"/>
          <w:lang w:val="en-GB"/>
        </w:rPr>
        <w:t>–1</w:t>
      </w:r>
      <w:r w:rsidRPr="00753696">
        <w:rPr>
          <w:lang w:val="en-GB"/>
        </w:rPr>
        <w:t xml:space="preserve">; (iv) final oven temperature, 190 </w:t>
      </w:r>
      <w:r w:rsidRPr="00753696">
        <w:rPr>
          <w:lang w:val="en-GB"/>
        </w:rPr>
        <w:sym w:font="Symbol" w:char="F0B0"/>
      </w:r>
      <w:r w:rsidRPr="00753696">
        <w:rPr>
          <w:lang w:val="en-GB"/>
        </w:rPr>
        <w:t>C; and (v) detection method, FID.</w:t>
      </w:r>
    </w:p>
    <w:p w:rsidR="002C0BF8" w:rsidRDefault="002C0BF8" w:rsidP="0042608F">
      <w:pPr>
        <w:pStyle w:val="ElsParagraph"/>
        <w:ind w:firstLine="0"/>
        <w:rPr>
          <w:lang w:val="en-GB"/>
        </w:rPr>
      </w:pPr>
      <w:r w:rsidRPr="00753696">
        <w:rPr>
          <w:lang w:val="en-GB"/>
        </w:rPr>
        <w:t>Chiral G.C. analysis: (i) CP Chirasil-DEX CB column; (ii) carrier gas, H</w:t>
      </w:r>
      <w:r w:rsidRPr="00753696">
        <w:rPr>
          <w:vertAlign w:val="subscript"/>
          <w:lang w:val="en-GB"/>
        </w:rPr>
        <w:t>2</w:t>
      </w:r>
      <w:r w:rsidRPr="00753696">
        <w:rPr>
          <w:lang w:val="en-GB"/>
        </w:rPr>
        <w:t xml:space="preserve"> (80 kPa): (i) injector/detector temperature, 200 °C; (ii) initial oven temperature, 70 °C; (iii) temperature gradient, 1.5 </w:t>
      </w:r>
      <w:r w:rsidRPr="00753696">
        <w:rPr>
          <w:lang w:val="en-GB"/>
        </w:rPr>
        <w:sym w:font="Symbol" w:char="F0B0"/>
      </w:r>
      <w:r w:rsidRPr="00753696">
        <w:rPr>
          <w:lang w:val="en-GB"/>
        </w:rPr>
        <w:t>C min</w:t>
      </w:r>
      <w:r w:rsidRPr="00753696">
        <w:rPr>
          <w:vertAlign w:val="superscript"/>
          <w:lang w:val="en-GB"/>
        </w:rPr>
        <w:t>–1</w:t>
      </w:r>
      <w:r w:rsidRPr="00753696">
        <w:rPr>
          <w:lang w:val="en-GB"/>
        </w:rPr>
        <w:t xml:space="preserve">; (iv) final oven temperature, 120 </w:t>
      </w:r>
      <w:r w:rsidRPr="00753696">
        <w:rPr>
          <w:lang w:val="en-GB"/>
        </w:rPr>
        <w:sym w:font="Symbol" w:char="F0B0"/>
      </w:r>
      <w:r w:rsidRPr="00753696">
        <w:rPr>
          <w:lang w:val="en-GB"/>
        </w:rPr>
        <w:t>C; and (v) detection method, FID.</w:t>
      </w:r>
    </w:p>
    <w:p w:rsidR="0042608F" w:rsidRPr="00D35436" w:rsidRDefault="00D35436" w:rsidP="00D35436">
      <w:pPr>
        <w:pStyle w:val="ElsParagraph"/>
        <w:ind w:firstLine="0"/>
        <w:rPr>
          <w:lang w:val="en-GB"/>
        </w:rPr>
      </w:pPr>
      <w:r>
        <w:rPr>
          <w:i/>
          <w:lang w:val="en-GB"/>
        </w:rPr>
        <w:t>4.7</w:t>
      </w:r>
      <w:r w:rsidR="00D6293D" w:rsidRPr="00D6293D">
        <w:rPr>
          <w:i/>
          <w:lang w:val="en-GB"/>
        </w:rPr>
        <w:t xml:space="preserve">.1 </w:t>
      </w:r>
      <w:r w:rsidR="0042608F" w:rsidRPr="00D6293D">
        <w:rPr>
          <w:i/>
          <w:lang w:val="en-GB"/>
        </w:rPr>
        <w:t>4-tert-Butyl-1-trimethylsilyloxy-1-cyclohexene</w:t>
      </w:r>
      <w:r w:rsidR="00D6293D" w:rsidRPr="00D6293D">
        <w:rPr>
          <w:i/>
          <w:lang w:val="en-GB"/>
        </w:rPr>
        <w:t xml:space="preserve"> </w:t>
      </w:r>
      <w:r w:rsidR="00D6293D" w:rsidRPr="00D6293D">
        <w:rPr>
          <w:b/>
          <w:i/>
          <w:lang w:val="en-GB"/>
        </w:rPr>
        <w:t>5a</w:t>
      </w:r>
      <w:r w:rsidR="00D6293D" w:rsidRPr="00D6293D">
        <w:rPr>
          <w:i/>
          <w:lang w:val="en-GB"/>
        </w:rPr>
        <w:t>.</w:t>
      </w:r>
      <w:r>
        <w:rPr>
          <w:vertAlign w:val="superscript"/>
          <w:lang w:val="en-GB"/>
        </w:rPr>
        <w:t>12</w:t>
      </w:r>
      <w:r w:rsidR="0042608F" w:rsidRPr="0042608F">
        <w:rPr>
          <w:vertAlign w:val="superscript"/>
          <w:lang w:val="en-GB"/>
        </w:rPr>
        <w:t>-1</w:t>
      </w:r>
      <w:r>
        <w:rPr>
          <w:vertAlign w:val="superscript"/>
          <w:lang w:val="en-GB"/>
        </w:rPr>
        <w:t>6</w:t>
      </w:r>
      <w:r>
        <w:rPr>
          <w:lang w:val="en-GB"/>
        </w:rPr>
        <w:t xml:space="preserve"> </w:t>
      </w:r>
      <w:r w:rsidR="0042608F" w:rsidRPr="0042608F">
        <w:rPr>
          <w:lang w:val="en-GB"/>
        </w:rPr>
        <w:sym w:font="Symbol" w:char="F06E"/>
      </w:r>
      <w:r w:rsidR="0042608F" w:rsidRPr="0042608F">
        <w:rPr>
          <w:vertAlign w:val="subscript"/>
          <w:lang w:val="en-GB"/>
        </w:rPr>
        <w:t>max</w:t>
      </w:r>
      <w:r w:rsidR="0042608F" w:rsidRPr="0042608F">
        <w:rPr>
          <w:lang w:val="en-GB"/>
        </w:rPr>
        <w:t xml:space="preserve"> (KBr): 1674 cm</w:t>
      </w:r>
      <w:r w:rsidR="0042608F" w:rsidRPr="0042608F">
        <w:rPr>
          <w:vertAlign w:val="superscript"/>
          <w:lang w:val="en-GB"/>
        </w:rPr>
        <w:t>–1</w:t>
      </w:r>
      <w:r>
        <w:rPr>
          <w:lang w:val="en-GB"/>
        </w:rPr>
        <w:t xml:space="preserve">. </w:t>
      </w:r>
      <w:r w:rsidR="0042608F" w:rsidRPr="0042608F">
        <w:rPr>
          <w:vertAlign w:val="superscript"/>
          <w:lang w:val="en-GB"/>
        </w:rPr>
        <w:t>1</w:t>
      </w:r>
      <w:r w:rsidR="0042608F" w:rsidRPr="0042608F">
        <w:rPr>
          <w:lang w:val="en-GB"/>
        </w:rPr>
        <w:t>H NMR (400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>: 0.19 (s, 9H), 0.90 (s, 9H), 1.21-1.29 (m, 2H), 1.78-1.85 (m, 2H), 1.98-2.09 (m, 3H), 4.84-4.86 (m, 1H).</w:t>
      </w:r>
      <w:r>
        <w:rPr>
          <w:lang w:val="en-GB"/>
        </w:rPr>
        <w:t xml:space="preserve"> </w:t>
      </w:r>
      <w:r w:rsidR="0042608F" w:rsidRPr="0042608F">
        <w:rPr>
          <w:vertAlign w:val="superscript"/>
          <w:lang w:val="en-GB"/>
        </w:rPr>
        <w:t>13</w:t>
      </w:r>
      <w:r w:rsidR="0042608F" w:rsidRPr="0042608F">
        <w:rPr>
          <w:lang w:val="en-GB"/>
        </w:rPr>
        <w:t>C NMR (100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>: 0.13, 24.7, 26.9, 27.0, 30.7, 31.</w:t>
      </w:r>
      <w:r>
        <w:rPr>
          <w:lang w:val="en-GB"/>
        </w:rPr>
        <w:t xml:space="preserve">8, 43.8, 103.6, 149.9. </w:t>
      </w:r>
      <w:r w:rsidR="0042608F" w:rsidRPr="0042608F">
        <w:t xml:space="preserve">Achiral G.C. analysis: </w:t>
      </w:r>
      <w:r w:rsidR="0042608F" w:rsidRPr="0042608F">
        <w:rPr>
          <w:lang w:val="en-GB"/>
        </w:rPr>
        <w:t>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>
        <w:rPr>
          <w:b/>
          <w:lang w:val="en-GB"/>
        </w:rPr>
        <w:t>4</w:t>
      </w:r>
      <w:r w:rsidR="0042608F" w:rsidRPr="0042608F">
        <w:rPr>
          <w:b/>
          <w:lang w:val="en-GB"/>
        </w:rPr>
        <w:t>a</w:t>
      </w:r>
      <w:r w:rsidR="0042608F" w:rsidRPr="0042608F">
        <w:rPr>
          <w:lang w:val="en-GB"/>
        </w:rPr>
        <w:t>) = 5.27 min, 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>
        <w:rPr>
          <w:b/>
          <w:lang w:val="en-GB"/>
        </w:rPr>
        <w:t>5</w:t>
      </w:r>
      <w:r w:rsidR="0042608F" w:rsidRPr="0042608F">
        <w:rPr>
          <w:b/>
          <w:lang w:val="en-GB"/>
        </w:rPr>
        <w:t>a</w:t>
      </w:r>
      <w:r w:rsidR="0042608F" w:rsidRPr="0042608F">
        <w:rPr>
          <w:lang w:val="en-GB"/>
        </w:rPr>
        <w:t>) = 5.49 min.</w:t>
      </w:r>
      <w:r>
        <w:rPr>
          <w:lang w:val="en-GB"/>
        </w:rPr>
        <w:t xml:space="preserve"> </w:t>
      </w:r>
      <w:r w:rsidR="0042608F" w:rsidRPr="0042608F">
        <w:t>Chiral G.C. analysis: t</w:t>
      </w:r>
      <w:r w:rsidR="0042608F" w:rsidRPr="0042608F">
        <w:rPr>
          <w:vertAlign w:val="subscript"/>
        </w:rPr>
        <w:t>R</w:t>
      </w:r>
      <w:r w:rsidR="0042608F" w:rsidRPr="0042608F">
        <w:t xml:space="preserve"> ((</w:t>
      </w:r>
      <w:r w:rsidR="0042608F" w:rsidRPr="0042608F">
        <w:rPr>
          <w:i/>
        </w:rPr>
        <w:t>S</w:t>
      </w:r>
      <w:r w:rsidR="0042608F" w:rsidRPr="0042608F">
        <w:t>)-</w:t>
      </w:r>
      <w:r>
        <w:rPr>
          <w:b/>
        </w:rPr>
        <w:t>5</w:t>
      </w:r>
      <w:r w:rsidR="0042608F" w:rsidRPr="0042608F">
        <w:rPr>
          <w:b/>
        </w:rPr>
        <w:t>a</w:t>
      </w:r>
      <w:r w:rsidR="0042608F" w:rsidRPr="0042608F">
        <w:t>) = 25.67 min, t</w:t>
      </w:r>
      <w:r w:rsidR="0042608F" w:rsidRPr="0042608F">
        <w:rPr>
          <w:vertAlign w:val="subscript"/>
        </w:rPr>
        <w:t>R</w:t>
      </w:r>
      <w:r w:rsidR="0042608F" w:rsidRPr="0042608F">
        <w:t xml:space="preserve"> ((</w:t>
      </w:r>
      <w:r w:rsidR="0042608F" w:rsidRPr="0042608F">
        <w:rPr>
          <w:i/>
        </w:rPr>
        <w:t>R</w:t>
      </w:r>
      <w:r w:rsidR="0042608F" w:rsidRPr="0042608F">
        <w:t>)-</w:t>
      </w:r>
      <w:r>
        <w:rPr>
          <w:b/>
        </w:rPr>
        <w:t>5</w:t>
      </w:r>
      <w:r w:rsidR="0042608F" w:rsidRPr="0042608F">
        <w:rPr>
          <w:b/>
        </w:rPr>
        <w:t>a</w:t>
      </w:r>
      <w:r w:rsidR="0042608F" w:rsidRPr="0042608F">
        <w:t>) = 25.95 min.</w:t>
      </w:r>
    </w:p>
    <w:p w:rsidR="00CD3598" w:rsidRDefault="00D35436" w:rsidP="00CD3598">
      <w:pPr>
        <w:pStyle w:val="ElsParagraph"/>
        <w:ind w:firstLine="0"/>
        <w:rPr>
          <w:b/>
          <w:lang w:val="en-GB"/>
        </w:rPr>
      </w:pPr>
      <w:r w:rsidRPr="00D35436">
        <w:rPr>
          <w:i/>
          <w:lang w:val="en-GB"/>
        </w:rPr>
        <w:t xml:space="preserve">4.7.2 </w:t>
      </w:r>
      <w:r w:rsidR="0042608F" w:rsidRPr="00D35436">
        <w:rPr>
          <w:i/>
          <w:lang w:val="en-GB"/>
        </w:rPr>
        <w:t>4-n-Propyl-1-trimethylsilyloxy-1-cyclohexene</w:t>
      </w:r>
      <w:r w:rsidRPr="00D35436">
        <w:rPr>
          <w:b/>
          <w:i/>
          <w:lang w:val="en-GB"/>
        </w:rPr>
        <w:t xml:space="preserve"> 5b</w:t>
      </w:r>
      <w:r w:rsidRPr="00D35436">
        <w:rPr>
          <w:lang w:val="en-GB"/>
        </w:rPr>
        <w:t>.</w:t>
      </w:r>
      <w:r>
        <w:rPr>
          <w:vertAlign w:val="superscript"/>
          <w:lang w:val="en-GB"/>
        </w:rPr>
        <w:t>12</w:t>
      </w:r>
      <w:r>
        <w:rPr>
          <w:b/>
          <w:lang w:val="en-GB"/>
        </w:rPr>
        <w:t xml:space="preserve"> </w:t>
      </w:r>
      <w:r w:rsidR="0042608F" w:rsidRPr="0042608F">
        <w:rPr>
          <w:lang w:val="en-GB"/>
        </w:rPr>
        <w:sym w:font="Symbol" w:char="F06E"/>
      </w:r>
      <w:r w:rsidR="0042608F" w:rsidRPr="0042608F">
        <w:rPr>
          <w:vertAlign w:val="subscript"/>
          <w:lang w:val="en-GB"/>
        </w:rPr>
        <w:t>max</w:t>
      </w:r>
      <w:r w:rsidR="0042608F" w:rsidRPr="0042608F">
        <w:rPr>
          <w:lang w:val="en-GB"/>
        </w:rPr>
        <w:t xml:space="preserve"> (KBr): 1671 cm</w:t>
      </w:r>
      <w:r w:rsidR="0042608F" w:rsidRPr="0042608F">
        <w:rPr>
          <w:vertAlign w:val="superscript"/>
          <w:lang w:val="en-GB"/>
        </w:rPr>
        <w:t>–1</w:t>
      </w:r>
      <w:r w:rsidR="0042608F" w:rsidRPr="0042608F">
        <w:rPr>
          <w:lang w:val="en-GB"/>
        </w:rPr>
        <w:t xml:space="preserve">. </w:t>
      </w:r>
      <w:r w:rsidR="0042608F" w:rsidRPr="0042608F">
        <w:rPr>
          <w:vertAlign w:val="superscript"/>
          <w:lang w:val="en-GB"/>
        </w:rPr>
        <w:t>1</w:t>
      </w:r>
      <w:r w:rsidR="0042608F" w:rsidRPr="0042608F">
        <w:rPr>
          <w:lang w:val="en-GB"/>
        </w:rPr>
        <w:t>H NMR (400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 xml:space="preserve">: 0.19 (s, 9H), 0.90 (t, 3H, </w:t>
      </w:r>
      <w:r w:rsidR="0042608F" w:rsidRPr="0042608F">
        <w:rPr>
          <w:i/>
          <w:iCs/>
          <w:lang w:val="en-GB"/>
        </w:rPr>
        <w:t xml:space="preserve">J </w:t>
      </w:r>
      <w:r w:rsidR="0042608F" w:rsidRPr="0042608F">
        <w:rPr>
          <w:lang w:val="en-GB"/>
        </w:rPr>
        <w:t xml:space="preserve">= 7.1 Hz), 1.20-1.39 (m, 5H), 1.40-1.51 (m, 1H), 1.61-1.79 (m, 2H), 1.92-2.00 (m, 1H), 2.01-2.14 (m, 2H), 4.81-4.85 (m, 1H). </w:t>
      </w:r>
      <w:r w:rsidR="0042608F" w:rsidRPr="0042608F">
        <w:rPr>
          <w:vertAlign w:val="superscript"/>
          <w:lang w:val="en-GB"/>
        </w:rPr>
        <w:t>13</w:t>
      </w:r>
      <w:r w:rsidR="0042608F" w:rsidRPr="0042608F">
        <w:rPr>
          <w:lang w:val="en-GB"/>
        </w:rPr>
        <w:t>C NMR (100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>: 0.43, 14.5, 20.4, 29.4, 29.8, 30.5, 33.1, 38.4, 103.7, 150.3.</w:t>
      </w:r>
      <w:r>
        <w:rPr>
          <w:b/>
          <w:lang w:val="en-GB"/>
        </w:rPr>
        <w:t xml:space="preserve"> </w:t>
      </w:r>
      <w:r w:rsidR="0042608F" w:rsidRPr="0042608F">
        <w:t xml:space="preserve">Achiral G.C. analysis: </w:t>
      </w:r>
      <w:r w:rsidR="0042608F" w:rsidRPr="0042608F">
        <w:rPr>
          <w:lang w:val="en-GB"/>
        </w:rPr>
        <w:t>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>
        <w:rPr>
          <w:b/>
          <w:lang w:val="en-GB"/>
        </w:rPr>
        <w:t>4</w:t>
      </w:r>
      <w:r w:rsidR="0042608F" w:rsidRPr="0042608F">
        <w:rPr>
          <w:b/>
          <w:lang w:val="en-GB"/>
        </w:rPr>
        <w:t>b</w:t>
      </w:r>
      <w:r w:rsidR="0042608F" w:rsidRPr="0042608F">
        <w:rPr>
          <w:lang w:val="en-GB"/>
        </w:rPr>
        <w:t>) = 4.75 min, 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>
        <w:rPr>
          <w:b/>
          <w:lang w:val="en-GB"/>
        </w:rPr>
        <w:t>5</w:t>
      </w:r>
      <w:r w:rsidR="0042608F" w:rsidRPr="0042608F">
        <w:rPr>
          <w:b/>
          <w:lang w:val="en-GB"/>
        </w:rPr>
        <w:t>b</w:t>
      </w:r>
      <w:r w:rsidR="0042608F" w:rsidRPr="0042608F">
        <w:rPr>
          <w:lang w:val="en-GB"/>
        </w:rPr>
        <w:t>) = 5.03 min.</w:t>
      </w:r>
      <w:r>
        <w:rPr>
          <w:b/>
          <w:lang w:val="en-GB"/>
        </w:rPr>
        <w:t xml:space="preserve"> </w:t>
      </w:r>
      <w:r w:rsidR="0042608F" w:rsidRPr="0042608F">
        <w:t>Chiral G.C. analysis: t</w:t>
      </w:r>
      <w:r w:rsidR="0042608F" w:rsidRPr="0042608F">
        <w:rPr>
          <w:vertAlign w:val="subscript"/>
        </w:rPr>
        <w:t>R</w:t>
      </w:r>
      <w:r w:rsidR="0042608F" w:rsidRPr="0042608F">
        <w:t xml:space="preserve"> ((</w:t>
      </w:r>
      <w:r w:rsidR="0042608F" w:rsidRPr="0042608F">
        <w:rPr>
          <w:i/>
        </w:rPr>
        <w:t>S</w:t>
      </w:r>
      <w:r w:rsidR="0042608F" w:rsidRPr="0042608F">
        <w:t>)-</w:t>
      </w:r>
      <w:r>
        <w:rPr>
          <w:b/>
        </w:rPr>
        <w:t>5</w:t>
      </w:r>
      <w:r w:rsidR="0042608F" w:rsidRPr="0042608F">
        <w:rPr>
          <w:b/>
        </w:rPr>
        <w:t>b</w:t>
      </w:r>
      <w:r w:rsidR="0042608F" w:rsidRPr="0042608F">
        <w:t>) = 20.53 min, t</w:t>
      </w:r>
      <w:r w:rsidR="0042608F" w:rsidRPr="0042608F">
        <w:rPr>
          <w:vertAlign w:val="subscript"/>
        </w:rPr>
        <w:t>R</w:t>
      </w:r>
      <w:r w:rsidR="0042608F" w:rsidRPr="0042608F">
        <w:t xml:space="preserve"> ((</w:t>
      </w:r>
      <w:r w:rsidR="0042608F" w:rsidRPr="0042608F">
        <w:rPr>
          <w:i/>
        </w:rPr>
        <w:t>R</w:t>
      </w:r>
      <w:r w:rsidR="0042608F" w:rsidRPr="0042608F">
        <w:t>)-</w:t>
      </w:r>
      <w:r>
        <w:rPr>
          <w:b/>
        </w:rPr>
        <w:t>5</w:t>
      </w:r>
      <w:r w:rsidR="0042608F" w:rsidRPr="0042608F">
        <w:rPr>
          <w:b/>
        </w:rPr>
        <w:t>b</w:t>
      </w:r>
      <w:r w:rsidR="0042608F" w:rsidRPr="0042608F">
        <w:t>) = 20.85 min.</w:t>
      </w:r>
    </w:p>
    <w:p w:rsidR="0042608F" w:rsidRPr="00FF699A" w:rsidRDefault="00CD3598" w:rsidP="00FF699A">
      <w:pPr>
        <w:pStyle w:val="ElsParagraph"/>
        <w:ind w:firstLine="0"/>
        <w:rPr>
          <w:b/>
          <w:lang w:val="en-GB"/>
        </w:rPr>
      </w:pPr>
      <w:r w:rsidRPr="00CD3598">
        <w:rPr>
          <w:i/>
          <w:lang w:val="en-GB"/>
        </w:rPr>
        <w:t>4.7.3 4-Methyl</w:t>
      </w:r>
      <w:r w:rsidR="0042608F" w:rsidRPr="00CD3598">
        <w:rPr>
          <w:i/>
          <w:lang w:val="en-GB"/>
        </w:rPr>
        <w:t>-1-trimethylsilyloxy-1-cyclohexene</w:t>
      </w:r>
      <w:r w:rsidRPr="00CD3598">
        <w:rPr>
          <w:i/>
          <w:vertAlign w:val="superscript"/>
          <w:lang w:val="en-GB"/>
        </w:rPr>
        <w:t xml:space="preserve"> </w:t>
      </w:r>
      <w:r w:rsidRPr="00CD3598">
        <w:rPr>
          <w:b/>
          <w:i/>
          <w:lang w:val="en-GB"/>
        </w:rPr>
        <w:t>5c</w:t>
      </w:r>
      <w:r>
        <w:rPr>
          <w:lang w:val="en-GB"/>
        </w:rPr>
        <w:t>.</w:t>
      </w:r>
      <w:r>
        <w:rPr>
          <w:vertAlign w:val="superscript"/>
          <w:lang w:val="en-GB"/>
        </w:rPr>
        <w:t>12-16</w:t>
      </w:r>
      <w:r w:rsidR="00FF699A">
        <w:rPr>
          <w:b/>
          <w:lang w:val="en-GB"/>
        </w:rPr>
        <w:t xml:space="preserve"> </w:t>
      </w:r>
      <w:r w:rsidR="0042608F" w:rsidRPr="0042608F">
        <w:rPr>
          <w:lang w:val="en-GB"/>
        </w:rPr>
        <w:sym w:font="Symbol" w:char="F06E"/>
      </w:r>
      <w:r w:rsidR="0042608F" w:rsidRPr="0042608F">
        <w:rPr>
          <w:vertAlign w:val="subscript"/>
          <w:lang w:val="en-GB"/>
        </w:rPr>
        <w:t>max</w:t>
      </w:r>
      <w:r w:rsidR="0042608F" w:rsidRPr="0042608F">
        <w:rPr>
          <w:lang w:val="en-GB"/>
        </w:rPr>
        <w:t xml:space="preserve"> (CH</w:t>
      </w:r>
      <w:r w:rsidR="0042608F" w:rsidRPr="0042608F">
        <w:rPr>
          <w:vertAlign w:val="subscript"/>
          <w:lang w:val="en-GB"/>
        </w:rPr>
        <w:t>2</w:t>
      </w:r>
      <w:r w:rsidR="0042608F" w:rsidRPr="0042608F">
        <w:rPr>
          <w:lang w:val="en-GB"/>
        </w:rPr>
        <w:t>Cl</w:t>
      </w:r>
      <w:r w:rsidR="0042608F" w:rsidRPr="0042608F">
        <w:rPr>
          <w:vertAlign w:val="subscript"/>
          <w:lang w:val="en-GB"/>
        </w:rPr>
        <w:t>2</w:t>
      </w:r>
      <w:r w:rsidR="0042608F" w:rsidRPr="0042608F">
        <w:rPr>
          <w:lang w:val="en-GB"/>
        </w:rPr>
        <w:t>): 1668 cm</w:t>
      </w:r>
      <w:r w:rsidR="0042608F" w:rsidRPr="0042608F">
        <w:rPr>
          <w:vertAlign w:val="superscript"/>
          <w:lang w:val="en-GB"/>
        </w:rPr>
        <w:t>–1</w:t>
      </w:r>
      <w:r w:rsidR="0042608F" w:rsidRPr="0042608F">
        <w:rPr>
          <w:lang w:val="en-GB"/>
        </w:rPr>
        <w:t xml:space="preserve">. </w:t>
      </w:r>
      <w:r w:rsidR="0042608F" w:rsidRPr="0042608F">
        <w:rPr>
          <w:vertAlign w:val="superscript"/>
          <w:lang w:val="en-GB"/>
        </w:rPr>
        <w:t>1</w:t>
      </w:r>
      <w:r w:rsidR="0042608F" w:rsidRPr="0042608F">
        <w:rPr>
          <w:lang w:val="en-GB"/>
        </w:rPr>
        <w:t>H NMR (400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 xml:space="preserve">: 0.18 (s, 9H), 0.95 (d, 3H, </w:t>
      </w:r>
      <w:r w:rsidR="0042608F" w:rsidRPr="0042608F">
        <w:rPr>
          <w:i/>
          <w:iCs/>
          <w:lang w:val="en-GB"/>
        </w:rPr>
        <w:t>J</w:t>
      </w:r>
      <w:r w:rsidR="0042608F" w:rsidRPr="0042608F">
        <w:rPr>
          <w:lang w:val="en-GB"/>
        </w:rPr>
        <w:t xml:space="preserve"> = 6.3 Hz), 1.25-1.37 (m, 2H), 1.57-1.73 (m, 3H), 1.92-2.15 (m, 2H), 4.81-4.85 (m, 1H).</w:t>
      </w:r>
      <w:r w:rsidR="0042608F" w:rsidRPr="0042608F">
        <w:rPr>
          <w:vertAlign w:val="superscript"/>
          <w:lang w:val="en-GB"/>
        </w:rPr>
        <w:t xml:space="preserve"> </w:t>
      </w:r>
      <w:r w:rsidR="0042608F" w:rsidRPr="0042608F">
        <w:rPr>
          <w:vertAlign w:val="superscript"/>
          <w:lang w:val="sv-SE"/>
        </w:rPr>
        <w:t>13</w:t>
      </w:r>
      <w:r w:rsidR="0042608F" w:rsidRPr="0042608F">
        <w:rPr>
          <w:lang w:val="sv-SE"/>
        </w:rPr>
        <w:t>C NMR (100 MHz, CDCl</w:t>
      </w:r>
      <w:r w:rsidR="0042608F" w:rsidRPr="0042608F">
        <w:rPr>
          <w:vertAlign w:val="subscript"/>
          <w:lang w:val="sv-SE"/>
        </w:rPr>
        <w:t>3</w:t>
      </w:r>
      <w:r w:rsidR="0042608F" w:rsidRPr="0042608F">
        <w:rPr>
          <w:lang w:val="sv-SE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sv-SE"/>
        </w:rPr>
        <w:t>: 0.40, 21.3, 28.4, 29.7, 31.4, 32.4, 103.7, 150.2.</w:t>
      </w:r>
      <w:r w:rsidR="00FF699A">
        <w:rPr>
          <w:b/>
          <w:lang w:val="en-GB"/>
        </w:rPr>
        <w:t xml:space="preserve"> </w:t>
      </w:r>
      <w:r w:rsidR="0042608F" w:rsidRPr="0042608F">
        <w:rPr>
          <w:lang w:val="sv-SE"/>
        </w:rPr>
        <w:t>Achiral G.C. analysis: t</w:t>
      </w:r>
      <w:r w:rsidR="0042608F" w:rsidRPr="0042608F">
        <w:rPr>
          <w:vertAlign w:val="subscript"/>
          <w:lang w:val="sv-SE"/>
        </w:rPr>
        <w:t>R</w:t>
      </w:r>
      <w:r w:rsidR="0042608F" w:rsidRPr="0042608F">
        <w:rPr>
          <w:lang w:val="sv-SE"/>
        </w:rPr>
        <w:t xml:space="preserve"> (</w:t>
      </w:r>
      <w:r w:rsidR="00FF699A">
        <w:rPr>
          <w:b/>
          <w:lang w:val="sv-SE"/>
        </w:rPr>
        <w:t>4c</w:t>
      </w:r>
      <w:r w:rsidR="0042608F" w:rsidRPr="0042608F">
        <w:rPr>
          <w:lang w:val="sv-SE"/>
        </w:rPr>
        <w:t>) = 3.07 min, t</w:t>
      </w:r>
      <w:r w:rsidR="0042608F" w:rsidRPr="0042608F">
        <w:rPr>
          <w:vertAlign w:val="subscript"/>
          <w:lang w:val="sv-SE"/>
        </w:rPr>
        <w:t>R</w:t>
      </w:r>
      <w:r w:rsidR="0042608F" w:rsidRPr="0042608F">
        <w:rPr>
          <w:lang w:val="sv-SE"/>
        </w:rPr>
        <w:t xml:space="preserve"> (</w:t>
      </w:r>
      <w:r w:rsidR="00FF699A">
        <w:rPr>
          <w:b/>
          <w:lang w:val="sv-SE"/>
        </w:rPr>
        <w:t>5c</w:t>
      </w:r>
      <w:r w:rsidR="00FF699A">
        <w:rPr>
          <w:lang w:val="sv-SE"/>
        </w:rPr>
        <w:t xml:space="preserve">) = 3.57 min. </w:t>
      </w:r>
      <w:r w:rsidR="0042608F" w:rsidRPr="0042608F">
        <w:rPr>
          <w:lang w:val="sv-SE"/>
        </w:rPr>
        <w:t>Chiral G.C. analysis: t</w:t>
      </w:r>
      <w:r w:rsidR="0042608F" w:rsidRPr="0042608F">
        <w:rPr>
          <w:vertAlign w:val="subscript"/>
          <w:lang w:val="sv-SE"/>
        </w:rPr>
        <w:t>R</w:t>
      </w:r>
      <w:r w:rsidR="0042608F" w:rsidRPr="0042608F">
        <w:rPr>
          <w:lang w:val="sv-SE"/>
        </w:rPr>
        <w:t xml:space="preserve"> ((</w:t>
      </w:r>
      <w:r w:rsidR="0042608F" w:rsidRPr="0042608F">
        <w:rPr>
          <w:i/>
          <w:lang w:val="sv-SE"/>
        </w:rPr>
        <w:t>S</w:t>
      </w:r>
      <w:r w:rsidR="0042608F" w:rsidRPr="0042608F">
        <w:rPr>
          <w:lang w:val="sv-SE"/>
        </w:rPr>
        <w:t>)-</w:t>
      </w:r>
      <w:r w:rsidR="00FF699A">
        <w:rPr>
          <w:b/>
          <w:lang w:val="sv-SE"/>
        </w:rPr>
        <w:t>5c</w:t>
      </w:r>
      <w:r w:rsidR="0042608F" w:rsidRPr="0042608F">
        <w:rPr>
          <w:lang w:val="sv-SE"/>
        </w:rPr>
        <w:t>) = 9.23 min, t</w:t>
      </w:r>
      <w:r w:rsidR="0042608F" w:rsidRPr="0042608F">
        <w:rPr>
          <w:vertAlign w:val="subscript"/>
          <w:lang w:val="sv-SE"/>
        </w:rPr>
        <w:t>R</w:t>
      </w:r>
      <w:r w:rsidR="0042608F" w:rsidRPr="0042608F">
        <w:rPr>
          <w:lang w:val="sv-SE"/>
        </w:rPr>
        <w:t xml:space="preserve"> ((</w:t>
      </w:r>
      <w:r w:rsidR="0042608F" w:rsidRPr="0042608F">
        <w:rPr>
          <w:i/>
          <w:lang w:val="sv-SE"/>
        </w:rPr>
        <w:t>R</w:t>
      </w:r>
      <w:r w:rsidR="0042608F" w:rsidRPr="0042608F">
        <w:rPr>
          <w:lang w:val="sv-SE"/>
        </w:rPr>
        <w:t>)-</w:t>
      </w:r>
      <w:r w:rsidR="00FF699A">
        <w:rPr>
          <w:b/>
          <w:lang w:val="sv-SE"/>
        </w:rPr>
        <w:t>5c</w:t>
      </w:r>
      <w:r w:rsidR="0042608F" w:rsidRPr="0042608F">
        <w:rPr>
          <w:lang w:val="sv-SE"/>
        </w:rPr>
        <w:t>) = 9.40 min.</w:t>
      </w:r>
    </w:p>
    <w:p w:rsidR="00FF699A" w:rsidRDefault="00FF699A" w:rsidP="00FF699A">
      <w:pPr>
        <w:pStyle w:val="ElsParagraph"/>
        <w:ind w:firstLine="0"/>
        <w:rPr>
          <w:lang w:val="en-GB"/>
        </w:rPr>
      </w:pPr>
      <w:r w:rsidRPr="00FF699A">
        <w:rPr>
          <w:i/>
          <w:lang w:val="en-GB"/>
        </w:rPr>
        <w:t xml:space="preserve">4.7.4 </w:t>
      </w:r>
      <w:r w:rsidR="0042608F" w:rsidRPr="00FF699A">
        <w:rPr>
          <w:i/>
          <w:lang w:val="en-GB"/>
        </w:rPr>
        <w:t>4-Phenyl-1-trimethylsilyloxy-1-cyclohexene</w:t>
      </w:r>
      <w:r>
        <w:rPr>
          <w:b/>
          <w:lang w:val="en-GB"/>
        </w:rPr>
        <w:t xml:space="preserve"> </w:t>
      </w:r>
      <w:r w:rsidRPr="00FF699A">
        <w:rPr>
          <w:b/>
          <w:lang w:val="en-GB"/>
        </w:rPr>
        <w:t>5d</w:t>
      </w:r>
      <w:r>
        <w:rPr>
          <w:lang w:val="en-GB"/>
        </w:rPr>
        <w:t>.</w:t>
      </w:r>
      <w:r>
        <w:rPr>
          <w:vertAlign w:val="superscript"/>
          <w:lang w:val="en-GB"/>
        </w:rPr>
        <w:t>12,13,16</w:t>
      </w:r>
      <w:r>
        <w:rPr>
          <w:lang w:val="en-GB"/>
        </w:rPr>
        <w:t xml:space="preserve"> </w:t>
      </w:r>
      <w:r w:rsidR="0042608F" w:rsidRPr="0042608F">
        <w:rPr>
          <w:lang w:val="en-GB"/>
        </w:rPr>
        <w:sym w:font="Symbol" w:char="F06E"/>
      </w:r>
      <w:r w:rsidR="0042608F" w:rsidRPr="0042608F">
        <w:rPr>
          <w:vertAlign w:val="subscript"/>
          <w:lang w:val="en-GB"/>
        </w:rPr>
        <w:t>max</w:t>
      </w:r>
      <w:r w:rsidR="0042608F" w:rsidRPr="0042608F">
        <w:rPr>
          <w:lang w:val="en-GB"/>
        </w:rPr>
        <w:t xml:space="preserve"> (CH</w:t>
      </w:r>
      <w:r w:rsidR="0042608F" w:rsidRPr="0042608F">
        <w:rPr>
          <w:vertAlign w:val="subscript"/>
          <w:lang w:val="en-GB"/>
        </w:rPr>
        <w:t>2</w:t>
      </w:r>
      <w:r w:rsidR="0042608F" w:rsidRPr="0042608F">
        <w:rPr>
          <w:lang w:val="en-GB"/>
        </w:rPr>
        <w:t>Cl</w:t>
      </w:r>
      <w:r w:rsidR="0042608F" w:rsidRPr="0042608F">
        <w:rPr>
          <w:vertAlign w:val="subscript"/>
          <w:lang w:val="en-GB"/>
        </w:rPr>
        <w:t>2</w:t>
      </w:r>
      <w:r w:rsidR="0042608F" w:rsidRPr="0042608F">
        <w:rPr>
          <w:lang w:val="en-GB"/>
        </w:rPr>
        <w:t>): 1670 cm</w:t>
      </w:r>
      <w:r w:rsidR="0042608F" w:rsidRPr="0042608F">
        <w:rPr>
          <w:vertAlign w:val="superscript"/>
          <w:lang w:val="en-GB"/>
        </w:rPr>
        <w:t>–1</w:t>
      </w:r>
      <w:r w:rsidR="0042608F" w:rsidRPr="0042608F">
        <w:rPr>
          <w:lang w:val="en-GB"/>
        </w:rPr>
        <w:t xml:space="preserve">. </w:t>
      </w:r>
      <w:r w:rsidR="0042608F" w:rsidRPr="0042608F">
        <w:rPr>
          <w:vertAlign w:val="superscript"/>
          <w:lang w:val="en-GB"/>
        </w:rPr>
        <w:t>1</w:t>
      </w:r>
      <w:r w:rsidR="0042608F" w:rsidRPr="0042608F">
        <w:rPr>
          <w:lang w:val="en-GB"/>
        </w:rPr>
        <w:t>H NMR (400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>: 0.24 (s, 9H), 1.81-2.01 (m, 2H), 2.03-2.13 (m, 1H), 2.15-2.36 (m, 3H), 2.72-2.82 (m, 1H), 4.95-4.98 (m, 1H), 7.23-7.37 (m, 5H).</w:t>
      </w:r>
      <w:r>
        <w:rPr>
          <w:vertAlign w:val="superscript"/>
          <w:lang w:val="en-GB"/>
        </w:rPr>
        <w:t xml:space="preserve"> </w:t>
      </w:r>
      <w:r w:rsidR="0042608F" w:rsidRPr="0042608F">
        <w:rPr>
          <w:vertAlign w:val="superscript"/>
          <w:lang w:val="en-GB"/>
        </w:rPr>
        <w:t>13</w:t>
      </w:r>
      <w:r w:rsidR="0042608F" w:rsidRPr="0042608F">
        <w:rPr>
          <w:lang w:val="en-GB"/>
        </w:rPr>
        <w:t>C NMR (100 MHz, CDCl</w:t>
      </w:r>
      <w:r w:rsidR="0042608F" w:rsidRPr="0042608F">
        <w:rPr>
          <w:vertAlign w:val="subscript"/>
          <w:lang w:val="en-GB"/>
        </w:rPr>
        <w:t>3</w:t>
      </w:r>
      <w:r w:rsidR="0042608F" w:rsidRPr="0042608F"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>: 0.15, 29.6, 29.9, 31.6, 39.6, 103.3, 125.6, 126.5, 127.9, 146.3, 149.9.</w:t>
      </w:r>
      <w:r>
        <w:rPr>
          <w:lang w:val="en-GB"/>
        </w:rPr>
        <w:t xml:space="preserve"> </w:t>
      </w:r>
      <w:r w:rsidR="0042608F" w:rsidRPr="0042608F">
        <w:t xml:space="preserve">Achiral G.C. analysis: </w:t>
      </w:r>
      <w:r w:rsidR="0042608F" w:rsidRPr="0042608F">
        <w:rPr>
          <w:lang w:val="en-GB"/>
        </w:rPr>
        <w:t>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>
        <w:rPr>
          <w:b/>
          <w:lang w:val="en-GB"/>
        </w:rPr>
        <w:t>4</w:t>
      </w:r>
      <w:r w:rsidR="0042608F" w:rsidRPr="0042608F">
        <w:rPr>
          <w:b/>
          <w:lang w:val="en-GB"/>
        </w:rPr>
        <w:t>d</w:t>
      </w:r>
      <w:r w:rsidR="0042608F" w:rsidRPr="0042608F">
        <w:rPr>
          <w:lang w:val="en-GB"/>
        </w:rPr>
        <w:t>) = 7.83 min, 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 w:rsidR="0042608F" w:rsidRPr="0042608F">
        <w:rPr>
          <w:b/>
          <w:lang w:val="en-GB"/>
        </w:rPr>
        <w:t>5d</w:t>
      </w:r>
      <w:r w:rsidR="0042608F" w:rsidRPr="0042608F">
        <w:rPr>
          <w:lang w:val="en-GB"/>
        </w:rPr>
        <w:t>) = 7.93 min.</w:t>
      </w:r>
      <w:r>
        <w:rPr>
          <w:lang w:val="en-GB"/>
        </w:rPr>
        <w:t xml:space="preserve"> </w:t>
      </w:r>
      <w:r w:rsidR="0042608F" w:rsidRPr="0042608F">
        <w:t>[</w:t>
      </w:r>
      <w:r w:rsidR="0042608F" w:rsidRPr="0042608F">
        <w:sym w:font="Symbol" w:char="F061"/>
      </w:r>
      <w:r w:rsidR="0042608F" w:rsidRPr="0042608F">
        <w:t>]</w:t>
      </w:r>
      <w:r w:rsidR="0042608F" w:rsidRPr="0042608F">
        <w:rPr>
          <w:vertAlign w:val="subscript"/>
        </w:rPr>
        <w:t>D</w:t>
      </w:r>
      <w:r w:rsidR="0042608F" w:rsidRPr="0042608F">
        <w:rPr>
          <w:vertAlign w:val="superscript"/>
        </w:rPr>
        <w:t>20</w:t>
      </w:r>
      <w:r w:rsidR="0042608F" w:rsidRPr="0042608F">
        <w:t>: –22.1 (</w:t>
      </w:r>
      <w:r w:rsidR="0042608F" w:rsidRPr="0042608F">
        <w:rPr>
          <w:i/>
        </w:rPr>
        <w:t>c</w:t>
      </w:r>
      <w:r w:rsidR="0042608F" w:rsidRPr="0042608F">
        <w:t xml:space="preserve"> 2.3, CHCl</w:t>
      </w:r>
      <w:r w:rsidR="0042608F" w:rsidRPr="0042608F">
        <w:rPr>
          <w:vertAlign w:val="subscript"/>
        </w:rPr>
        <w:t>3</w:t>
      </w:r>
      <w:r w:rsidR="0042608F" w:rsidRPr="0042608F">
        <w:t>) corresponding to 74:26 e.r. (</w:t>
      </w:r>
      <w:r w:rsidR="0042608F" w:rsidRPr="0042608F">
        <w:rPr>
          <w:i/>
        </w:rPr>
        <w:t>S</w:t>
      </w:r>
      <w:r w:rsidR="0042608F" w:rsidRPr="0042608F">
        <w:t>:</w:t>
      </w:r>
      <w:r w:rsidR="0042608F" w:rsidRPr="0042608F">
        <w:rPr>
          <w:i/>
        </w:rPr>
        <w:t>R</w:t>
      </w:r>
      <w:r w:rsidR="0042608F" w:rsidRPr="0042608F">
        <w:t>). Lit. [</w:t>
      </w:r>
      <w:r w:rsidR="0042608F" w:rsidRPr="0042608F">
        <w:sym w:font="Symbol" w:char="F061"/>
      </w:r>
      <w:r w:rsidR="0042608F" w:rsidRPr="0042608F">
        <w:t>]</w:t>
      </w:r>
      <w:r w:rsidR="0042608F" w:rsidRPr="0042608F">
        <w:rPr>
          <w:vertAlign w:val="subscript"/>
        </w:rPr>
        <w:t>D</w:t>
      </w:r>
      <w:r w:rsidR="0042608F" w:rsidRPr="0042608F">
        <w:rPr>
          <w:vertAlign w:val="superscript"/>
        </w:rPr>
        <w:t>20</w:t>
      </w:r>
      <w:r w:rsidR="0042608F" w:rsidRPr="0042608F">
        <w:t xml:space="preserve"> (</w:t>
      </w:r>
      <w:r w:rsidR="0042608F" w:rsidRPr="0042608F">
        <w:rPr>
          <w:i/>
        </w:rPr>
        <w:t>S</w:t>
      </w:r>
      <w:r w:rsidR="0042608F" w:rsidRPr="0042608F">
        <w:t>):</w:t>
      </w:r>
      <w:r>
        <w:rPr>
          <w:vertAlign w:val="superscript"/>
        </w:rPr>
        <w:t>12</w:t>
      </w:r>
      <w:r w:rsidR="0042608F" w:rsidRPr="0042608F">
        <w:t xml:space="preserve"> </w:t>
      </w:r>
      <w:r w:rsidR="0042608F" w:rsidRPr="0042608F">
        <w:softHyphen/>
      </w:r>
      <w:r w:rsidR="0042608F" w:rsidRPr="0042608F">
        <w:softHyphen/>
        <w:t>–33.5 (</w:t>
      </w:r>
      <w:r w:rsidR="0042608F" w:rsidRPr="0042608F">
        <w:rPr>
          <w:i/>
        </w:rPr>
        <w:t>c</w:t>
      </w:r>
      <w:r w:rsidR="0042608F" w:rsidRPr="0042608F">
        <w:t xml:space="preserve"> 2.3, CHCl</w:t>
      </w:r>
      <w:r w:rsidR="0042608F" w:rsidRPr="0042608F">
        <w:rPr>
          <w:vertAlign w:val="subscript"/>
        </w:rPr>
        <w:t>3</w:t>
      </w:r>
      <w:r w:rsidR="0042608F" w:rsidRPr="0042608F">
        <w:t>, 87:13 e.r. (</w:t>
      </w:r>
      <w:r w:rsidR="0042608F" w:rsidRPr="0042608F">
        <w:rPr>
          <w:i/>
        </w:rPr>
        <w:t>S</w:t>
      </w:r>
      <w:r w:rsidR="0042608F" w:rsidRPr="0042608F">
        <w:t>:</w:t>
      </w:r>
      <w:r w:rsidR="0042608F" w:rsidRPr="0042608F">
        <w:rPr>
          <w:i/>
        </w:rPr>
        <w:t>R</w:t>
      </w:r>
      <w:r w:rsidR="0042608F" w:rsidRPr="0042608F">
        <w:t>)).</w:t>
      </w:r>
    </w:p>
    <w:p w:rsidR="0042608F" w:rsidRPr="00FF699A" w:rsidRDefault="00FF699A" w:rsidP="00FF699A">
      <w:pPr>
        <w:pStyle w:val="ElsParagraph"/>
        <w:ind w:firstLine="0"/>
        <w:rPr>
          <w:lang w:val="en-GB"/>
        </w:rPr>
      </w:pPr>
      <w:r>
        <w:rPr>
          <w:lang w:val="en-GB"/>
        </w:rPr>
        <w:t xml:space="preserve">The enantiomeric ratio was </w:t>
      </w:r>
      <w:r w:rsidR="0042608F" w:rsidRPr="0042608F">
        <w:t xml:space="preserve">further confirmed by HPLC analysis of </w:t>
      </w:r>
      <w:r>
        <w:t xml:space="preserve">the </w:t>
      </w:r>
      <w:r w:rsidR="0042608F" w:rsidRPr="0042608F">
        <w:t xml:space="preserve">corresponding cyclohexenone obtained </w:t>
      </w:r>
      <w:r w:rsidR="0042608F" w:rsidRPr="00FF699A">
        <w:rPr>
          <w:i/>
        </w:rPr>
        <w:t>via</w:t>
      </w:r>
      <w:r w:rsidR="0042608F" w:rsidRPr="0042608F">
        <w:t xml:space="preserve"> palladium-catalysed oxidation (Saegusa-Ito) of </w:t>
      </w:r>
      <w:r w:rsidR="0042608F" w:rsidRPr="0042608F">
        <w:rPr>
          <w:b/>
        </w:rPr>
        <w:t>5d</w:t>
      </w:r>
      <w:r>
        <w:t xml:space="preserve"> in the following manner:</w:t>
      </w:r>
      <w:r w:rsidR="0042608F" w:rsidRPr="0042608F">
        <w:t xml:space="preserve"> </w:t>
      </w:r>
    </w:p>
    <w:p w:rsidR="0042608F" w:rsidRPr="0042608F" w:rsidRDefault="0042608F" w:rsidP="00FF699A">
      <w:pPr>
        <w:pStyle w:val="ElsParagraph"/>
        <w:ind w:firstLine="0"/>
        <w:rPr>
          <w:b/>
        </w:rPr>
      </w:pPr>
      <w:r w:rsidRPr="0042608F">
        <w:rPr>
          <w:b/>
        </w:rPr>
        <w:t>(</w:t>
      </w:r>
      <w:r w:rsidRPr="0042608F">
        <w:rPr>
          <w:b/>
          <w:i/>
        </w:rPr>
        <w:t>S</w:t>
      </w:r>
      <w:r w:rsidRPr="0042608F">
        <w:rPr>
          <w:b/>
        </w:rPr>
        <w:t>)-4-Phenylcyclohexenone</w:t>
      </w:r>
      <w:r w:rsidR="00FF699A">
        <w:rPr>
          <w:vertAlign w:val="superscript"/>
        </w:rPr>
        <w:t>17</w:t>
      </w:r>
    </w:p>
    <w:p w:rsidR="0042608F" w:rsidRPr="0042608F" w:rsidRDefault="0042608F" w:rsidP="006727B5">
      <w:pPr>
        <w:pStyle w:val="ElsParagraph"/>
        <w:ind w:firstLine="0"/>
        <w:rPr>
          <w:lang w:val="en-GB" w:bidi="en-US"/>
        </w:rPr>
      </w:pPr>
      <w:r w:rsidRPr="0042608F">
        <w:rPr>
          <w:lang w:val="en-GB" w:bidi="en-US"/>
        </w:rPr>
        <w:t xml:space="preserve">To a stirred solution of </w:t>
      </w:r>
      <w:r w:rsidRPr="0042608F">
        <w:rPr>
          <w:b/>
          <w:lang w:val="en-GB" w:bidi="en-US"/>
        </w:rPr>
        <w:t>5d</w:t>
      </w:r>
      <w:r w:rsidRPr="0042608F">
        <w:rPr>
          <w:lang w:val="en-GB" w:bidi="en-US"/>
        </w:rPr>
        <w:t xml:space="preserve"> (120 mg, 0.49 mmol, 1.0 equiv) in dry MeCN (2 mL) was added Pd(OAc)</w:t>
      </w:r>
      <w:r w:rsidRPr="0042608F">
        <w:rPr>
          <w:vertAlign w:val="subscript"/>
          <w:lang w:val="en-GB" w:bidi="en-US"/>
        </w:rPr>
        <w:t>2</w:t>
      </w:r>
      <w:r w:rsidRPr="0042608F">
        <w:rPr>
          <w:lang w:val="en-GB" w:bidi="en-US"/>
        </w:rPr>
        <w:t xml:space="preserve"> (55 mg, 0.24 mmol, 0.5 equiv) and 1,4-benzoquinone (26 mg, 0.24 mmol, 0.5 equiv) under N</w:t>
      </w:r>
      <w:r w:rsidRPr="0042608F">
        <w:rPr>
          <w:vertAlign w:val="subscript"/>
          <w:lang w:val="en-GB" w:bidi="en-US"/>
        </w:rPr>
        <w:t>2</w:t>
      </w:r>
      <w:r w:rsidRPr="0042608F">
        <w:rPr>
          <w:lang w:val="en-GB" w:bidi="en-US"/>
        </w:rPr>
        <w:t xml:space="preserve">. The reaction was stirred for 3 h at room temperature then concentrated </w:t>
      </w:r>
      <w:r w:rsidRPr="0042608F">
        <w:rPr>
          <w:i/>
          <w:lang w:val="en-GB" w:bidi="en-US"/>
        </w:rPr>
        <w:t>in vacuo</w:t>
      </w:r>
      <w:r w:rsidRPr="0042608F">
        <w:rPr>
          <w:lang w:val="en-GB" w:bidi="en-US"/>
        </w:rPr>
        <w:t xml:space="preserve"> to </w:t>
      </w:r>
      <w:r w:rsidR="006727B5">
        <w:rPr>
          <w:lang w:val="en-GB" w:bidi="en-US"/>
        </w:rPr>
        <w:t xml:space="preserve">give </w:t>
      </w:r>
      <w:r w:rsidRPr="0042608F">
        <w:rPr>
          <w:lang w:val="en-GB" w:bidi="en-US"/>
        </w:rPr>
        <w:t>a residue that was purified by flash chromatography (10% Et</w:t>
      </w:r>
      <w:r w:rsidRPr="0042608F">
        <w:rPr>
          <w:vertAlign w:val="subscript"/>
          <w:lang w:val="en-GB" w:bidi="en-US"/>
        </w:rPr>
        <w:t>2</w:t>
      </w:r>
      <w:r w:rsidRPr="0042608F">
        <w:rPr>
          <w:lang w:val="en-GB" w:bidi="en-US"/>
        </w:rPr>
        <w:t>O:petrol 30-40</w:t>
      </w:r>
      <w:r w:rsidR="009D5D8E">
        <w:rPr>
          <w:lang w:val="en-GB" w:bidi="en-US"/>
        </w:rPr>
        <w:t xml:space="preserve"> </w:t>
      </w:r>
      <w:r w:rsidRPr="0042608F">
        <w:rPr>
          <w:lang w:val="en-GB" w:bidi="en-US"/>
        </w:rPr>
        <w:sym w:font="Symbol" w:char="F0B0"/>
      </w:r>
      <w:r w:rsidR="009D5D8E">
        <w:rPr>
          <w:lang w:val="en-GB" w:bidi="en-US"/>
        </w:rPr>
        <w:t>C</w:t>
      </w:r>
      <w:r w:rsidRPr="0042608F">
        <w:rPr>
          <w:lang w:val="en-GB" w:bidi="en-US"/>
        </w:rPr>
        <w:t>) to afford the title compound as a colourless solid (60 mg, 72% yield).</w:t>
      </w:r>
      <w:r w:rsidR="006727B5">
        <w:rPr>
          <w:lang w:val="en-GB" w:bidi="en-US"/>
        </w:rPr>
        <w:t xml:space="preserve"> </w:t>
      </w:r>
      <w:r w:rsidRPr="0042608F">
        <w:rPr>
          <w:lang w:val="en-GB"/>
        </w:rPr>
        <w:sym w:font="Symbol" w:char="F06E"/>
      </w:r>
      <w:r w:rsidRPr="0042608F">
        <w:rPr>
          <w:vertAlign w:val="subscript"/>
          <w:lang w:val="en-GB"/>
        </w:rPr>
        <w:t>max</w:t>
      </w:r>
      <w:r w:rsidRPr="0042608F">
        <w:rPr>
          <w:lang w:val="en-GB"/>
        </w:rPr>
        <w:t xml:space="preserve"> (CH</w:t>
      </w:r>
      <w:r w:rsidRPr="0042608F">
        <w:rPr>
          <w:vertAlign w:val="subscript"/>
          <w:lang w:val="en-GB"/>
        </w:rPr>
        <w:t>2</w:t>
      </w:r>
      <w:r w:rsidRPr="0042608F">
        <w:rPr>
          <w:lang w:val="en-GB"/>
        </w:rPr>
        <w:t>Cl</w:t>
      </w:r>
      <w:r w:rsidRPr="0042608F">
        <w:rPr>
          <w:vertAlign w:val="subscript"/>
          <w:lang w:val="en-GB"/>
        </w:rPr>
        <w:t>2</w:t>
      </w:r>
      <w:r w:rsidRPr="0042608F">
        <w:rPr>
          <w:lang w:val="en-GB"/>
        </w:rPr>
        <w:t xml:space="preserve">): </w:t>
      </w:r>
      <w:r w:rsidRPr="0042608F">
        <w:rPr>
          <w:lang w:val="en-GB" w:bidi="en-US"/>
        </w:rPr>
        <w:t>2934, 1679, 1492 cm</w:t>
      </w:r>
      <w:r w:rsidRPr="0042608F">
        <w:rPr>
          <w:vertAlign w:val="superscript"/>
          <w:lang w:val="en-GB" w:bidi="en-US"/>
        </w:rPr>
        <w:t>–1</w:t>
      </w:r>
      <w:r w:rsidRPr="0042608F">
        <w:rPr>
          <w:lang w:val="en-GB" w:bidi="en-US"/>
        </w:rPr>
        <w:t>.</w:t>
      </w:r>
      <w:r w:rsidR="006727B5">
        <w:rPr>
          <w:lang w:val="en-GB" w:bidi="en-US"/>
        </w:rPr>
        <w:t xml:space="preserve"> </w:t>
      </w:r>
      <w:r w:rsidRPr="0042608F">
        <w:rPr>
          <w:vertAlign w:val="superscript"/>
          <w:lang w:val="en-GB"/>
        </w:rPr>
        <w:t>1</w:t>
      </w:r>
      <w:r w:rsidRPr="0042608F">
        <w:rPr>
          <w:lang w:val="en-GB"/>
        </w:rPr>
        <w:t>H NMR (400 MHz, CDCl</w:t>
      </w:r>
      <w:r w:rsidRPr="0042608F">
        <w:rPr>
          <w:vertAlign w:val="subscript"/>
          <w:lang w:val="en-GB"/>
        </w:rPr>
        <w:t>3</w:t>
      </w:r>
      <w:r w:rsidRPr="0042608F">
        <w:rPr>
          <w:lang w:val="en-GB"/>
        </w:rPr>
        <w:t>) δ:</w:t>
      </w:r>
      <w:r w:rsidRPr="0042608F">
        <w:rPr>
          <w:lang w:val="en-GB" w:bidi="en-US"/>
        </w:rPr>
        <w:t xml:space="preserve"> 2.02-2.11 (m, 1H), 2.34-2.42 (m, 1H), 2.45-2.60</w:t>
      </w:r>
      <w:r w:rsidR="006727B5">
        <w:rPr>
          <w:lang w:val="en-GB" w:bidi="en-US"/>
        </w:rPr>
        <w:t xml:space="preserve"> </w:t>
      </w:r>
      <w:r w:rsidRPr="0042608F">
        <w:rPr>
          <w:lang w:val="en-GB" w:bidi="en-US"/>
        </w:rPr>
        <w:t xml:space="preserve">(m, 2H), 3.72-3.77 (m, 1H), 6.18 (ddd, 1H, </w:t>
      </w:r>
      <w:r w:rsidRPr="0042608F">
        <w:rPr>
          <w:i/>
          <w:lang w:val="en-GB" w:bidi="en-US"/>
        </w:rPr>
        <w:t>J</w:t>
      </w:r>
      <w:r w:rsidRPr="0042608F">
        <w:rPr>
          <w:lang w:val="en-GB" w:bidi="en-US"/>
        </w:rPr>
        <w:t xml:space="preserve"> = 10.0, 2.5, 0.5 Hz), 7.00 (ddd, 1H, </w:t>
      </w:r>
      <w:r w:rsidRPr="0042608F">
        <w:rPr>
          <w:i/>
          <w:lang w:val="en-GB" w:bidi="en-US"/>
        </w:rPr>
        <w:t>J</w:t>
      </w:r>
      <w:r w:rsidRPr="0042608F">
        <w:rPr>
          <w:lang w:val="en-GB" w:bidi="en-US"/>
        </w:rPr>
        <w:t xml:space="preserve"> = 10.0, 3.0, 1.5 Hz)</w:t>
      </w:r>
      <w:r w:rsidR="006727B5">
        <w:rPr>
          <w:lang w:val="en-GB" w:bidi="en-US"/>
        </w:rPr>
        <w:t>,</w:t>
      </w:r>
      <w:r w:rsidRPr="0042608F">
        <w:rPr>
          <w:lang w:val="en-GB" w:bidi="en-US"/>
        </w:rPr>
        <w:t xml:space="preserve"> 7.22-7.39 (m, 5H).</w:t>
      </w:r>
      <w:r w:rsidR="006727B5">
        <w:rPr>
          <w:lang w:val="en-GB" w:bidi="en-US"/>
        </w:rPr>
        <w:t xml:space="preserve"> </w:t>
      </w:r>
      <w:r w:rsidRPr="0042608F">
        <w:rPr>
          <w:lang w:val="en-GB"/>
        </w:rPr>
        <w:t>[</w:t>
      </w:r>
      <w:r w:rsidRPr="0042608F">
        <w:rPr>
          <w:lang w:val="en-GB"/>
        </w:rPr>
        <w:sym w:font="Symbol" w:char="F061"/>
      </w:r>
      <w:r w:rsidRPr="0042608F">
        <w:rPr>
          <w:lang w:val="en-GB"/>
        </w:rPr>
        <w:t>]</w:t>
      </w:r>
      <w:r w:rsidRPr="0042608F">
        <w:rPr>
          <w:vertAlign w:val="subscript"/>
          <w:lang w:val="en-GB"/>
        </w:rPr>
        <w:t>D</w:t>
      </w:r>
      <w:r w:rsidRPr="0042608F">
        <w:rPr>
          <w:vertAlign w:val="superscript"/>
          <w:lang w:val="en-GB"/>
        </w:rPr>
        <w:t>20</w:t>
      </w:r>
      <w:r w:rsidRPr="0042608F">
        <w:rPr>
          <w:lang w:val="en-GB"/>
        </w:rPr>
        <w:t>: +152.8 (</w:t>
      </w:r>
      <w:r w:rsidRPr="0042608F">
        <w:rPr>
          <w:i/>
          <w:lang w:val="en-GB"/>
        </w:rPr>
        <w:t>c</w:t>
      </w:r>
      <w:r w:rsidRPr="0042608F">
        <w:rPr>
          <w:lang w:val="en-GB"/>
        </w:rPr>
        <w:t xml:space="preserve"> 1.0, CHCl</w:t>
      </w:r>
      <w:r w:rsidRPr="0042608F">
        <w:rPr>
          <w:vertAlign w:val="subscript"/>
          <w:lang w:val="en-GB"/>
        </w:rPr>
        <w:t>3</w:t>
      </w:r>
      <w:r w:rsidRPr="0042608F">
        <w:rPr>
          <w:lang w:val="en-GB"/>
        </w:rPr>
        <w:t>). Lit. [</w:t>
      </w:r>
      <w:r w:rsidRPr="0042608F">
        <w:rPr>
          <w:lang w:val="en-GB"/>
        </w:rPr>
        <w:sym w:font="Symbol" w:char="F061"/>
      </w:r>
      <w:r w:rsidRPr="0042608F">
        <w:rPr>
          <w:lang w:val="en-GB"/>
        </w:rPr>
        <w:t>]</w:t>
      </w:r>
      <w:r w:rsidRPr="0042608F">
        <w:rPr>
          <w:vertAlign w:val="subscript"/>
          <w:lang w:val="en-GB"/>
        </w:rPr>
        <w:t>D</w:t>
      </w:r>
      <w:r w:rsidRPr="0042608F">
        <w:rPr>
          <w:vertAlign w:val="superscript"/>
          <w:lang w:val="en-GB"/>
        </w:rPr>
        <w:t>20</w:t>
      </w:r>
      <w:r w:rsidRPr="0042608F">
        <w:rPr>
          <w:lang w:val="en-GB"/>
        </w:rPr>
        <w:t xml:space="preserve"> (</w:t>
      </w:r>
      <w:r w:rsidRPr="0042608F">
        <w:rPr>
          <w:i/>
          <w:lang w:val="en-GB"/>
        </w:rPr>
        <w:t>S</w:t>
      </w:r>
      <w:r w:rsidRPr="0042608F">
        <w:rPr>
          <w:lang w:val="en-GB"/>
        </w:rPr>
        <w:t>):</w:t>
      </w:r>
      <w:r w:rsidR="006727B5">
        <w:rPr>
          <w:vertAlign w:val="superscript"/>
          <w:lang w:val="en-GB"/>
        </w:rPr>
        <w:t>17</w:t>
      </w:r>
      <w:r w:rsidRPr="0042608F">
        <w:rPr>
          <w:vertAlign w:val="superscript"/>
          <w:lang w:val="en-GB"/>
        </w:rPr>
        <w:t xml:space="preserve"> </w:t>
      </w:r>
      <w:r w:rsidRPr="0042608F">
        <w:rPr>
          <w:lang w:val="en-GB"/>
        </w:rPr>
        <w:t>+195.0 (</w:t>
      </w:r>
      <w:r w:rsidRPr="0042608F">
        <w:rPr>
          <w:i/>
          <w:lang w:val="en-GB"/>
        </w:rPr>
        <w:t>c</w:t>
      </w:r>
      <w:r w:rsidRPr="0042608F">
        <w:rPr>
          <w:lang w:val="en-GB"/>
        </w:rPr>
        <w:t xml:space="preserve"> 1.0, C</w:t>
      </w:r>
      <w:r w:rsidRPr="0042608F">
        <w:rPr>
          <w:vertAlign w:val="subscript"/>
          <w:lang w:val="en-GB"/>
        </w:rPr>
        <w:t>6</w:t>
      </w:r>
      <w:r w:rsidRPr="0042608F">
        <w:rPr>
          <w:lang w:val="en-GB"/>
        </w:rPr>
        <w:t>H</w:t>
      </w:r>
      <w:r w:rsidRPr="0042608F">
        <w:rPr>
          <w:vertAlign w:val="subscript"/>
          <w:lang w:val="en-GB"/>
        </w:rPr>
        <w:t>6</w:t>
      </w:r>
      <w:r w:rsidRPr="0042608F">
        <w:rPr>
          <w:lang w:val="en-GB"/>
        </w:rPr>
        <w:t>).</w:t>
      </w:r>
      <w:r w:rsidR="006727B5">
        <w:rPr>
          <w:lang w:val="en-GB" w:bidi="en-US"/>
        </w:rPr>
        <w:t xml:space="preserve"> </w:t>
      </w:r>
      <w:r w:rsidRPr="0042608F">
        <w:rPr>
          <w:lang w:val="en-GB"/>
        </w:rPr>
        <w:t>HPLC (</w:t>
      </w:r>
      <w:r w:rsidR="00B51669">
        <w:rPr>
          <w:lang w:val="en-GB"/>
        </w:rPr>
        <w:t>Chiracel A</w:t>
      </w:r>
      <w:r w:rsidRPr="0042608F">
        <w:rPr>
          <w:lang w:val="en-GB"/>
        </w:rPr>
        <w:t>D, 10% EtOH/Isohexane, flow rate 1 ml/min, 254 nm detector): t</w:t>
      </w:r>
      <w:r w:rsidRPr="0042608F">
        <w:rPr>
          <w:vertAlign w:val="subscript"/>
          <w:lang w:val="en-GB"/>
        </w:rPr>
        <w:t>R</w:t>
      </w:r>
      <w:r w:rsidRPr="0042608F">
        <w:rPr>
          <w:lang w:val="en-GB"/>
        </w:rPr>
        <w:t>(</w:t>
      </w:r>
      <w:r w:rsidRPr="0042608F">
        <w:rPr>
          <w:i/>
          <w:lang w:val="en-GB"/>
        </w:rPr>
        <w:t>S</w:t>
      </w:r>
      <w:r w:rsidRPr="0042608F">
        <w:rPr>
          <w:lang w:val="en-GB"/>
        </w:rPr>
        <w:t>) = 7.40 min, t</w:t>
      </w:r>
      <w:r w:rsidRPr="0042608F">
        <w:rPr>
          <w:vertAlign w:val="subscript"/>
          <w:lang w:val="en-GB"/>
        </w:rPr>
        <w:t>R</w:t>
      </w:r>
      <w:r w:rsidRPr="0042608F">
        <w:rPr>
          <w:lang w:val="en-GB"/>
        </w:rPr>
        <w:t>(</w:t>
      </w:r>
      <w:r w:rsidRPr="0042608F">
        <w:rPr>
          <w:i/>
          <w:lang w:val="en-GB"/>
        </w:rPr>
        <w:t>R</w:t>
      </w:r>
      <w:r w:rsidRPr="0042608F">
        <w:rPr>
          <w:lang w:val="en-GB"/>
        </w:rPr>
        <w:t>) = 7.96 min. (74:26 e.r (</w:t>
      </w:r>
      <w:r w:rsidRPr="0042608F">
        <w:rPr>
          <w:i/>
          <w:lang w:val="en-GB"/>
        </w:rPr>
        <w:t>S</w:t>
      </w:r>
      <w:r w:rsidRPr="0042608F">
        <w:rPr>
          <w:lang w:val="en-GB"/>
        </w:rPr>
        <w:t>:</w:t>
      </w:r>
      <w:r w:rsidRPr="0042608F">
        <w:rPr>
          <w:i/>
          <w:lang w:val="en-GB"/>
        </w:rPr>
        <w:t>R</w:t>
      </w:r>
      <w:r w:rsidRPr="0042608F">
        <w:rPr>
          <w:lang w:val="en-GB"/>
        </w:rPr>
        <w:t xml:space="preserve">)). </w:t>
      </w:r>
    </w:p>
    <w:p w:rsidR="002C0BF8" w:rsidRPr="007944A3" w:rsidRDefault="007944A3" w:rsidP="007944A3">
      <w:pPr>
        <w:pStyle w:val="ElsParagraph"/>
        <w:ind w:firstLine="0"/>
        <w:rPr>
          <w:vertAlign w:val="superscript"/>
          <w:lang w:val="en-GB"/>
        </w:rPr>
      </w:pPr>
      <w:r w:rsidRPr="007944A3">
        <w:rPr>
          <w:i/>
          <w:lang w:val="en-GB"/>
        </w:rPr>
        <w:t xml:space="preserve">4.7.5 </w:t>
      </w:r>
      <w:r w:rsidR="0042608F" w:rsidRPr="007944A3">
        <w:rPr>
          <w:i/>
          <w:lang w:val="en-GB"/>
        </w:rPr>
        <w:t>2,6-Dimethyl-1-trimethylsilyloxy-1-cyclohexene</w:t>
      </w:r>
      <w:r w:rsidRPr="007944A3">
        <w:rPr>
          <w:i/>
          <w:lang w:val="en-GB"/>
        </w:rPr>
        <w:t xml:space="preserve"> </w:t>
      </w:r>
      <w:r>
        <w:rPr>
          <w:b/>
          <w:i/>
          <w:lang w:val="en-GB"/>
        </w:rPr>
        <w:t>5</w:t>
      </w:r>
      <w:r w:rsidRPr="007944A3">
        <w:rPr>
          <w:b/>
          <w:i/>
          <w:lang w:val="en-GB"/>
        </w:rPr>
        <w:t>e</w:t>
      </w:r>
      <w:r>
        <w:rPr>
          <w:lang w:val="en-GB"/>
        </w:rPr>
        <w:t>.</w:t>
      </w:r>
      <w:r>
        <w:rPr>
          <w:vertAlign w:val="superscript"/>
          <w:lang w:val="en-GB"/>
        </w:rPr>
        <w:t xml:space="preserve">14,18 </w:t>
      </w:r>
      <w:r w:rsidR="0042608F" w:rsidRPr="0042608F">
        <w:sym w:font="Symbol" w:char="F06E"/>
      </w:r>
      <w:r w:rsidR="0042608F" w:rsidRPr="0042608F">
        <w:rPr>
          <w:vertAlign w:val="subscript"/>
        </w:rPr>
        <w:t>max</w:t>
      </w:r>
      <w:r w:rsidR="0042608F" w:rsidRPr="0042608F">
        <w:t xml:space="preserve"> (CH</w:t>
      </w:r>
      <w:r w:rsidR="0042608F" w:rsidRPr="0042608F">
        <w:rPr>
          <w:vertAlign w:val="subscript"/>
        </w:rPr>
        <w:t>2</w:t>
      </w:r>
      <w:r w:rsidR="0042608F" w:rsidRPr="0042608F">
        <w:t>Cl</w:t>
      </w:r>
      <w:r w:rsidR="0042608F" w:rsidRPr="0042608F">
        <w:rPr>
          <w:vertAlign w:val="subscript"/>
        </w:rPr>
        <w:t>2</w:t>
      </w:r>
      <w:r w:rsidR="0042608F" w:rsidRPr="0042608F">
        <w:t xml:space="preserve">): </w:t>
      </w:r>
      <w:r w:rsidR="0042608F" w:rsidRPr="0042608F">
        <w:rPr>
          <w:lang w:val="en-GB"/>
        </w:rPr>
        <w:t>1679 cm</w:t>
      </w:r>
      <w:r w:rsidR="0042608F" w:rsidRPr="0042608F">
        <w:rPr>
          <w:vertAlign w:val="superscript"/>
          <w:lang w:val="en-GB"/>
        </w:rPr>
        <w:t>–1</w:t>
      </w:r>
      <w:r w:rsidR="0042608F" w:rsidRPr="0042608F">
        <w:rPr>
          <w:lang w:val="en-GB"/>
        </w:rPr>
        <w:t>.</w:t>
      </w:r>
      <w:r>
        <w:rPr>
          <w:lang w:val="en-GB"/>
        </w:rPr>
        <w:t xml:space="preserve"> </w:t>
      </w:r>
      <w:r w:rsidR="0042608F" w:rsidRPr="0042608F">
        <w:rPr>
          <w:vertAlign w:val="superscript"/>
        </w:rPr>
        <w:t>1</w:t>
      </w:r>
      <w:r w:rsidR="0042608F" w:rsidRPr="0042608F">
        <w:t>H NMR (400 MHz, CDCl</w:t>
      </w:r>
      <w:r w:rsidR="0042608F" w:rsidRPr="0042608F">
        <w:rPr>
          <w:vertAlign w:val="subscript"/>
        </w:rPr>
        <w:t>3</w:t>
      </w:r>
      <w:r w:rsidR="0042608F" w:rsidRPr="0042608F">
        <w:t xml:space="preserve">) δ: </w:t>
      </w:r>
      <w:r w:rsidR="0042608F" w:rsidRPr="0042608F">
        <w:rPr>
          <w:lang w:val="en-GB"/>
        </w:rPr>
        <w:t xml:space="preserve">0.18 (s, 9H), 1.05 (d, 3H, </w:t>
      </w:r>
      <w:r w:rsidR="0042608F" w:rsidRPr="0042608F">
        <w:rPr>
          <w:i/>
          <w:lang w:val="en-GB"/>
        </w:rPr>
        <w:t>J</w:t>
      </w:r>
      <w:r w:rsidR="0042608F" w:rsidRPr="0042608F">
        <w:rPr>
          <w:lang w:val="en-GB"/>
        </w:rPr>
        <w:t xml:space="preserve"> = 6.9 Hz), 1.35-1.43 (m, 2H), 1.56 (s, 3H), 1.57-1.67 (m, 1H), 1.74-1.82 (m, 1H), 1.94 (t, 2H,</w:t>
      </w:r>
      <w:r w:rsidR="0042608F" w:rsidRPr="0042608F">
        <w:rPr>
          <w:i/>
          <w:lang w:val="en-GB"/>
        </w:rPr>
        <w:t xml:space="preserve"> J</w:t>
      </w:r>
      <w:r w:rsidR="0042608F" w:rsidRPr="0042608F">
        <w:rPr>
          <w:lang w:val="en-GB"/>
        </w:rPr>
        <w:t xml:space="preserve"> = 6.1 Hz), 1.98-2.19 (m, 1H).</w:t>
      </w:r>
      <w:r>
        <w:rPr>
          <w:vertAlign w:val="superscript"/>
          <w:lang w:val="en-GB"/>
        </w:rPr>
        <w:t xml:space="preserve"> </w:t>
      </w:r>
      <w:r w:rsidR="0042608F" w:rsidRPr="0042608F">
        <w:rPr>
          <w:vertAlign w:val="superscript"/>
          <w:lang w:val="en-GB"/>
        </w:rPr>
        <w:t>13</w:t>
      </w:r>
      <w:r w:rsidR="0042608F" w:rsidRPr="0042608F">
        <w:rPr>
          <w:lang w:val="en-GB"/>
        </w:rPr>
        <w:t>C NMR (100 MHz, CDCl</w:t>
      </w:r>
      <w:r w:rsidR="0042608F" w:rsidRPr="0042608F">
        <w:rPr>
          <w:vertAlign w:val="subscript"/>
          <w:lang w:val="en-GB"/>
        </w:rPr>
        <w:t>3</w:t>
      </w:r>
      <w:r>
        <w:rPr>
          <w:lang w:val="en-GB"/>
        </w:rPr>
        <w:t xml:space="preserve">) </w:t>
      </w:r>
      <w:r w:rsidR="0042608F" w:rsidRPr="0042608F">
        <w:rPr>
          <w:lang w:val="en-GB"/>
        </w:rPr>
        <w:sym w:font="Symbol" w:char="F064"/>
      </w:r>
      <w:r w:rsidR="0042608F" w:rsidRPr="0042608F">
        <w:rPr>
          <w:lang w:val="en-GB"/>
        </w:rPr>
        <w:t>: 0.72, 16.9, 19.0, 20.5, 30.8, 32.3, 34.1, 112.1, 147.1.</w:t>
      </w:r>
      <w:r>
        <w:rPr>
          <w:vertAlign w:val="superscript"/>
          <w:lang w:val="en-GB"/>
        </w:rPr>
        <w:t xml:space="preserve"> </w:t>
      </w:r>
      <w:r w:rsidR="0042608F" w:rsidRPr="0042608F">
        <w:t xml:space="preserve">Achiral G.C. analysis: </w:t>
      </w:r>
      <w:r w:rsidR="0042608F" w:rsidRPr="0042608F">
        <w:rPr>
          <w:lang w:val="en-GB"/>
        </w:rPr>
        <w:t>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>
        <w:rPr>
          <w:b/>
          <w:lang w:val="en-GB"/>
        </w:rPr>
        <w:t>4</w:t>
      </w:r>
      <w:r w:rsidR="0042608F" w:rsidRPr="0042608F">
        <w:rPr>
          <w:b/>
          <w:lang w:val="en-GB"/>
        </w:rPr>
        <w:t>e</w:t>
      </w:r>
      <w:r w:rsidR="0042608F" w:rsidRPr="0042608F">
        <w:rPr>
          <w:lang w:val="en-GB"/>
        </w:rPr>
        <w:t>) = 3.23 min, 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</w:t>
      </w:r>
      <w:r w:rsidR="0042608F" w:rsidRPr="0042608F">
        <w:rPr>
          <w:b/>
          <w:lang w:val="en-GB"/>
        </w:rPr>
        <w:t>5e</w:t>
      </w:r>
      <w:r w:rsidR="0042608F" w:rsidRPr="0042608F">
        <w:rPr>
          <w:lang w:val="en-GB"/>
        </w:rPr>
        <w:t>) = 3.88 min.</w:t>
      </w:r>
      <w:r>
        <w:rPr>
          <w:vertAlign w:val="superscript"/>
          <w:lang w:val="en-GB"/>
        </w:rPr>
        <w:t xml:space="preserve"> </w:t>
      </w:r>
      <w:r w:rsidR="0042608F" w:rsidRPr="0042608F">
        <w:rPr>
          <w:lang w:val="en-GB"/>
        </w:rPr>
        <w:t>Chiral G.C. analysis: 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((</w:t>
      </w:r>
      <w:r w:rsidR="0042608F" w:rsidRPr="0042608F">
        <w:rPr>
          <w:i/>
          <w:lang w:val="en-GB"/>
        </w:rPr>
        <w:t>S</w:t>
      </w:r>
      <w:r w:rsidR="0042608F" w:rsidRPr="0042608F">
        <w:rPr>
          <w:lang w:val="en-GB"/>
        </w:rPr>
        <w:t>)-</w:t>
      </w:r>
      <w:r w:rsidR="0042608F" w:rsidRPr="0042608F">
        <w:rPr>
          <w:b/>
          <w:lang w:val="en-GB"/>
        </w:rPr>
        <w:t>5e</w:t>
      </w:r>
      <w:r w:rsidR="0042608F" w:rsidRPr="0042608F">
        <w:rPr>
          <w:lang w:val="en-GB"/>
        </w:rPr>
        <w:t>) = 9.96 min, t</w:t>
      </w:r>
      <w:r w:rsidR="0042608F" w:rsidRPr="0042608F">
        <w:rPr>
          <w:vertAlign w:val="subscript"/>
          <w:lang w:val="en-GB"/>
        </w:rPr>
        <w:t>R</w:t>
      </w:r>
      <w:r w:rsidR="0042608F" w:rsidRPr="0042608F">
        <w:rPr>
          <w:lang w:val="en-GB"/>
        </w:rPr>
        <w:t xml:space="preserve"> ((</w:t>
      </w:r>
      <w:r w:rsidR="0042608F" w:rsidRPr="0042608F">
        <w:rPr>
          <w:i/>
          <w:lang w:val="en-GB"/>
        </w:rPr>
        <w:t>R</w:t>
      </w:r>
      <w:r w:rsidR="0042608F" w:rsidRPr="0042608F">
        <w:rPr>
          <w:lang w:val="en-GB"/>
        </w:rPr>
        <w:t>)-</w:t>
      </w:r>
      <w:r w:rsidR="0042608F" w:rsidRPr="0042608F">
        <w:rPr>
          <w:b/>
          <w:lang w:val="en-GB"/>
        </w:rPr>
        <w:t>5e</w:t>
      </w:r>
      <w:r w:rsidR="0042608F" w:rsidRPr="0042608F">
        <w:rPr>
          <w:lang w:val="en-GB"/>
        </w:rPr>
        <w:t>) = 9.67 min.</w:t>
      </w:r>
    </w:p>
    <w:p w:rsidR="004C116E" w:rsidRDefault="00600511">
      <w:pPr>
        <w:pStyle w:val="ElsAcknowledgementsHeading"/>
      </w:pPr>
      <w:r>
        <w:t>Acknowledgments</w:t>
      </w:r>
    </w:p>
    <w:p w:rsidR="004C116E" w:rsidRDefault="005B2C8C">
      <w:pPr>
        <w:pStyle w:val="ElsParagraph"/>
      </w:pPr>
      <w:r w:rsidRPr="000F02CC">
        <w:t>We woul</w:t>
      </w:r>
      <w:r w:rsidR="0043473E">
        <w:t xml:space="preserve">d like to thank the </w:t>
      </w:r>
      <w:r w:rsidR="0043473E" w:rsidRPr="0043473E">
        <w:rPr>
          <w:highlight w:val="yellow"/>
        </w:rPr>
        <w:t xml:space="preserve">EPSRC for </w:t>
      </w:r>
      <w:r w:rsidRPr="0043473E">
        <w:rPr>
          <w:highlight w:val="yellow"/>
        </w:rPr>
        <w:t>students</w:t>
      </w:r>
      <w:r w:rsidR="00022491" w:rsidRPr="0043473E">
        <w:rPr>
          <w:highlight w:val="yellow"/>
        </w:rPr>
        <w:t xml:space="preserve">hip </w:t>
      </w:r>
      <w:r w:rsidR="0043473E" w:rsidRPr="0043473E">
        <w:rPr>
          <w:highlight w:val="yellow"/>
        </w:rPr>
        <w:t xml:space="preserve">support </w:t>
      </w:r>
      <w:r w:rsidR="00022491" w:rsidRPr="0043473E">
        <w:rPr>
          <w:highlight w:val="yellow"/>
        </w:rPr>
        <w:t>(</w:t>
      </w:r>
      <w:r w:rsidR="0043473E" w:rsidRPr="0043473E">
        <w:rPr>
          <w:highlight w:val="yellow"/>
        </w:rPr>
        <w:t xml:space="preserve">E.L.C. and </w:t>
      </w:r>
      <w:r w:rsidR="00022491" w:rsidRPr="0043473E">
        <w:rPr>
          <w:highlight w:val="yellow"/>
        </w:rPr>
        <w:t>M.P.)</w:t>
      </w:r>
      <w:r w:rsidR="00022491">
        <w:t xml:space="preserve"> and </w:t>
      </w:r>
      <w:r w:rsidRPr="000F02CC">
        <w:t xml:space="preserve">Organon </w:t>
      </w:r>
      <w:r w:rsidR="00B51669">
        <w:t xml:space="preserve">Research Scotland </w:t>
      </w:r>
      <w:r w:rsidRPr="000F02CC">
        <w:t>for additional funding</w:t>
      </w:r>
      <w:r w:rsidR="00022491">
        <w:t xml:space="preserve">. </w:t>
      </w:r>
      <w:r w:rsidR="00022491" w:rsidRPr="00022491">
        <w:rPr>
          <w:lang w:val="en-GB"/>
        </w:rPr>
        <w:t>Mass spectrometry data were acquired at</w:t>
      </w:r>
      <w:r w:rsidRPr="000F02CC">
        <w:t xml:space="preserve"> </w:t>
      </w:r>
      <w:r w:rsidR="00B51669" w:rsidRPr="00B51669">
        <w:rPr>
          <w:lang w:val="en-GB"/>
        </w:rPr>
        <w:t>the EPSRC UK National Mass Spectrometry Facility at Swansea University</w:t>
      </w:r>
      <w:r w:rsidRPr="000F02CC">
        <w:t>.</w:t>
      </w:r>
    </w:p>
    <w:p w:rsidR="004C116E" w:rsidRDefault="00600511">
      <w:pPr>
        <w:pStyle w:val="ElsReferencesHeading"/>
      </w:pPr>
      <w:r>
        <w:t>References and notes</w:t>
      </w:r>
    </w:p>
    <w:p w:rsidR="008C744A" w:rsidRPr="000F02CC" w:rsidRDefault="00F03BDD" w:rsidP="008C744A">
      <w:pPr>
        <w:pStyle w:val="ElsReferences"/>
      </w:pPr>
      <w:r w:rsidRPr="000F02CC">
        <w:t>(a) Henderson</w:t>
      </w:r>
      <w:r>
        <w:t>,</w:t>
      </w:r>
      <w:r w:rsidRPr="002B089F">
        <w:t xml:space="preserve"> </w:t>
      </w:r>
      <w:r w:rsidRPr="000F02CC">
        <w:t>K. W.</w:t>
      </w:r>
      <w:r>
        <w:t>;</w:t>
      </w:r>
      <w:r w:rsidRPr="000F02CC">
        <w:t xml:space="preserve"> Kerr</w:t>
      </w:r>
      <w:r>
        <w:t>,</w:t>
      </w:r>
      <w:r w:rsidRPr="000F02CC">
        <w:t xml:space="preserve"> W. J.</w:t>
      </w:r>
      <w:r>
        <w:t xml:space="preserve">; </w:t>
      </w:r>
      <w:r w:rsidRPr="000F02CC">
        <w:t>Moir</w:t>
      </w:r>
      <w:r>
        <w:t>,</w:t>
      </w:r>
      <w:r w:rsidRPr="002B089F">
        <w:t xml:space="preserve"> </w:t>
      </w:r>
      <w:r w:rsidRPr="000F02CC">
        <w:t xml:space="preserve">J. H. </w:t>
      </w:r>
      <w:r>
        <w:rPr>
          <w:i/>
        </w:rPr>
        <w:t>Chem. Commun.</w:t>
      </w:r>
      <w:r w:rsidRPr="000F02CC">
        <w:t xml:space="preserve"> </w:t>
      </w:r>
      <w:r w:rsidRPr="002B089F">
        <w:rPr>
          <w:b/>
        </w:rPr>
        <w:t>2000</w:t>
      </w:r>
      <w:r w:rsidRPr="000F02CC">
        <w:t>, 479; (b) Henderson</w:t>
      </w:r>
      <w:r>
        <w:t>,</w:t>
      </w:r>
      <w:r w:rsidRPr="002B089F">
        <w:t xml:space="preserve"> </w:t>
      </w:r>
      <w:r w:rsidRPr="000F02CC">
        <w:t>K. W.</w:t>
      </w:r>
      <w:r>
        <w:t>;</w:t>
      </w:r>
      <w:r w:rsidRPr="000F02CC">
        <w:t xml:space="preserve"> Kerr</w:t>
      </w:r>
      <w:r>
        <w:t xml:space="preserve">, W. J.; </w:t>
      </w:r>
      <w:r w:rsidRPr="000F02CC">
        <w:t>Moir</w:t>
      </w:r>
      <w:r>
        <w:t>,</w:t>
      </w:r>
      <w:r w:rsidRPr="002B089F">
        <w:t xml:space="preserve"> </w:t>
      </w:r>
      <w:r w:rsidRPr="000F02CC">
        <w:t xml:space="preserve">J. H. </w:t>
      </w:r>
      <w:r w:rsidRPr="000F02CC">
        <w:rPr>
          <w:i/>
        </w:rPr>
        <w:t>Synlett,</w:t>
      </w:r>
      <w:r w:rsidRPr="000F02CC">
        <w:t xml:space="preserve"> </w:t>
      </w:r>
      <w:r w:rsidRPr="002B089F">
        <w:rPr>
          <w:b/>
        </w:rPr>
        <w:t>2001</w:t>
      </w:r>
      <w:r w:rsidRPr="000F02CC">
        <w:t>, 1253; (c) Henderson</w:t>
      </w:r>
      <w:r>
        <w:t>,</w:t>
      </w:r>
      <w:r w:rsidRPr="002B089F">
        <w:t xml:space="preserve"> </w:t>
      </w:r>
      <w:r w:rsidRPr="000F02CC">
        <w:t>K. W.</w:t>
      </w:r>
      <w:r>
        <w:t>;</w:t>
      </w:r>
      <w:r w:rsidRPr="000F02CC">
        <w:t xml:space="preserve"> Kerr</w:t>
      </w:r>
      <w:r>
        <w:t xml:space="preserve">, W. J.; </w:t>
      </w:r>
      <w:r w:rsidRPr="000F02CC">
        <w:t>Moir</w:t>
      </w:r>
      <w:r>
        <w:t>,</w:t>
      </w:r>
      <w:r w:rsidRPr="002B089F">
        <w:t xml:space="preserve"> </w:t>
      </w:r>
      <w:r w:rsidRPr="000F02CC">
        <w:t xml:space="preserve">J. H., </w:t>
      </w:r>
      <w:r w:rsidRPr="000F02CC">
        <w:rPr>
          <w:i/>
        </w:rPr>
        <w:t>Chem. Commun.</w:t>
      </w:r>
      <w:r w:rsidRPr="000F02CC">
        <w:t xml:space="preserve"> </w:t>
      </w:r>
      <w:r w:rsidRPr="002B089F">
        <w:rPr>
          <w:b/>
        </w:rPr>
        <w:t>2001</w:t>
      </w:r>
      <w:r w:rsidRPr="000F02CC">
        <w:t>, 1722; (d) Anderson</w:t>
      </w:r>
      <w:r>
        <w:t>,</w:t>
      </w:r>
      <w:r w:rsidRPr="002B089F">
        <w:t xml:space="preserve"> </w:t>
      </w:r>
      <w:r w:rsidRPr="000F02CC">
        <w:t>J. D.</w:t>
      </w:r>
      <w:r>
        <w:t>;</w:t>
      </w:r>
      <w:r w:rsidRPr="000F02CC">
        <w:t xml:space="preserve"> García García</w:t>
      </w:r>
      <w:r>
        <w:t>,</w:t>
      </w:r>
      <w:r w:rsidRPr="002B089F">
        <w:t xml:space="preserve"> </w:t>
      </w:r>
      <w:r w:rsidRPr="000F02CC">
        <w:t>P.</w:t>
      </w:r>
      <w:r>
        <w:t>;</w:t>
      </w:r>
      <w:r w:rsidRPr="000F02CC">
        <w:t xml:space="preserve"> Hayes</w:t>
      </w:r>
      <w:r>
        <w:t>,</w:t>
      </w:r>
      <w:r w:rsidRPr="002B089F">
        <w:t xml:space="preserve"> </w:t>
      </w:r>
      <w:r w:rsidRPr="000F02CC">
        <w:t>D.</w:t>
      </w:r>
      <w:r>
        <w:t>;</w:t>
      </w:r>
      <w:r w:rsidRPr="000F02CC">
        <w:t xml:space="preserve"> Henderson</w:t>
      </w:r>
      <w:r>
        <w:t>,</w:t>
      </w:r>
      <w:r w:rsidRPr="002B089F">
        <w:t xml:space="preserve"> </w:t>
      </w:r>
      <w:r w:rsidRPr="000F02CC">
        <w:t>K. W.</w:t>
      </w:r>
      <w:r>
        <w:t>;</w:t>
      </w:r>
      <w:r w:rsidRPr="000F02CC">
        <w:t xml:space="preserve"> Kerr</w:t>
      </w:r>
      <w:r>
        <w:t>,</w:t>
      </w:r>
      <w:r w:rsidRPr="002B089F">
        <w:t xml:space="preserve"> </w:t>
      </w:r>
      <w:r w:rsidRPr="000F02CC">
        <w:t>W. J.</w:t>
      </w:r>
      <w:r>
        <w:t>;</w:t>
      </w:r>
      <w:r w:rsidRPr="000F02CC">
        <w:t xml:space="preserve"> Moir</w:t>
      </w:r>
      <w:r>
        <w:t xml:space="preserve">, J. H.; </w:t>
      </w:r>
      <w:r w:rsidRPr="000F02CC">
        <w:t>Fondekar</w:t>
      </w:r>
      <w:r>
        <w:t>,</w:t>
      </w:r>
      <w:r w:rsidRPr="00156262">
        <w:t xml:space="preserve"> </w:t>
      </w:r>
      <w:r w:rsidRPr="000F02CC">
        <w:t xml:space="preserve">K. P. </w:t>
      </w:r>
      <w:r>
        <w:rPr>
          <w:i/>
        </w:rPr>
        <w:t>Tetrahedron Lett.</w:t>
      </w:r>
      <w:r w:rsidRPr="000F02CC">
        <w:t xml:space="preserve"> </w:t>
      </w:r>
      <w:r w:rsidRPr="00156262">
        <w:rPr>
          <w:b/>
        </w:rPr>
        <w:t>2001</w:t>
      </w:r>
      <w:r w:rsidRPr="000F02CC">
        <w:t xml:space="preserve">, </w:t>
      </w:r>
      <w:r w:rsidRPr="00156262">
        <w:t>42</w:t>
      </w:r>
      <w:r w:rsidRPr="000F02CC">
        <w:t>, 7111; (e) Henderson</w:t>
      </w:r>
      <w:r>
        <w:t>,</w:t>
      </w:r>
      <w:r w:rsidRPr="00156262">
        <w:t xml:space="preserve"> </w:t>
      </w:r>
      <w:r w:rsidRPr="000F02CC">
        <w:t>K. W.</w:t>
      </w:r>
      <w:r>
        <w:t>;</w:t>
      </w:r>
      <w:r w:rsidRPr="000F02CC">
        <w:t xml:space="preserve"> Kerr</w:t>
      </w:r>
      <w:r>
        <w:t xml:space="preserve">, W. J.; </w:t>
      </w:r>
      <w:r w:rsidRPr="000F02CC">
        <w:t>Moir</w:t>
      </w:r>
      <w:r>
        <w:t>,</w:t>
      </w:r>
      <w:r w:rsidRPr="00156262">
        <w:t xml:space="preserve"> </w:t>
      </w:r>
      <w:r w:rsidRPr="000F02CC">
        <w:t xml:space="preserve">J. H. </w:t>
      </w:r>
      <w:r>
        <w:rPr>
          <w:i/>
        </w:rPr>
        <w:t>Tetrahedron</w:t>
      </w:r>
      <w:r w:rsidRPr="000F02CC">
        <w:t xml:space="preserve"> </w:t>
      </w:r>
      <w:r w:rsidRPr="00156262">
        <w:rPr>
          <w:b/>
        </w:rPr>
        <w:t>2002</w:t>
      </w:r>
      <w:r w:rsidRPr="000F02CC">
        <w:t xml:space="preserve">, </w:t>
      </w:r>
      <w:r w:rsidRPr="00156262">
        <w:t>58</w:t>
      </w:r>
      <w:r w:rsidRPr="000F02CC">
        <w:t>, 4573; (f) Carswell</w:t>
      </w:r>
      <w:r>
        <w:t>,</w:t>
      </w:r>
      <w:r w:rsidRPr="00156262">
        <w:t xml:space="preserve"> </w:t>
      </w:r>
      <w:r w:rsidRPr="000F02CC">
        <w:t>E. L</w:t>
      </w:r>
      <w:r>
        <w:t>.;</w:t>
      </w:r>
      <w:r w:rsidRPr="000F02CC">
        <w:t xml:space="preserve"> Hayes</w:t>
      </w:r>
      <w:r>
        <w:t>,</w:t>
      </w:r>
      <w:r w:rsidRPr="00156262">
        <w:t xml:space="preserve"> </w:t>
      </w:r>
      <w:r w:rsidRPr="000F02CC">
        <w:t>D.</w:t>
      </w:r>
      <w:r>
        <w:t>;</w:t>
      </w:r>
      <w:r w:rsidRPr="000F02CC">
        <w:t xml:space="preserve"> Henderson</w:t>
      </w:r>
      <w:r>
        <w:t>,</w:t>
      </w:r>
      <w:r w:rsidRPr="00156262">
        <w:t xml:space="preserve"> </w:t>
      </w:r>
      <w:r w:rsidRPr="000F02CC">
        <w:t>K. W.</w:t>
      </w:r>
      <w:r>
        <w:t>;</w:t>
      </w:r>
      <w:r w:rsidRPr="000F02CC">
        <w:t xml:space="preserve"> Kerr</w:t>
      </w:r>
      <w:r>
        <w:t xml:space="preserve">, W. J.; </w:t>
      </w:r>
      <w:r w:rsidRPr="000F02CC">
        <w:t>Russell</w:t>
      </w:r>
      <w:r>
        <w:t>,</w:t>
      </w:r>
      <w:r w:rsidRPr="00156262">
        <w:t xml:space="preserve"> </w:t>
      </w:r>
      <w:r w:rsidRPr="000F02CC">
        <w:t xml:space="preserve">C. J. </w:t>
      </w:r>
      <w:r>
        <w:rPr>
          <w:i/>
        </w:rPr>
        <w:t>Synlett</w:t>
      </w:r>
      <w:r w:rsidRPr="000F02CC">
        <w:t xml:space="preserve"> </w:t>
      </w:r>
      <w:r w:rsidRPr="00156262">
        <w:rPr>
          <w:b/>
        </w:rPr>
        <w:t>2003</w:t>
      </w:r>
      <w:r w:rsidRPr="000F02CC">
        <w:t>, 1017; (g) Bassindale</w:t>
      </w:r>
      <w:r>
        <w:t>,</w:t>
      </w:r>
      <w:r w:rsidRPr="00156262">
        <w:t xml:space="preserve"> </w:t>
      </w:r>
      <w:r w:rsidRPr="000F02CC">
        <w:t>M. J.</w:t>
      </w:r>
      <w:r>
        <w:t>;</w:t>
      </w:r>
      <w:r w:rsidRPr="000F02CC">
        <w:t xml:space="preserve"> Crawford</w:t>
      </w:r>
      <w:r>
        <w:t>,</w:t>
      </w:r>
      <w:r w:rsidRPr="00156262">
        <w:t xml:space="preserve"> </w:t>
      </w:r>
      <w:r w:rsidRPr="000F02CC">
        <w:t>J. J.</w:t>
      </w:r>
      <w:r>
        <w:t>;</w:t>
      </w:r>
      <w:r w:rsidRPr="000F02CC">
        <w:t xml:space="preserve"> Henderson</w:t>
      </w:r>
      <w:r>
        <w:t xml:space="preserve">, K. W.; </w:t>
      </w:r>
      <w:r w:rsidRPr="000F02CC">
        <w:t>Kerr</w:t>
      </w:r>
      <w:r>
        <w:t>,</w:t>
      </w:r>
      <w:r w:rsidRPr="00156262">
        <w:t xml:space="preserve"> </w:t>
      </w:r>
      <w:r w:rsidRPr="000F02CC">
        <w:t xml:space="preserve">W. J. </w:t>
      </w:r>
      <w:r w:rsidRPr="000F02CC">
        <w:rPr>
          <w:i/>
        </w:rPr>
        <w:t>Tetrahedron L</w:t>
      </w:r>
      <w:r>
        <w:rPr>
          <w:i/>
        </w:rPr>
        <w:t>ett.</w:t>
      </w:r>
      <w:r w:rsidRPr="000F02CC">
        <w:t xml:space="preserve"> </w:t>
      </w:r>
      <w:r w:rsidRPr="00156262">
        <w:rPr>
          <w:b/>
        </w:rPr>
        <w:t>2004</w:t>
      </w:r>
      <w:r w:rsidRPr="000F02CC">
        <w:t xml:space="preserve">, </w:t>
      </w:r>
      <w:r w:rsidRPr="00156262">
        <w:t>45</w:t>
      </w:r>
      <w:r w:rsidRPr="000F02CC">
        <w:t xml:space="preserve">, 4175. </w:t>
      </w:r>
      <w:r>
        <w:t xml:space="preserve">(h) Kerr, W. J.; Middleditch, M.; Watson, A. J. B. </w:t>
      </w:r>
      <w:r w:rsidRPr="007076F6">
        <w:rPr>
          <w:i/>
        </w:rPr>
        <w:t>Synlett</w:t>
      </w:r>
      <w:r>
        <w:t xml:space="preserve"> </w:t>
      </w:r>
      <w:r>
        <w:rPr>
          <w:b/>
        </w:rPr>
        <w:t>2011</w:t>
      </w:r>
      <w:r>
        <w:t xml:space="preserve">, 177; (i) Bennie, L. S.; Kerr, W. J.; Middleditch, M.; Watson, A. J. B. </w:t>
      </w:r>
      <w:r w:rsidRPr="00DA7B5B">
        <w:rPr>
          <w:i/>
        </w:rPr>
        <w:t>Chem. Commun</w:t>
      </w:r>
      <w:r>
        <w:t xml:space="preserve">. </w:t>
      </w:r>
      <w:r>
        <w:rPr>
          <w:b/>
        </w:rPr>
        <w:t>2011</w:t>
      </w:r>
      <w:r>
        <w:t xml:space="preserve">, </w:t>
      </w:r>
      <w:r w:rsidRPr="00CA5F98">
        <w:t>47</w:t>
      </w:r>
      <w:r>
        <w:t xml:space="preserve">, 2264. </w:t>
      </w:r>
      <w:r w:rsidRPr="000F02CC">
        <w:t xml:space="preserve">For the development of </w:t>
      </w:r>
      <w:r>
        <w:t xml:space="preserve">associated </w:t>
      </w:r>
      <w:r w:rsidRPr="000F02CC">
        <w:t>achiral carbon-centred magnesium base processes, see:</w:t>
      </w:r>
      <w:r w:rsidRPr="00DA7B5B">
        <w:rPr>
          <w:sz w:val="24"/>
        </w:rPr>
        <w:t xml:space="preserve"> </w:t>
      </w:r>
      <w:r w:rsidRPr="000F02CC">
        <w:t>(</w:t>
      </w:r>
      <w:r>
        <w:t>j</w:t>
      </w:r>
      <w:r w:rsidRPr="000F02CC">
        <w:t>) Kerr</w:t>
      </w:r>
      <w:r>
        <w:t>,</w:t>
      </w:r>
      <w:r w:rsidRPr="00156262">
        <w:t xml:space="preserve"> </w:t>
      </w:r>
      <w:r w:rsidRPr="000F02CC">
        <w:t>W. J.</w:t>
      </w:r>
      <w:r>
        <w:t>;</w:t>
      </w:r>
      <w:r w:rsidRPr="000F02CC">
        <w:t xml:space="preserve"> Watson</w:t>
      </w:r>
      <w:r>
        <w:t xml:space="preserve">, A. J. B.; </w:t>
      </w:r>
      <w:r w:rsidRPr="000F02CC">
        <w:t>Hayes</w:t>
      </w:r>
      <w:r>
        <w:t>,</w:t>
      </w:r>
      <w:r w:rsidRPr="00156262">
        <w:t xml:space="preserve"> </w:t>
      </w:r>
      <w:r w:rsidRPr="000F02CC">
        <w:t>D.</w:t>
      </w:r>
      <w:r>
        <w:t xml:space="preserve"> </w:t>
      </w:r>
      <w:r w:rsidRPr="00DA7B5B">
        <w:rPr>
          <w:i/>
        </w:rPr>
        <w:t>Chem. Commun.</w:t>
      </w:r>
      <w:r w:rsidRPr="000F02CC">
        <w:t xml:space="preserve"> </w:t>
      </w:r>
      <w:r w:rsidRPr="00DA7B5B">
        <w:rPr>
          <w:b/>
        </w:rPr>
        <w:t>2007</w:t>
      </w:r>
      <w:r w:rsidRPr="000F02CC">
        <w:t>, 5049; (</w:t>
      </w:r>
      <w:r>
        <w:t>k</w:t>
      </w:r>
      <w:r w:rsidRPr="000F02CC">
        <w:t>) Kerr</w:t>
      </w:r>
      <w:r>
        <w:t>,</w:t>
      </w:r>
      <w:r w:rsidRPr="00156262">
        <w:t xml:space="preserve"> </w:t>
      </w:r>
      <w:r w:rsidRPr="000F02CC">
        <w:t>W. J.</w:t>
      </w:r>
      <w:r>
        <w:t>;</w:t>
      </w:r>
      <w:r w:rsidRPr="000F02CC">
        <w:t xml:space="preserve"> Watson</w:t>
      </w:r>
      <w:r>
        <w:t>,</w:t>
      </w:r>
      <w:r w:rsidRPr="000F02CC">
        <w:t xml:space="preserve"> A. J. B.</w:t>
      </w:r>
      <w:r>
        <w:t xml:space="preserve">; </w:t>
      </w:r>
      <w:r w:rsidRPr="000F02CC">
        <w:t>Hayes</w:t>
      </w:r>
      <w:r>
        <w:t>,</w:t>
      </w:r>
      <w:r w:rsidRPr="00156262">
        <w:t xml:space="preserve"> </w:t>
      </w:r>
      <w:r w:rsidRPr="000F02CC">
        <w:t xml:space="preserve">D. </w:t>
      </w:r>
      <w:r w:rsidRPr="00DA7B5B">
        <w:rPr>
          <w:i/>
        </w:rPr>
        <w:t>Synlett</w:t>
      </w:r>
      <w:r w:rsidRPr="000F02CC">
        <w:t xml:space="preserve"> </w:t>
      </w:r>
      <w:r w:rsidRPr="00DA7B5B">
        <w:rPr>
          <w:b/>
        </w:rPr>
        <w:t>2008</w:t>
      </w:r>
      <w:r w:rsidRPr="000F02CC">
        <w:t>, 1386; (</w:t>
      </w:r>
      <w:r>
        <w:t>l</w:t>
      </w:r>
      <w:r w:rsidRPr="000F02CC">
        <w:t>) Kerr</w:t>
      </w:r>
      <w:r>
        <w:t>,</w:t>
      </w:r>
      <w:r w:rsidRPr="00156262">
        <w:t xml:space="preserve"> </w:t>
      </w:r>
      <w:r w:rsidRPr="000F02CC">
        <w:t>W. J.</w:t>
      </w:r>
      <w:r>
        <w:t>;</w:t>
      </w:r>
      <w:r w:rsidRPr="000F02CC">
        <w:t xml:space="preserve"> Watson</w:t>
      </w:r>
      <w:r>
        <w:t xml:space="preserve">, A. J. B.; </w:t>
      </w:r>
      <w:r w:rsidRPr="000F02CC">
        <w:t>Hayes</w:t>
      </w:r>
      <w:r>
        <w:t>,</w:t>
      </w:r>
      <w:r w:rsidRPr="00156262">
        <w:t xml:space="preserve"> </w:t>
      </w:r>
      <w:r w:rsidRPr="000F02CC">
        <w:t xml:space="preserve">D. </w:t>
      </w:r>
      <w:r w:rsidRPr="00DA7B5B">
        <w:rPr>
          <w:i/>
        </w:rPr>
        <w:t>Org. Biomol. Chem.</w:t>
      </w:r>
      <w:r w:rsidRPr="000F02CC">
        <w:t xml:space="preserve"> </w:t>
      </w:r>
      <w:r w:rsidRPr="00DA7B5B">
        <w:rPr>
          <w:b/>
        </w:rPr>
        <w:t>2008</w:t>
      </w:r>
      <w:r w:rsidRPr="000F02CC">
        <w:t xml:space="preserve">, </w:t>
      </w:r>
      <w:r w:rsidRPr="00156262">
        <w:t>6</w:t>
      </w:r>
      <w:r>
        <w:t>, 1238.</w:t>
      </w:r>
    </w:p>
    <w:p w:rsidR="008C744A" w:rsidRPr="000F02CC" w:rsidRDefault="008C744A" w:rsidP="008C744A">
      <w:pPr>
        <w:pStyle w:val="ElsReferences"/>
      </w:pPr>
      <w:r w:rsidRPr="000F02CC">
        <w:t>For a review on the development and application of magnesium amides, see: Henderson</w:t>
      </w:r>
      <w:r w:rsidR="00E066D9">
        <w:t>,</w:t>
      </w:r>
      <w:r w:rsidR="00CA5F98">
        <w:t xml:space="preserve"> K. W</w:t>
      </w:r>
      <w:r w:rsidR="00F03BDD">
        <w:t>.</w:t>
      </w:r>
      <w:r w:rsidR="00CA5F98">
        <w:t xml:space="preserve">; </w:t>
      </w:r>
      <w:r w:rsidRPr="000F02CC">
        <w:t>Kerr</w:t>
      </w:r>
      <w:r w:rsidR="00E066D9">
        <w:t>,</w:t>
      </w:r>
      <w:r w:rsidRPr="002B089F">
        <w:t xml:space="preserve"> </w:t>
      </w:r>
      <w:r w:rsidRPr="000F02CC">
        <w:t xml:space="preserve">W. J. </w:t>
      </w:r>
      <w:r w:rsidRPr="000F02CC">
        <w:rPr>
          <w:i/>
        </w:rPr>
        <w:t>Chem</w:t>
      </w:r>
      <w:r w:rsidR="00F03BDD">
        <w:rPr>
          <w:i/>
        </w:rPr>
        <w:t>.</w:t>
      </w:r>
      <w:r w:rsidRPr="000F02CC">
        <w:rPr>
          <w:i/>
        </w:rPr>
        <w:t xml:space="preserve"> Eur. J.</w:t>
      </w:r>
      <w:r w:rsidRPr="000F02CC">
        <w:t xml:space="preserve"> </w:t>
      </w:r>
      <w:r w:rsidRPr="002B089F">
        <w:rPr>
          <w:b/>
        </w:rPr>
        <w:t>2001</w:t>
      </w:r>
      <w:r w:rsidRPr="000F02CC">
        <w:t xml:space="preserve">, </w:t>
      </w:r>
      <w:r w:rsidRPr="002B089F">
        <w:t>7</w:t>
      </w:r>
      <w:r w:rsidRPr="000F02CC">
        <w:t>, 3430.</w:t>
      </w:r>
    </w:p>
    <w:p w:rsidR="008C744A" w:rsidRPr="000F02CC" w:rsidRDefault="00F03BDD" w:rsidP="00DA7B5B">
      <w:pPr>
        <w:pStyle w:val="ElsReferences"/>
      </w:pPr>
      <w:r w:rsidRPr="000F02CC">
        <w:rPr>
          <w:lang w:val="de-DE"/>
        </w:rPr>
        <w:t xml:space="preserve">For reviews on asymmetric deprotonations, see: </w:t>
      </w:r>
      <w:r w:rsidRPr="00091554">
        <w:t>(a)</w:t>
      </w:r>
      <w:r>
        <w:rPr>
          <w:lang w:val="de-DE"/>
        </w:rPr>
        <w:t xml:space="preserve"> </w:t>
      </w:r>
      <w:r w:rsidRPr="000F02CC">
        <w:rPr>
          <w:lang w:val="de-DE"/>
        </w:rPr>
        <w:t>Simpkins</w:t>
      </w:r>
      <w:r>
        <w:rPr>
          <w:lang w:val="de-DE"/>
        </w:rPr>
        <w:t>, N. S.</w:t>
      </w:r>
      <w:r w:rsidRPr="000F02CC">
        <w:rPr>
          <w:lang w:val="de-DE"/>
        </w:rPr>
        <w:t xml:space="preserve"> </w:t>
      </w:r>
      <w:r w:rsidRPr="000F02CC">
        <w:rPr>
          <w:i/>
          <w:lang w:val="de-DE"/>
        </w:rPr>
        <w:t>Chem. So</w:t>
      </w:r>
      <w:r>
        <w:rPr>
          <w:i/>
          <w:lang w:val="de-DE"/>
        </w:rPr>
        <w:t>c. Rev.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1990</w:t>
      </w:r>
      <w:r w:rsidRPr="000F02CC">
        <w:rPr>
          <w:lang w:val="de-DE"/>
        </w:rPr>
        <w:t xml:space="preserve">, </w:t>
      </w:r>
      <w:r w:rsidRPr="002B089F">
        <w:rPr>
          <w:lang w:val="de-DE"/>
        </w:rPr>
        <w:t>19</w:t>
      </w:r>
      <w:r w:rsidRPr="000F02CC">
        <w:rPr>
          <w:lang w:val="de-DE"/>
        </w:rPr>
        <w:t>, 335; (b) Cox</w:t>
      </w:r>
      <w:r>
        <w:rPr>
          <w:lang w:val="de-DE"/>
        </w:rPr>
        <w:t xml:space="preserve">, P. J.; </w:t>
      </w:r>
      <w:r w:rsidRPr="000F02CC">
        <w:rPr>
          <w:lang w:val="de-DE"/>
        </w:rPr>
        <w:t>Simpkins</w:t>
      </w:r>
      <w:r>
        <w:rPr>
          <w:lang w:val="de-DE"/>
        </w:rPr>
        <w:t>, N. S.</w:t>
      </w:r>
      <w:r w:rsidRPr="000F02CC">
        <w:rPr>
          <w:lang w:val="de-DE"/>
        </w:rPr>
        <w:t xml:space="preserve"> </w:t>
      </w:r>
      <w:r>
        <w:rPr>
          <w:i/>
          <w:lang w:val="de-DE"/>
        </w:rPr>
        <w:t>Tetrahedron: Asymm.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1991</w:t>
      </w:r>
      <w:r w:rsidRPr="000F02CC">
        <w:rPr>
          <w:lang w:val="de-DE"/>
        </w:rPr>
        <w:t xml:space="preserve">, </w:t>
      </w:r>
      <w:r w:rsidRPr="002B089F">
        <w:rPr>
          <w:lang w:val="de-DE"/>
        </w:rPr>
        <w:t>2</w:t>
      </w:r>
      <w:r w:rsidRPr="000F02CC">
        <w:rPr>
          <w:lang w:val="de-DE"/>
        </w:rPr>
        <w:t>, 1; (c) Simpkins</w:t>
      </w:r>
      <w:r>
        <w:rPr>
          <w:lang w:val="de-DE"/>
        </w:rPr>
        <w:t>, N. S.</w:t>
      </w:r>
      <w:r w:rsidRPr="000F02CC">
        <w:rPr>
          <w:lang w:val="de-DE"/>
        </w:rPr>
        <w:t xml:space="preserve"> </w:t>
      </w:r>
      <w:r w:rsidRPr="000F02CC">
        <w:rPr>
          <w:i/>
          <w:lang w:val="de-DE"/>
        </w:rPr>
        <w:t>Pure Appl. Chem.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1996</w:t>
      </w:r>
      <w:r w:rsidRPr="000F02CC">
        <w:rPr>
          <w:lang w:val="de-DE"/>
        </w:rPr>
        <w:t xml:space="preserve">, </w:t>
      </w:r>
      <w:r w:rsidRPr="002B089F">
        <w:rPr>
          <w:lang w:val="de-DE"/>
        </w:rPr>
        <w:t>68</w:t>
      </w:r>
      <w:r>
        <w:rPr>
          <w:lang w:val="de-DE"/>
        </w:rPr>
        <w:t xml:space="preserve">, 691; (d) </w:t>
      </w:r>
      <w:r w:rsidRPr="000F02CC">
        <w:rPr>
          <w:lang w:val="de-DE"/>
        </w:rPr>
        <w:t>O’Brien</w:t>
      </w:r>
      <w:r>
        <w:rPr>
          <w:lang w:val="de-DE"/>
        </w:rPr>
        <w:t>, P.</w:t>
      </w:r>
      <w:r w:rsidRPr="000F02CC">
        <w:rPr>
          <w:lang w:val="de-DE"/>
        </w:rPr>
        <w:t xml:space="preserve"> </w:t>
      </w:r>
      <w:r>
        <w:rPr>
          <w:i/>
          <w:lang w:val="de-DE"/>
        </w:rPr>
        <w:t>J. Chem. Soc., Perkin Trans. 1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1998</w:t>
      </w:r>
      <w:r w:rsidRPr="000F02CC">
        <w:rPr>
          <w:lang w:val="de-DE"/>
        </w:rPr>
        <w:t>, 1439; (e) O’Brien</w:t>
      </w:r>
      <w:r>
        <w:rPr>
          <w:lang w:val="de-DE"/>
        </w:rPr>
        <w:t>, P.</w:t>
      </w:r>
      <w:r w:rsidRPr="000F02CC">
        <w:rPr>
          <w:lang w:val="de-DE"/>
        </w:rPr>
        <w:t xml:space="preserve"> </w:t>
      </w:r>
      <w:r>
        <w:rPr>
          <w:i/>
          <w:lang w:val="de-DE"/>
        </w:rPr>
        <w:t>J. Chem. Soc., Perkin Trans. 1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2001</w:t>
      </w:r>
      <w:r>
        <w:rPr>
          <w:lang w:val="de-DE"/>
        </w:rPr>
        <w:t xml:space="preserve">, 95; (f) </w:t>
      </w:r>
      <w:r w:rsidRPr="000F02CC">
        <w:rPr>
          <w:lang w:val="de-DE"/>
        </w:rPr>
        <w:t>Jones</w:t>
      </w:r>
      <w:r>
        <w:rPr>
          <w:lang w:val="de-DE"/>
        </w:rPr>
        <w:t>, S.</w:t>
      </w:r>
      <w:r w:rsidRPr="000F02CC">
        <w:rPr>
          <w:lang w:val="de-DE"/>
        </w:rPr>
        <w:t xml:space="preserve"> </w:t>
      </w:r>
      <w:r>
        <w:rPr>
          <w:i/>
          <w:lang w:val="de-DE"/>
        </w:rPr>
        <w:t>J. Chem. Soc., Perkin Trans. 1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2002</w:t>
      </w:r>
      <w:r>
        <w:rPr>
          <w:lang w:val="de-DE"/>
        </w:rPr>
        <w:t xml:space="preserve">, 1; (g) </w:t>
      </w:r>
      <w:r w:rsidRPr="000F02CC">
        <w:rPr>
          <w:lang w:val="de-DE"/>
        </w:rPr>
        <w:t>Plaquevent</w:t>
      </w:r>
      <w:r>
        <w:rPr>
          <w:lang w:val="de-DE"/>
        </w:rPr>
        <w:t>,</w:t>
      </w:r>
      <w:r w:rsidRPr="002B089F">
        <w:rPr>
          <w:lang w:val="de-DE"/>
        </w:rPr>
        <w:t xml:space="preserve"> </w:t>
      </w:r>
      <w:r w:rsidRPr="000F02CC">
        <w:rPr>
          <w:lang w:val="de-DE"/>
        </w:rPr>
        <w:t>J.-C.</w:t>
      </w:r>
      <w:r>
        <w:rPr>
          <w:lang w:val="de-DE"/>
        </w:rPr>
        <w:t>;</w:t>
      </w:r>
      <w:r w:rsidRPr="000F02CC">
        <w:rPr>
          <w:lang w:val="de-DE"/>
        </w:rPr>
        <w:t xml:space="preserve"> Perrard</w:t>
      </w:r>
      <w:r>
        <w:rPr>
          <w:lang w:val="de-DE"/>
        </w:rPr>
        <w:t>,</w:t>
      </w:r>
      <w:r w:rsidRPr="000F02CC">
        <w:rPr>
          <w:lang w:val="de-DE"/>
        </w:rPr>
        <w:t xml:space="preserve"> T.</w:t>
      </w:r>
      <w:r>
        <w:rPr>
          <w:lang w:val="de-DE"/>
        </w:rPr>
        <w:t xml:space="preserve"> </w:t>
      </w:r>
      <w:r w:rsidRPr="000F02CC">
        <w:rPr>
          <w:lang w:val="de-DE"/>
        </w:rPr>
        <w:t>and Cahard</w:t>
      </w:r>
      <w:r>
        <w:rPr>
          <w:lang w:val="de-DE"/>
        </w:rPr>
        <w:t>,</w:t>
      </w:r>
      <w:r w:rsidRPr="002B089F">
        <w:rPr>
          <w:lang w:val="de-DE"/>
        </w:rPr>
        <w:t xml:space="preserve"> </w:t>
      </w:r>
      <w:r w:rsidRPr="000F02CC">
        <w:rPr>
          <w:lang w:val="de-DE"/>
        </w:rPr>
        <w:t xml:space="preserve">D. </w:t>
      </w:r>
      <w:r>
        <w:rPr>
          <w:i/>
          <w:lang w:val="de-DE"/>
        </w:rPr>
        <w:t>Chem. Eur. J.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2002</w:t>
      </w:r>
      <w:r w:rsidRPr="000F02CC">
        <w:rPr>
          <w:lang w:val="de-DE"/>
        </w:rPr>
        <w:t xml:space="preserve">, </w:t>
      </w:r>
      <w:r w:rsidRPr="002B089F">
        <w:rPr>
          <w:lang w:val="de-DE"/>
        </w:rPr>
        <w:t>8</w:t>
      </w:r>
      <w:r w:rsidRPr="000F02CC">
        <w:rPr>
          <w:lang w:val="de-DE"/>
        </w:rPr>
        <w:t>, 3300; (h) Eames</w:t>
      </w:r>
      <w:r>
        <w:rPr>
          <w:lang w:val="de-DE"/>
        </w:rPr>
        <w:t>,</w:t>
      </w:r>
      <w:r w:rsidRPr="002B089F">
        <w:rPr>
          <w:lang w:val="de-DE"/>
        </w:rPr>
        <w:t xml:space="preserve"> </w:t>
      </w:r>
      <w:r w:rsidRPr="000F02CC">
        <w:rPr>
          <w:lang w:val="de-DE"/>
        </w:rPr>
        <w:t xml:space="preserve">J. </w:t>
      </w:r>
      <w:r>
        <w:rPr>
          <w:i/>
          <w:lang w:val="de-DE"/>
        </w:rPr>
        <w:t>Eur. J. Org. Chem.</w:t>
      </w:r>
      <w:r w:rsidRPr="000F02CC">
        <w:rPr>
          <w:lang w:val="de-DE"/>
        </w:rPr>
        <w:t xml:space="preserve"> </w:t>
      </w:r>
      <w:r w:rsidRPr="002B089F">
        <w:rPr>
          <w:b/>
          <w:lang w:val="de-DE"/>
        </w:rPr>
        <w:t>2002</w:t>
      </w:r>
      <w:r w:rsidRPr="000F02CC">
        <w:rPr>
          <w:lang w:val="de-DE"/>
        </w:rPr>
        <w:t>, 393;</w:t>
      </w:r>
      <w:r w:rsidRPr="00742A52">
        <w:t xml:space="preserve"> </w:t>
      </w:r>
      <w:r>
        <w:rPr>
          <w:lang w:val="de-DE"/>
        </w:rPr>
        <w:t>(i</w:t>
      </w:r>
      <w:r w:rsidRPr="000F02CC">
        <w:rPr>
          <w:lang w:val="de-DE"/>
        </w:rPr>
        <w:t xml:space="preserve">) </w:t>
      </w:r>
      <w:r w:rsidRPr="00091554">
        <w:t>Simpkins</w:t>
      </w:r>
      <w:r>
        <w:t>,</w:t>
      </w:r>
      <w:r w:rsidRPr="002B089F">
        <w:t xml:space="preserve"> </w:t>
      </w:r>
      <w:r w:rsidRPr="00091554">
        <w:t xml:space="preserve">N. S. </w:t>
      </w:r>
      <w:r>
        <w:rPr>
          <w:i/>
        </w:rPr>
        <w:t>Top. Stereochem.</w:t>
      </w:r>
      <w:r w:rsidRPr="00091554">
        <w:t xml:space="preserve"> </w:t>
      </w:r>
      <w:r w:rsidRPr="002B089F">
        <w:rPr>
          <w:b/>
        </w:rPr>
        <w:t>2010</w:t>
      </w:r>
      <w:r w:rsidRPr="00091554">
        <w:t xml:space="preserve">, </w:t>
      </w:r>
      <w:r w:rsidRPr="002B089F">
        <w:t>26</w:t>
      </w:r>
      <w:r w:rsidRPr="00091554">
        <w:t>, 1.</w:t>
      </w:r>
      <w:r w:rsidR="00DA7B5B">
        <w:t xml:space="preserve"> </w:t>
      </w:r>
    </w:p>
    <w:p w:rsidR="00073544" w:rsidRDefault="008C744A" w:rsidP="008C744A">
      <w:pPr>
        <w:pStyle w:val="ElsReferences"/>
      </w:pPr>
      <w:r w:rsidRPr="000F02CC">
        <w:t>(a) Cimarelli</w:t>
      </w:r>
      <w:r w:rsidR="00E066D9">
        <w:t>,</w:t>
      </w:r>
      <w:r w:rsidRPr="00156262">
        <w:t xml:space="preserve"> </w:t>
      </w:r>
      <w:r w:rsidRPr="000F02CC">
        <w:t>C.</w:t>
      </w:r>
      <w:r>
        <w:t>;</w:t>
      </w:r>
      <w:r w:rsidRPr="000F02CC">
        <w:t xml:space="preserve"> Mazzanti</w:t>
      </w:r>
      <w:r w:rsidR="00E066D9">
        <w:t>,</w:t>
      </w:r>
      <w:r w:rsidRPr="00156262">
        <w:t xml:space="preserve"> </w:t>
      </w:r>
      <w:r w:rsidRPr="000F02CC">
        <w:t>A.</w:t>
      </w:r>
      <w:r>
        <w:t>;</w:t>
      </w:r>
      <w:r w:rsidRPr="000F02CC">
        <w:t xml:space="preserve"> Palmieri</w:t>
      </w:r>
      <w:r w:rsidR="00E066D9">
        <w:t>,</w:t>
      </w:r>
      <w:r w:rsidR="00CA5F98">
        <w:t xml:space="preserve"> G.; </w:t>
      </w:r>
      <w:r w:rsidRPr="000F02CC">
        <w:t>Volpini</w:t>
      </w:r>
      <w:r w:rsidR="00E066D9">
        <w:t>,</w:t>
      </w:r>
      <w:r w:rsidRPr="00156262">
        <w:t xml:space="preserve"> </w:t>
      </w:r>
      <w:r w:rsidRPr="000F02CC">
        <w:t xml:space="preserve">E. </w:t>
      </w:r>
      <w:r w:rsidRPr="00073544">
        <w:rPr>
          <w:i/>
        </w:rPr>
        <w:t>J. Org. Chem.</w:t>
      </w:r>
      <w:r w:rsidRPr="000F02CC">
        <w:t xml:space="preserve"> </w:t>
      </w:r>
      <w:r w:rsidRPr="00073544">
        <w:rPr>
          <w:b/>
        </w:rPr>
        <w:t>2001</w:t>
      </w:r>
      <w:r w:rsidRPr="000F02CC">
        <w:t xml:space="preserve">, </w:t>
      </w:r>
      <w:r w:rsidRPr="00156262">
        <w:t>66</w:t>
      </w:r>
      <w:r w:rsidRPr="000F02CC">
        <w:t>, 4759; (b) Cimarelli</w:t>
      </w:r>
      <w:r w:rsidR="00E066D9">
        <w:t>,</w:t>
      </w:r>
      <w:r w:rsidRPr="00156262">
        <w:t xml:space="preserve"> </w:t>
      </w:r>
      <w:r w:rsidRPr="000F02CC">
        <w:t>C.</w:t>
      </w:r>
      <w:r>
        <w:t>;</w:t>
      </w:r>
      <w:r w:rsidRPr="000F02CC">
        <w:t xml:space="preserve"> Palmieri</w:t>
      </w:r>
      <w:r w:rsidR="00E066D9">
        <w:t>,</w:t>
      </w:r>
      <w:r w:rsidRPr="000F02CC">
        <w:t xml:space="preserve"> G.</w:t>
      </w:r>
      <w:r w:rsidR="00CA5F98">
        <w:t xml:space="preserve">; </w:t>
      </w:r>
      <w:r w:rsidRPr="000F02CC">
        <w:t>Volpini</w:t>
      </w:r>
      <w:r w:rsidR="00E066D9">
        <w:t>,</w:t>
      </w:r>
      <w:r w:rsidRPr="00156262">
        <w:t xml:space="preserve"> </w:t>
      </w:r>
      <w:r w:rsidRPr="000F02CC">
        <w:t xml:space="preserve">E. </w:t>
      </w:r>
      <w:r w:rsidR="00F5377D">
        <w:rPr>
          <w:i/>
          <w:iCs/>
        </w:rPr>
        <w:t xml:space="preserve">Tetrahedron: </w:t>
      </w:r>
      <w:r w:rsidR="00F5377D" w:rsidRPr="00F5377D">
        <w:rPr>
          <w:i/>
          <w:iCs/>
          <w:highlight w:val="yellow"/>
        </w:rPr>
        <w:t>Asymmetry</w:t>
      </w:r>
      <w:r w:rsidRPr="00073544">
        <w:rPr>
          <w:i/>
          <w:iCs/>
        </w:rPr>
        <w:t xml:space="preserve"> </w:t>
      </w:r>
      <w:r w:rsidRPr="00073544">
        <w:rPr>
          <w:b/>
          <w:bCs/>
        </w:rPr>
        <w:t>2002</w:t>
      </w:r>
      <w:r w:rsidRPr="000F02CC">
        <w:t xml:space="preserve">, </w:t>
      </w:r>
      <w:r w:rsidRPr="00156262">
        <w:t>13</w:t>
      </w:r>
      <w:r w:rsidRPr="00073544">
        <w:rPr>
          <w:i/>
        </w:rPr>
        <w:t>,</w:t>
      </w:r>
      <w:r w:rsidRPr="000F02CC">
        <w:t xml:space="preserve"> 2417; (c) Gong</w:t>
      </w:r>
      <w:r w:rsidR="00E066D9">
        <w:t>,</w:t>
      </w:r>
      <w:r w:rsidRPr="000F02CC">
        <w:t xml:space="preserve"> Y.</w:t>
      </w:r>
      <w:r w:rsidR="00CA5F98">
        <w:t xml:space="preserve">; </w:t>
      </w:r>
      <w:r w:rsidRPr="000F02CC">
        <w:t>Kato</w:t>
      </w:r>
      <w:r w:rsidR="00E066D9">
        <w:t>,</w:t>
      </w:r>
      <w:r w:rsidRPr="00156262">
        <w:t xml:space="preserve"> </w:t>
      </w:r>
      <w:r w:rsidRPr="000F02CC">
        <w:t xml:space="preserve">K. </w:t>
      </w:r>
      <w:r w:rsidR="00F5377D">
        <w:rPr>
          <w:i/>
        </w:rPr>
        <w:t xml:space="preserve">Tetrahedron: </w:t>
      </w:r>
      <w:r w:rsidR="00F5377D" w:rsidRPr="00F5377D">
        <w:rPr>
          <w:i/>
          <w:highlight w:val="yellow"/>
        </w:rPr>
        <w:t>Asymmetry</w:t>
      </w:r>
      <w:r w:rsidRPr="000F02CC">
        <w:t xml:space="preserve"> </w:t>
      </w:r>
      <w:r w:rsidRPr="00073544">
        <w:rPr>
          <w:b/>
        </w:rPr>
        <w:t>2001</w:t>
      </w:r>
      <w:r w:rsidRPr="000F02CC">
        <w:t xml:space="preserve">, </w:t>
      </w:r>
      <w:r w:rsidRPr="00156262">
        <w:t>12</w:t>
      </w:r>
      <w:r w:rsidRPr="000F02CC">
        <w:t xml:space="preserve">, 2121. </w:t>
      </w:r>
    </w:p>
    <w:p w:rsidR="008C744A" w:rsidRPr="000F02CC" w:rsidRDefault="008C744A" w:rsidP="008C744A">
      <w:pPr>
        <w:pStyle w:val="ElsReferences"/>
      </w:pPr>
      <w:r w:rsidRPr="000F02CC">
        <w:t>Commercially available from Aldrich Chemical Co., CAS# [1191-47-5], catalogue no. 345113.</w:t>
      </w:r>
    </w:p>
    <w:p w:rsidR="008C744A" w:rsidRDefault="008C744A" w:rsidP="008C744A">
      <w:pPr>
        <w:pStyle w:val="ElsReferences"/>
      </w:pPr>
      <w:r w:rsidRPr="000F02CC">
        <w:rPr>
          <w:vertAlign w:val="superscript"/>
        </w:rPr>
        <w:t>1</w:t>
      </w:r>
      <w:r w:rsidRPr="000F02CC">
        <w:t xml:space="preserve">H NMR analysis </w:t>
      </w:r>
      <w:r w:rsidRPr="008D2E32">
        <w:t xml:space="preserve">of </w:t>
      </w:r>
      <w:r w:rsidR="008D2E32" w:rsidRPr="008D2E32">
        <w:rPr>
          <w:b/>
        </w:rPr>
        <w:t>3</w:t>
      </w:r>
      <w:r w:rsidRPr="008D2E32">
        <w:rPr>
          <w:b/>
        </w:rPr>
        <w:t>a</w:t>
      </w:r>
      <w:r w:rsidRPr="000F02CC">
        <w:t xml:space="preserve"> in C</w:t>
      </w:r>
      <w:r w:rsidRPr="000F02CC">
        <w:rPr>
          <w:vertAlign w:val="subscript"/>
        </w:rPr>
        <w:t>6</w:t>
      </w:r>
      <w:r w:rsidRPr="000F02CC">
        <w:t>D</w:t>
      </w:r>
      <w:r w:rsidRPr="000F02CC">
        <w:rPr>
          <w:vertAlign w:val="subscript"/>
        </w:rPr>
        <w:t>6</w:t>
      </w:r>
      <w:r w:rsidRPr="000F02CC">
        <w:t xml:space="preserve"> showed complete disappearance of NH and OH signals after 1 hour</w:t>
      </w:r>
      <w:r w:rsidR="006A7428">
        <w:t xml:space="preserve"> reaction time</w:t>
      </w:r>
      <w:r w:rsidRPr="000F02CC">
        <w:t>.</w:t>
      </w:r>
    </w:p>
    <w:p w:rsidR="00E33BEE" w:rsidRPr="001C5098" w:rsidRDefault="00E33BEE" w:rsidP="008C744A">
      <w:pPr>
        <w:pStyle w:val="ElsReferences"/>
      </w:pPr>
      <w:r w:rsidRPr="00E33BEE">
        <w:rPr>
          <w:lang w:val="en-GB"/>
        </w:rPr>
        <w:t xml:space="preserve">Perrin, D. D; Armarego, W. L. F. </w:t>
      </w:r>
      <w:r w:rsidRPr="00E33BEE">
        <w:rPr>
          <w:i/>
          <w:lang w:val="en-GB"/>
        </w:rPr>
        <w:t>Purification of Laboratory Chemicals</w:t>
      </w:r>
      <w:r w:rsidRPr="00E33BEE">
        <w:rPr>
          <w:lang w:val="en-GB"/>
        </w:rPr>
        <w:t>, 3</w:t>
      </w:r>
      <w:r w:rsidRPr="00E33BEE">
        <w:rPr>
          <w:vertAlign w:val="superscript"/>
          <w:lang w:val="en-GB"/>
        </w:rPr>
        <w:t>rd</w:t>
      </w:r>
      <w:r>
        <w:rPr>
          <w:lang w:val="en-GB"/>
        </w:rPr>
        <w:t xml:space="preserve"> Ed.; Pergamon Press:</w:t>
      </w:r>
      <w:r w:rsidRPr="00E33BEE">
        <w:rPr>
          <w:lang w:val="en-GB"/>
        </w:rPr>
        <w:t xml:space="preserve"> Oxford, 1998.</w:t>
      </w:r>
    </w:p>
    <w:p w:rsidR="001C5098" w:rsidRPr="00F228CA" w:rsidRDefault="001C5098" w:rsidP="008C744A">
      <w:pPr>
        <w:pStyle w:val="ElsReferences"/>
      </w:pPr>
      <w:r w:rsidRPr="001C5098">
        <w:rPr>
          <w:lang w:val="en-GB"/>
        </w:rPr>
        <w:t xml:space="preserve">Love, B. E.; Jones, E. G. </w:t>
      </w:r>
      <w:r>
        <w:rPr>
          <w:i/>
          <w:lang w:val="en-GB"/>
        </w:rPr>
        <w:t>J. Org. Chem.</w:t>
      </w:r>
      <w:r w:rsidRPr="001C5098">
        <w:rPr>
          <w:lang w:val="en-GB"/>
        </w:rPr>
        <w:t xml:space="preserve"> </w:t>
      </w:r>
      <w:r w:rsidRPr="001C5098">
        <w:rPr>
          <w:b/>
          <w:lang w:val="en-GB"/>
        </w:rPr>
        <w:t>1999</w:t>
      </w:r>
      <w:r w:rsidRPr="001C5098">
        <w:rPr>
          <w:lang w:val="en-GB"/>
        </w:rPr>
        <w:t>, 64, 3755.</w:t>
      </w:r>
    </w:p>
    <w:p w:rsidR="00F228CA" w:rsidRPr="00120C83" w:rsidRDefault="00F228CA" w:rsidP="008C744A">
      <w:pPr>
        <w:pStyle w:val="ElsReferences"/>
      </w:pPr>
      <w:r w:rsidRPr="00F228CA">
        <w:rPr>
          <w:lang w:val="pl-PL"/>
        </w:rPr>
        <w:t xml:space="preserve">Betti, M. </w:t>
      </w:r>
      <w:r w:rsidRPr="00F228CA">
        <w:rPr>
          <w:i/>
          <w:iCs/>
          <w:lang w:val="pl-PL"/>
        </w:rPr>
        <w:t>Organic Syntheses Collective</w:t>
      </w:r>
      <w:r>
        <w:rPr>
          <w:i/>
          <w:iCs/>
          <w:lang w:val="pl-PL"/>
        </w:rPr>
        <w:t xml:space="preserve"> Vol.</w:t>
      </w:r>
      <w:r w:rsidRPr="00F228CA">
        <w:rPr>
          <w:i/>
          <w:iCs/>
          <w:lang w:val="pl-PL"/>
        </w:rPr>
        <w:t>,</w:t>
      </w:r>
      <w:r w:rsidRPr="00F228CA">
        <w:rPr>
          <w:lang w:val="pl-PL"/>
        </w:rPr>
        <w:t xml:space="preserve"> </w:t>
      </w:r>
      <w:r w:rsidRPr="00F228CA">
        <w:rPr>
          <w:b/>
          <w:bCs/>
          <w:lang w:val="pl-PL"/>
        </w:rPr>
        <w:t>1941</w:t>
      </w:r>
      <w:r w:rsidRPr="00F228CA">
        <w:rPr>
          <w:lang w:val="pl-PL"/>
        </w:rPr>
        <w:t xml:space="preserve">, </w:t>
      </w:r>
      <w:r w:rsidRPr="00F228CA">
        <w:rPr>
          <w:iCs/>
          <w:lang w:val="pl-PL"/>
        </w:rPr>
        <w:t>1</w:t>
      </w:r>
      <w:r w:rsidRPr="00F228CA">
        <w:rPr>
          <w:lang w:val="pl-PL"/>
        </w:rPr>
        <w:t>, 381.</w:t>
      </w:r>
    </w:p>
    <w:p w:rsidR="00120C83" w:rsidRDefault="00120C83" w:rsidP="008C744A">
      <w:pPr>
        <w:pStyle w:val="ElsReferences"/>
      </w:pPr>
      <w:r w:rsidRPr="00120C83">
        <w:rPr>
          <w:lang w:bidi="en-US"/>
        </w:rPr>
        <w:t xml:space="preserve">Betti, M. </w:t>
      </w:r>
      <w:r w:rsidRPr="00120C83">
        <w:rPr>
          <w:i/>
          <w:iCs/>
          <w:lang w:bidi="en-US"/>
        </w:rPr>
        <w:t>Gazz. Chim. Ital</w:t>
      </w:r>
      <w:r w:rsidRPr="00120C83">
        <w:rPr>
          <w:lang w:bidi="en-US"/>
        </w:rPr>
        <w:t xml:space="preserve">., </w:t>
      </w:r>
      <w:r w:rsidRPr="00120C83">
        <w:rPr>
          <w:b/>
          <w:bCs/>
          <w:lang w:bidi="en-US"/>
        </w:rPr>
        <w:t>1906</w:t>
      </w:r>
      <w:r w:rsidRPr="00120C83">
        <w:rPr>
          <w:lang w:bidi="en-US"/>
        </w:rPr>
        <w:t xml:space="preserve">, </w:t>
      </w:r>
      <w:r w:rsidRPr="00120C83">
        <w:rPr>
          <w:iCs/>
          <w:lang w:bidi="en-US"/>
        </w:rPr>
        <w:t>36 II</w:t>
      </w:r>
      <w:r w:rsidRPr="00120C83">
        <w:rPr>
          <w:lang w:bidi="en-US"/>
        </w:rPr>
        <w:t>, 392.</w:t>
      </w:r>
    </w:p>
    <w:p w:rsidR="00F06C26" w:rsidRDefault="00F06C26" w:rsidP="00F06C26">
      <w:pPr>
        <w:pStyle w:val="ElsReferences"/>
      </w:pPr>
      <w:r w:rsidRPr="00F06C26">
        <w:rPr>
          <w:lang w:bidi="en-US"/>
        </w:rPr>
        <w:t xml:space="preserve">Cardellicchio, C.; Ciccarella, G.; Naso, F.; Schingaro, E.; Scordari, F. </w:t>
      </w:r>
      <w:r>
        <w:rPr>
          <w:i/>
          <w:lang w:bidi="en-US"/>
        </w:rPr>
        <w:t>Tetrahedron: Asymmetry</w:t>
      </w:r>
      <w:r w:rsidRPr="00F06C26">
        <w:rPr>
          <w:lang w:bidi="en-US"/>
        </w:rPr>
        <w:t xml:space="preserve"> </w:t>
      </w:r>
      <w:r w:rsidRPr="00F06C26">
        <w:rPr>
          <w:b/>
          <w:lang w:bidi="en-US"/>
        </w:rPr>
        <w:t>1998</w:t>
      </w:r>
      <w:r w:rsidRPr="00F06C26">
        <w:rPr>
          <w:lang w:bidi="en-US"/>
        </w:rPr>
        <w:t>, 9, 3667.</w:t>
      </w:r>
    </w:p>
    <w:p w:rsidR="00D6293D" w:rsidRDefault="00D6293D" w:rsidP="00D6293D">
      <w:pPr>
        <w:pStyle w:val="ElsReferences"/>
      </w:pPr>
      <w:r>
        <w:t xml:space="preserve">Henderson, K. W.; Kerr, W. J.; Moir, J. H. </w:t>
      </w:r>
      <w:r w:rsidRPr="00D6293D">
        <w:rPr>
          <w:i/>
        </w:rPr>
        <w:t>Tetrahedron</w:t>
      </w:r>
      <w:r>
        <w:t xml:space="preserve"> </w:t>
      </w:r>
      <w:r w:rsidRPr="00D6293D">
        <w:rPr>
          <w:b/>
        </w:rPr>
        <w:t>2002</w:t>
      </w:r>
      <w:r>
        <w:t xml:space="preserve">, 58, 4573. </w:t>
      </w:r>
    </w:p>
    <w:p w:rsidR="00D6293D" w:rsidRDefault="00D6293D" w:rsidP="00D6293D">
      <w:pPr>
        <w:pStyle w:val="ElsReferences"/>
      </w:pPr>
      <w:r>
        <w:t xml:space="preserve">Graf, C.-D.; Malan, C.; Harms, K.; Knochel, P. </w:t>
      </w:r>
      <w:r w:rsidRPr="00D6293D">
        <w:rPr>
          <w:i/>
        </w:rPr>
        <w:t>J. Org. Chem</w:t>
      </w:r>
      <w:r>
        <w:t xml:space="preserve">. </w:t>
      </w:r>
      <w:r w:rsidRPr="00D6293D">
        <w:rPr>
          <w:b/>
        </w:rPr>
        <w:t>1999</w:t>
      </w:r>
      <w:r>
        <w:t>, 64, 5581.</w:t>
      </w:r>
    </w:p>
    <w:p w:rsidR="00D6293D" w:rsidRDefault="00D6293D" w:rsidP="00D6293D">
      <w:pPr>
        <w:pStyle w:val="ElsReferences"/>
      </w:pPr>
      <w:r>
        <w:t xml:space="preserve">Cain, C. M.; Cousins, R. P. C.; Coumbarides, G.; Simpkins, N. S. </w:t>
      </w:r>
      <w:r w:rsidRPr="00D6293D">
        <w:rPr>
          <w:i/>
        </w:rPr>
        <w:t>Tetrahedron</w:t>
      </w:r>
      <w:r>
        <w:t xml:space="preserve">, </w:t>
      </w:r>
      <w:r w:rsidRPr="00D6293D">
        <w:rPr>
          <w:b/>
        </w:rPr>
        <w:t>1990</w:t>
      </w:r>
      <w:r>
        <w:t>, 46, 523.</w:t>
      </w:r>
    </w:p>
    <w:p w:rsidR="00D6293D" w:rsidRDefault="00D6293D" w:rsidP="00D6293D">
      <w:pPr>
        <w:pStyle w:val="ElsReferences"/>
      </w:pPr>
      <w:r>
        <w:t xml:space="preserve">Cousins, R. P. C.; Simpkins, N. S. </w:t>
      </w:r>
      <w:r w:rsidRPr="00D6293D">
        <w:rPr>
          <w:i/>
        </w:rPr>
        <w:t>Tetrahedron Lett</w:t>
      </w:r>
      <w:r>
        <w:t xml:space="preserve">. </w:t>
      </w:r>
      <w:r w:rsidRPr="00D6293D">
        <w:rPr>
          <w:b/>
        </w:rPr>
        <w:t>1989</w:t>
      </w:r>
      <w:r>
        <w:t>, 30, 7241.</w:t>
      </w:r>
    </w:p>
    <w:p w:rsidR="00D6293D" w:rsidRDefault="00D6293D" w:rsidP="00D6293D">
      <w:pPr>
        <w:pStyle w:val="ElsReferences"/>
      </w:pPr>
      <w:r>
        <w:t xml:space="preserve">Graf, C.-D.; Malan, C.; Knochel, P. </w:t>
      </w:r>
      <w:r w:rsidRPr="00D6293D">
        <w:rPr>
          <w:i/>
        </w:rPr>
        <w:t>Angew. Chem., Int. Ed</w:t>
      </w:r>
      <w:r>
        <w:t xml:space="preserve">. </w:t>
      </w:r>
      <w:r w:rsidRPr="00D6293D">
        <w:rPr>
          <w:b/>
        </w:rPr>
        <w:t>1998</w:t>
      </w:r>
      <w:r>
        <w:t>, 37, 3014.</w:t>
      </w:r>
    </w:p>
    <w:p w:rsidR="00FF699A" w:rsidRPr="007944A3" w:rsidRDefault="00FF699A" w:rsidP="00D6293D">
      <w:pPr>
        <w:pStyle w:val="ElsReferences"/>
      </w:pPr>
      <w:r w:rsidRPr="00FF699A">
        <w:rPr>
          <w:lang w:val="de-DE"/>
        </w:rPr>
        <w:t xml:space="preserve">Aoki, K.; Nakajima, M.; Tomioka K.; Koga, K. </w:t>
      </w:r>
      <w:r w:rsidRPr="00FF699A">
        <w:rPr>
          <w:i/>
          <w:lang w:val="de-DE"/>
        </w:rPr>
        <w:t>Chem. Pharm. Bull.</w:t>
      </w:r>
      <w:r w:rsidRPr="00FF699A">
        <w:rPr>
          <w:lang w:val="de-DE"/>
        </w:rPr>
        <w:t xml:space="preserve"> </w:t>
      </w:r>
      <w:r w:rsidRPr="00FF699A">
        <w:rPr>
          <w:b/>
          <w:lang w:val="de-DE"/>
        </w:rPr>
        <w:t>1993</w:t>
      </w:r>
      <w:r w:rsidRPr="00FF699A">
        <w:rPr>
          <w:lang w:val="de-DE"/>
        </w:rPr>
        <w:t>, 41, 994.</w:t>
      </w:r>
    </w:p>
    <w:p w:rsidR="007944A3" w:rsidRPr="00E33BEE" w:rsidRDefault="007944A3" w:rsidP="00D6293D">
      <w:pPr>
        <w:pStyle w:val="ElsReferences"/>
      </w:pPr>
      <w:r w:rsidRPr="007944A3">
        <w:rPr>
          <w:lang w:val="en-GB"/>
        </w:rPr>
        <w:t>K</w:t>
      </w:r>
      <w:r w:rsidRPr="007944A3">
        <w:rPr>
          <w:lang w:val="pl-PL"/>
        </w:rPr>
        <w:t xml:space="preserve">im, </w:t>
      </w:r>
      <w:r w:rsidRPr="007944A3">
        <w:rPr>
          <w:lang w:val="de-DE"/>
        </w:rPr>
        <w:t xml:space="preserve">H.; </w:t>
      </w:r>
      <w:r w:rsidRPr="007944A3">
        <w:rPr>
          <w:lang w:val="pl-PL"/>
        </w:rPr>
        <w:t xml:space="preserve">Shirai, R.; Kawasaki, H.; Nakajima, M.; Koga, K. </w:t>
      </w:r>
      <w:r w:rsidRPr="007944A3">
        <w:rPr>
          <w:i/>
          <w:lang w:val="pl-PL"/>
        </w:rPr>
        <w:t>Heterocycles</w:t>
      </w:r>
      <w:r w:rsidRPr="007944A3">
        <w:rPr>
          <w:lang w:val="pl-PL"/>
        </w:rPr>
        <w:t xml:space="preserve"> </w:t>
      </w:r>
      <w:r w:rsidRPr="007944A3">
        <w:rPr>
          <w:b/>
          <w:lang w:val="pl-PL"/>
        </w:rPr>
        <w:t>1990</w:t>
      </w:r>
      <w:r w:rsidRPr="007944A3">
        <w:rPr>
          <w:lang w:val="pl-PL"/>
        </w:rPr>
        <w:t>, 30, 307.</w:t>
      </w:r>
    </w:p>
    <w:p w:rsidR="004C116E" w:rsidRDefault="004C116E">
      <w:pPr>
        <w:pStyle w:val="ElsParagraph"/>
      </w:pPr>
    </w:p>
    <w:p w:rsidR="009D5D8E" w:rsidRDefault="009D5D8E">
      <w:pPr>
        <w:pStyle w:val="ElsParagraph"/>
      </w:pPr>
    </w:p>
    <w:p w:rsidR="004C116E" w:rsidRDefault="00600511">
      <w:pPr>
        <w:pStyle w:val="ElsParagraph"/>
        <w:sectPr w:rsidR="004C116E">
          <w:headerReference w:type="even" r:id="rId31"/>
          <w:type w:val="continuous"/>
          <w:pgSz w:w="11906" w:h="16838" w:code="9"/>
          <w:pgMar w:top="964" w:right="766" w:bottom="1242" w:left="766" w:header="720" w:footer="238" w:gutter="0"/>
          <w:cols w:num="2" w:space="360"/>
        </w:sectPr>
      </w:pPr>
      <w:r>
        <w:object w:dxaOrig="1440" w:dyaOrig="1440">
          <v:shape id="_x0000_i1038" type="#_x0000_t75" style="width:224.25pt;height:24pt" o:ole="">
            <v:imagedata r:id="rId32" o:title=""/>
          </v:shape>
          <w:control r:id="rId33" w:name="CommandButton1" w:shapeid="_x0000_i1038"/>
        </w:object>
      </w:r>
    </w:p>
    <w:bookmarkEnd w:id="1"/>
    <w:p w:rsidR="004E6587" w:rsidRDefault="004E6587">
      <w:pPr>
        <w:pStyle w:val="ElsParagraph"/>
      </w:pPr>
    </w:p>
    <w:sectPr w:rsidR="004E6587">
      <w:type w:val="continuous"/>
      <w:pgSz w:w="11906" w:h="16838" w:code="9"/>
      <w:pgMar w:top="964" w:right="766" w:bottom="1242" w:left="766" w:header="720" w:footer="238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3E" w:rsidRDefault="0057123E">
      <w:r>
        <w:separator/>
      </w:r>
    </w:p>
  </w:endnote>
  <w:endnote w:type="continuationSeparator" w:id="0">
    <w:p w:rsidR="0057123E" w:rsidRDefault="005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3E" w:rsidRDefault="0057123E">
      <w:r>
        <w:t>———</w:t>
      </w:r>
    </w:p>
  </w:footnote>
  <w:footnote w:type="continuationSeparator" w:id="0">
    <w:p w:rsidR="0057123E" w:rsidRDefault="0057123E">
      <w:r>
        <w:t>———</w:t>
      </w:r>
    </w:p>
  </w:footnote>
  <w:footnote w:type="continuationNotice" w:id="1">
    <w:p w:rsidR="0057123E" w:rsidRDefault="0057123E"/>
  </w:footnote>
  <w:footnote w:id="2">
    <w:p w:rsidR="0057123E" w:rsidRDefault="0057123E" w:rsidP="00B375AD">
      <w:pPr>
        <w:pStyle w:val="ElsCorrespondingAuthor"/>
      </w:pPr>
      <w:r>
        <w:sym w:font="Symbol" w:char="F02A"/>
      </w:r>
      <w:r>
        <w:t xml:space="preserve"> Corresponding author. Tel.: +44-141-548-2959; fax: +44-141-548-4822; e-mail: </w:t>
      </w:r>
      <w:hyperlink r:id="rId1" w:history="1">
        <w:r w:rsidRPr="00274B20">
          <w:rPr>
            <w:rStyle w:val="Hyperlink"/>
          </w:rPr>
          <w:t>w.kerr@strath.ac.uk</w:t>
        </w:r>
      </w:hyperlink>
    </w:p>
    <w:p w:rsidR="0057123E" w:rsidRPr="00AE61CE" w:rsidRDefault="0057123E" w:rsidP="00AE61CE">
      <w:pPr>
        <w:pStyle w:val="ElsFootnote"/>
        <w:rPr>
          <w:sz w:val="16"/>
          <w:szCs w:val="16"/>
          <w:lang w:val="en-GB"/>
        </w:rPr>
      </w:pPr>
      <w:r w:rsidRPr="00AE61CE">
        <w:rPr>
          <w:sz w:val="16"/>
          <w:szCs w:val="16"/>
          <w:vertAlign w:val="superscript"/>
        </w:rPr>
        <w:t>¶</w:t>
      </w:r>
      <w:r w:rsidRPr="00AE61CE">
        <w:rPr>
          <w:sz w:val="16"/>
          <w:szCs w:val="16"/>
        </w:rPr>
        <w:t xml:space="preserve"> Present address: </w:t>
      </w:r>
      <w:r w:rsidRPr="00AE61CE">
        <w:rPr>
          <w:sz w:val="16"/>
          <w:szCs w:val="16"/>
          <w:lang w:val="en-GB"/>
        </w:rPr>
        <w:t>The Beatson Institute for Cancer Research, Garscube Estate, Switchback Road</w:t>
      </w:r>
      <w:r w:rsidR="00C404EB">
        <w:rPr>
          <w:sz w:val="16"/>
          <w:szCs w:val="16"/>
          <w:lang w:val="en-GB"/>
        </w:rPr>
        <w:t>, Bearsden, Glasgow, G61 1BD, U</w:t>
      </w:r>
      <w:r w:rsidRPr="00AE61CE">
        <w:rPr>
          <w:sz w:val="16"/>
          <w:szCs w:val="16"/>
          <w:lang w:val="en-GB"/>
        </w:rPr>
        <w:t>K.</w:t>
      </w:r>
    </w:p>
    <w:p w:rsidR="0057123E" w:rsidRPr="00AE61CE" w:rsidRDefault="0057123E" w:rsidP="00AE61CE">
      <w:pPr>
        <w:pStyle w:val="Els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E" w:rsidRDefault="005712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23E" w:rsidRDefault="005712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E" w:rsidRDefault="005712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53D">
      <w:rPr>
        <w:rStyle w:val="PageNumber"/>
        <w:noProof/>
      </w:rPr>
      <w:t>1</w:t>
    </w:r>
    <w:r>
      <w:rPr>
        <w:rStyle w:val="PageNumber"/>
      </w:rPr>
      <w:fldChar w:fldCharType="end"/>
    </w:r>
  </w:p>
  <w:p w:rsidR="0057123E" w:rsidRDefault="0057123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E" w:rsidRDefault="0057123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57123E" w:rsidRDefault="0057123E">
    <w:pPr>
      <w:tabs>
        <w:tab w:val="center" w:pos="4560"/>
        <w:tab w:val="right" w:pos="9120"/>
      </w:tabs>
      <w:ind w:right="360" w:firstLine="360"/>
      <w:jc w:val="center"/>
    </w:pPr>
    <w:r>
      <w:t>Tetrahedron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E" w:rsidRDefault="0057123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FE753D">
      <w:rPr>
        <w:noProof/>
      </w:rPr>
      <w:t>2</w:t>
    </w:r>
    <w:r>
      <w:fldChar w:fldCharType="end"/>
    </w:r>
  </w:p>
  <w:p w:rsidR="0057123E" w:rsidRDefault="0057123E">
    <w:pPr>
      <w:tabs>
        <w:tab w:val="center" w:pos="4560"/>
        <w:tab w:val="right" w:pos="9120"/>
      </w:tabs>
      <w:ind w:right="360" w:firstLine="360"/>
      <w:jc w:val="center"/>
    </w:pPr>
    <w:r>
      <w:t>Tetrahedron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50C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71A05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88C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A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F4CB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3402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8E2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2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C8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2C7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B1227"/>
    <w:multiLevelType w:val="hybridMultilevel"/>
    <w:tmpl w:val="AACCE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A73AB1"/>
    <w:multiLevelType w:val="singleLevel"/>
    <w:tmpl w:val="462C837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</w:abstractNum>
  <w:abstractNum w:abstractNumId="12">
    <w:nsid w:val="10511D3C"/>
    <w:multiLevelType w:val="singleLevel"/>
    <w:tmpl w:val="741E2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322B9F"/>
    <w:multiLevelType w:val="multilevel"/>
    <w:tmpl w:val="0EFC4B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46D20"/>
    <w:multiLevelType w:val="multilevel"/>
    <w:tmpl w:val="6CA8E890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abstractNum w:abstractNumId="16">
    <w:nsid w:val="323C5259"/>
    <w:multiLevelType w:val="hybridMultilevel"/>
    <w:tmpl w:val="CD745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4490A28"/>
    <w:multiLevelType w:val="hybridMultilevel"/>
    <w:tmpl w:val="5C16277A"/>
    <w:lvl w:ilvl="0" w:tplc="54467A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F354B3"/>
    <w:multiLevelType w:val="singleLevel"/>
    <w:tmpl w:val="3926C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986FF5"/>
    <w:multiLevelType w:val="multilevel"/>
    <w:tmpl w:val="BAC6F0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5">
    <w:nsid w:val="4054252C"/>
    <w:multiLevelType w:val="hybridMultilevel"/>
    <w:tmpl w:val="7E723910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11E9D"/>
    <w:multiLevelType w:val="hybridMultilevel"/>
    <w:tmpl w:val="410CE03C"/>
    <w:lvl w:ilvl="0" w:tplc="BB7E510A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752CF"/>
    <w:multiLevelType w:val="hybridMultilevel"/>
    <w:tmpl w:val="E7ECE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C455C"/>
    <w:multiLevelType w:val="hybridMultilevel"/>
    <w:tmpl w:val="5BAEB2B0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D4228"/>
    <w:multiLevelType w:val="singleLevel"/>
    <w:tmpl w:val="9430724E"/>
    <w:lvl w:ilvl="0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</w:lvl>
  </w:abstractNum>
  <w:abstractNum w:abstractNumId="32">
    <w:nsid w:val="5069112E"/>
    <w:multiLevelType w:val="multilevel"/>
    <w:tmpl w:val="2976199E"/>
    <w:lvl w:ilvl="0">
      <w:start w:val="1"/>
      <w:numFmt w:val="decimal"/>
      <w:pStyle w:val="Els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ls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3C78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B806BE"/>
    <w:multiLevelType w:val="hybridMultilevel"/>
    <w:tmpl w:val="EB8A94EC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81C9B9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113F1"/>
    <w:multiLevelType w:val="hybridMultilevel"/>
    <w:tmpl w:val="08946C94"/>
    <w:lvl w:ilvl="0" w:tplc="F47E3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777A0"/>
    <w:multiLevelType w:val="hybridMultilevel"/>
    <w:tmpl w:val="0C72A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643668"/>
    <w:multiLevelType w:val="singleLevel"/>
    <w:tmpl w:val="462C837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</w:abstractNum>
  <w:abstractNum w:abstractNumId="38">
    <w:nsid w:val="70535D76"/>
    <w:multiLevelType w:val="multilevel"/>
    <w:tmpl w:val="0B0892F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39">
    <w:nsid w:val="768108AC"/>
    <w:multiLevelType w:val="hybridMultilevel"/>
    <w:tmpl w:val="B082F9E6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851235"/>
    <w:multiLevelType w:val="hybridMultilevel"/>
    <w:tmpl w:val="08D2A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080F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EC77CB"/>
    <w:multiLevelType w:val="multilevel"/>
    <w:tmpl w:val="6CA8E890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38"/>
  </w:num>
  <w:num w:numId="6">
    <w:abstractNumId w:val="11"/>
  </w:num>
  <w:num w:numId="7">
    <w:abstractNumId w:val="37"/>
  </w:num>
  <w:num w:numId="8">
    <w:abstractNumId w:val="33"/>
  </w:num>
  <w:num w:numId="9">
    <w:abstractNumId w:val="15"/>
  </w:num>
  <w:num w:numId="10">
    <w:abstractNumId w:val="31"/>
  </w:num>
  <w:num w:numId="11">
    <w:abstractNumId w:val="10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4"/>
  </w:num>
  <w:num w:numId="25">
    <w:abstractNumId w:val="22"/>
  </w:num>
  <w:num w:numId="26">
    <w:abstractNumId w:val="26"/>
  </w:num>
  <w:num w:numId="27">
    <w:abstractNumId w:val="19"/>
  </w:num>
  <w:num w:numId="28">
    <w:abstractNumId w:val="17"/>
  </w:num>
  <w:num w:numId="29">
    <w:abstractNumId w:val="21"/>
  </w:num>
  <w:num w:numId="30">
    <w:abstractNumId w:val="20"/>
  </w:num>
  <w:num w:numId="31">
    <w:abstractNumId w:val="12"/>
  </w:num>
  <w:num w:numId="32">
    <w:abstractNumId w:val="16"/>
  </w:num>
  <w:num w:numId="33">
    <w:abstractNumId w:val="35"/>
  </w:num>
  <w:num w:numId="34">
    <w:abstractNumId w:val="34"/>
  </w:num>
  <w:num w:numId="35">
    <w:abstractNumId w:val="40"/>
  </w:num>
  <w:num w:numId="36">
    <w:abstractNumId w:val="18"/>
  </w:num>
  <w:num w:numId="37">
    <w:abstractNumId w:val="39"/>
  </w:num>
  <w:num w:numId="38">
    <w:abstractNumId w:val="30"/>
  </w:num>
  <w:num w:numId="39">
    <w:abstractNumId w:val="25"/>
  </w:num>
  <w:num w:numId="40">
    <w:abstractNumId w:val="27"/>
  </w:num>
  <w:num w:numId="41">
    <w:abstractNumId w:val="29"/>
  </w:num>
  <w:num w:numId="42">
    <w:abstractNumId w:val="32"/>
  </w:num>
  <w:num w:numId="43">
    <w:abstractNumId w:val="23"/>
  </w:num>
  <w:num w:numId="44">
    <w:abstractNumId w:val="4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1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footnot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922"/>
    <w:rsid w:val="000037DB"/>
    <w:rsid w:val="00022491"/>
    <w:rsid w:val="0005119B"/>
    <w:rsid w:val="00052922"/>
    <w:rsid w:val="00067418"/>
    <w:rsid w:val="00073544"/>
    <w:rsid w:val="00081A7D"/>
    <w:rsid w:val="000A03F9"/>
    <w:rsid w:val="000E5FF7"/>
    <w:rsid w:val="000F0EB1"/>
    <w:rsid w:val="00104789"/>
    <w:rsid w:val="00120C83"/>
    <w:rsid w:val="00157E73"/>
    <w:rsid w:val="00166C12"/>
    <w:rsid w:val="001B57E7"/>
    <w:rsid w:val="001C5098"/>
    <w:rsid w:val="00214D3A"/>
    <w:rsid w:val="00222E25"/>
    <w:rsid w:val="00245273"/>
    <w:rsid w:val="00247776"/>
    <w:rsid w:val="002B4AC6"/>
    <w:rsid w:val="002C0BF8"/>
    <w:rsid w:val="00351D5C"/>
    <w:rsid w:val="00357191"/>
    <w:rsid w:val="003846AB"/>
    <w:rsid w:val="003C6AB3"/>
    <w:rsid w:val="003D217B"/>
    <w:rsid w:val="003E70EB"/>
    <w:rsid w:val="00400009"/>
    <w:rsid w:val="00406712"/>
    <w:rsid w:val="0042608F"/>
    <w:rsid w:val="0043473E"/>
    <w:rsid w:val="004362D9"/>
    <w:rsid w:val="00474669"/>
    <w:rsid w:val="00494B44"/>
    <w:rsid w:val="004C116E"/>
    <w:rsid w:val="004E6587"/>
    <w:rsid w:val="004F2354"/>
    <w:rsid w:val="004F24C0"/>
    <w:rsid w:val="004F2570"/>
    <w:rsid w:val="0053442E"/>
    <w:rsid w:val="00544B49"/>
    <w:rsid w:val="005503B6"/>
    <w:rsid w:val="0057123E"/>
    <w:rsid w:val="005B2C8C"/>
    <w:rsid w:val="005B3472"/>
    <w:rsid w:val="005E2AD6"/>
    <w:rsid w:val="005F1F95"/>
    <w:rsid w:val="005F76A1"/>
    <w:rsid w:val="005F7AE8"/>
    <w:rsid w:val="00600511"/>
    <w:rsid w:val="006727B5"/>
    <w:rsid w:val="006806A5"/>
    <w:rsid w:val="006A7428"/>
    <w:rsid w:val="006B0ADD"/>
    <w:rsid w:val="006F5E9C"/>
    <w:rsid w:val="007076F6"/>
    <w:rsid w:val="007175E2"/>
    <w:rsid w:val="0074048A"/>
    <w:rsid w:val="00747F6B"/>
    <w:rsid w:val="0075105F"/>
    <w:rsid w:val="00753696"/>
    <w:rsid w:val="007944A3"/>
    <w:rsid w:val="007B0385"/>
    <w:rsid w:val="007B52AF"/>
    <w:rsid w:val="007B66BE"/>
    <w:rsid w:val="007C049B"/>
    <w:rsid w:val="008115BE"/>
    <w:rsid w:val="00815F88"/>
    <w:rsid w:val="008533CD"/>
    <w:rsid w:val="008830AF"/>
    <w:rsid w:val="008C744A"/>
    <w:rsid w:val="008C75CA"/>
    <w:rsid w:val="008D2E32"/>
    <w:rsid w:val="009158AC"/>
    <w:rsid w:val="00927F86"/>
    <w:rsid w:val="009715DD"/>
    <w:rsid w:val="00984822"/>
    <w:rsid w:val="00996663"/>
    <w:rsid w:val="009966B9"/>
    <w:rsid w:val="009B19D1"/>
    <w:rsid w:val="009C4CCC"/>
    <w:rsid w:val="009C67F1"/>
    <w:rsid w:val="009D44BE"/>
    <w:rsid w:val="009D5D8E"/>
    <w:rsid w:val="00A24333"/>
    <w:rsid w:val="00A269B4"/>
    <w:rsid w:val="00A357FF"/>
    <w:rsid w:val="00A40F1C"/>
    <w:rsid w:val="00A71C8C"/>
    <w:rsid w:val="00A97319"/>
    <w:rsid w:val="00AB4393"/>
    <w:rsid w:val="00AC22A1"/>
    <w:rsid w:val="00AE61CE"/>
    <w:rsid w:val="00B032FD"/>
    <w:rsid w:val="00B12066"/>
    <w:rsid w:val="00B12C5E"/>
    <w:rsid w:val="00B17C29"/>
    <w:rsid w:val="00B329FA"/>
    <w:rsid w:val="00B375AD"/>
    <w:rsid w:val="00B46068"/>
    <w:rsid w:val="00B51669"/>
    <w:rsid w:val="00B61875"/>
    <w:rsid w:val="00BA4108"/>
    <w:rsid w:val="00BF1C2F"/>
    <w:rsid w:val="00C00137"/>
    <w:rsid w:val="00C404EB"/>
    <w:rsid w:val="00C67A46"/>
    <w:rsid w:val="00CA5F98"/>
    <w:rsid w:val="00CB40B0"/>
    <w:rsid w:val="00CB5979"/>
    <w:rsid w:val="00CB5BC8"/>
    <w:rsid w:val="00CC048B"/>
    <w:rsid w:val="00CD3598"/>
    <w:rsid w:val="00CE72EA"/>
    <w:rsid w:val="00D35436"/>
    <w:rsid w:val="00D3693D"/>
    <w:rsid w:val="00D56A27"/>
    <w:rsid w:val="00D6293D"/>
    <w:rsid w:val="00D76033"/>
    <w:rsid w:val="00D80EAE"/>
    <w:rsid w:val="00DA73C2"/>
    <w:rsid w:val="00DA7B5B"/>
    <w:rsid w:val="00DB42F9"/>
    <w:rsid w:val="00DD66EF"/>
    <w:rsid w:val="00DF7608"/>
    <w:rsid w:val="00E008A0"/>
    <w:rsid w:val="00E066D9"/>
    <w:rsid w:val="00E1677A"/>
    <w:rsid w:val="00E33BEE"/>
    <w:rsid w:val="00E72BF2"/>
    <w:rsid w:val="00ED78D6"/>
    <w:rsid w:val="00EF50B7"/>
    <w:rsid w:val="00F00588"/>
    <w:rsid w:val="00F03BDD"/>
    <w:rsid w:val="00F06C26"/>
    <w:rsid w:val="00F228CA"/>
    <w:rsid w:val="00F26C58"/>
    <w:rsid w:val="00F52E82"/>
    <w:rsid w:val="00F5377D"/>
    <w:rsid w:val="00F563C9"/>
    <w:rsid w:val="00F905BD"/>
    <w:rsid w:val="00FD2493"/>
    <w:rsid w:val="00FE753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bstractHead">
    <w:name w:val="Els_AbstractHead"/>
    <w:rPr>
      <w:smallCaps/>
      <w:spacing w:val="24"/>
      <w:lang w:val="en-US" w:eastAsia="en-US"/>
    </w:rPr>
  </w:style>
  <w:style w:type="paragraph" w:customStyle="1" w:styleId="ElsAbstractText">
    <w:name w:val="Els_AbstractText"/>
    <w:pPr>
      <w:spacing w:after="80" w:line="200" w:lineRule="exact"/>
      <w:jc w:val="both"/>
    </w:pPr>
    <w:rPr>
      <w:sz w:val="17"/>
      <w:lang w:val="en" w:eastAsia="en-US"/>
    </w:rPr>
  </w:style>
  <w:style w:type="paragraph" w:customStyle="1" w:styleId="ElsAffiliation">
    <w:name w:val="Els_Affiliation"/>
    <w:pPr>
      <w:spacing w:line="200" w:lineRule="exact"/>
    </w:pPr>
    <w:rPr>
      <w:i/>
      <w:sz w:val="16"/>
      <w:lang w:val="en-US" w:eastAsia="en-US"/>
    </w:rPr>
  </w:style>
  <w:style w:type="paragraph" w:customStyle="1" w:styleId="ElsArticlehistory">
    <w:name w:val="Els_Articlehistory"/>
    <w:pPr>
      <w:spacing w:line="200" w:lineRule="exact"/>
    </w:pPr>
    <w:rPr>
      <w:i/>
      <w:sz w:val="16"/>
      <w:lang w:val="en-US" w:eastAsia="en-US"/>
    </w:rPr>
  </w:style>
  <w:style w:type="paragraph" w:customStyle="1" w:styleId="ElsArticleinfoHead">
    <w:name w:val="Els_ArticleinfoHead"/>
    <w:rPr>
      <w:smallCaps/>
      <w:spacing w:val="24"/>
      <w:lang w:val="en-US" w:eastAsia="en-US"/>
    </w:rPr>
  </w:style>
  <w:style w:type="paragraph" w:customStyle="1" w:styleId="ElsArticleTitle">
    <w:name w:val="Els_ArticleTitle"/>
    <w:next w:val="ElsAuthor"/>
    <w:pPr>
      <w:spacing w:before="360" w:after="240" w:line="350" w:lineRule="exact"/>
    </w:pPr>
    <w:rPr>
      <w:sz w:val="30"/>
      <w:lang w:val="en-US" w:eastAsia="en-US"/>
    </w:rPr>
  </w:style>
  <w:style w:type="paragraph" w:customStyle="1" w:styleId="ElsAuthor">
    <w:name w:val="Els_Author"/>
    <w:next w:val="ElsAffiliation"/>
    <w:pPr>
      <w:spacing w:after="160" w:line="290" w:lineRule="exact"/>
    </w:pPr>
    <w:rPr>
      <w:sz w:val="24"/>
      <w:lang w:val="en-US" w:eastAsia="en-US"/>
    </w:rPr>
  </w:style>
  <w:style w:type="paragraph" w:customStyle="1" w:styleId="ElsCorrespondingAuthor">
    <w:name w:val="Els_CorrespondingAuthor"/>
    <w:next w:val="ElsFootnote"/>
    <w:pPr>
      <w:spacing w:before="120" w:line="200" w:lineRule="exact"/>
    </w:pPr>
    <w:rPr>
      <w:sz w:val="18"/>
      <w:lang w:val="en-US" w:eastAsia="en-US"/>
    </w:rPr>
  </w:style>
  <w:style w:type="paragraph" w:customStyle="1" w:styleId="ElsDocumenttitle">
    <w:name w:val="Els_Document title"/>
    <w:next w:val="ElsArticleTitle"/>
    <w:autoRedefine/>
    <w:pPr>
      <w:spacing w:after="120"/>
    </w:pPr>
    <w:rPr>
      <w:b/>
      <w:kern w:val="28"/>
      <w:sz w:val="26"/>
      <w:lang w:eastAsia="en-US"/>
    </w:rPr>
  </w:style>
  <w:style w:type="paragraph" w:customStyle="1" w:styleId="ElsDocumentHeading">
    <w:name w:val="Els_DocumentHeading"/>
    <w:next w:val="Normal"/>
    <w:pPr>
      <w:spacing w:before="190" w:after="190" w:line="210" w:lineRule="exact"/>
    </w:pPr>
    <w:rPr>
      <w:sz w:val="19"/>
      <w:lang w:val="en-US" w:eastAsia="en-US"/>
    </w:rPr>
  </w:style>
  <w:style w:type="paragraph" w:customStyle="1" w:styleId="ElsFootnote">
    <w:name w:val="Els_Footnote"/>
    <w:pPr>
      <w:spacing w:before="120" w:line="200" w:lineRule="exact"/>
    </w:pPr>
    <w:rPr>
      <w:sz w:val="18"/>
      <w:lang w:val="en-US" w:eastAsia="en-US"/>
    </w:rPr>
  </w:style>
  <w:style w:type="paragraph" w:customStyle="1" w:styleId="ElsKeyword">
    <w:name w:val="Els_Keyword"/>
    <w:pPr>
      <w:spacing w:line="200" w:lineRule="exact"/>
    </w:pPr>
    <w:rPr>
      <w:sz w:val="16"/>
      <w:lang w:val="en-US" w:eastAsia="en-US"/>
    </w:rPr>
  </w:style>
  <w:style w:type="paragraph" w:customStyle="1" w:styleId="ElsKeywordHead">
    <w:name w:val="Els_KeywordHead"/>
    <w:next w:val="ElsKeyword"/>
    <w:pPr>
      <w:spacing w:line="200" w:lineRule="exact"/>
    </w:pPr>
    <w:rPr>
      <w:i/>
      <w:noProof/>
      <w:sz w:val="16"/>
      <w:lang w:val="en-US" w:eastAsia="en-US"/>
    </w:rPr>
  </w:style>
  <w:style w:type="paragraph" w:customStyle="1" w:styleId="ElsParagraph">
    <w:name w:val="Els_Paragraph"/>
    <w:pPr>
      <w:spacing w:after="120" w:line="220" w:lineRule="exact"/>
      <w:ind w:firstLine="230"/>
      <w:jc w:val="both"/>
    </w:pPr>
    <w:rPr>
      <w:sz w:val="19"/>
      <w:lang w:val="en-US" w:eastAsia="en-US"/>
    </w:rPr>
  </w:style>
  <w:style w:type="paragraph" w:customStyle="1" w:styleId="ElsHeading1">
    <w:name w:val="Els_Heading1"/>
    <w:next w:val="ElsParagraph"/>
    <w:pPr>
      <w:keepNext/>
      <w:numPr>
        <w:numId w:val="42"/>
      </w:numPr>
      <w:spacing w:before="160" w:after="160" w:line="210" w:lineRule="exact"/>
    </w:pPr>
    <w:rPr>
      <w:b/>
      <w:bCs/>
      <w:sz w:val="19"/>
      <w:lang w:val="en-US" w:eastAsia="en-US"/>
    </w:rPr>
  </w:style>
  <w:style w:type="paragraph" w:customStyle="1" w:styleId="ElsHeading2">
    <w:name w:val="Els_Heading2"/>
    <w:next w:val="ElsParagraph"/>
    <w:pPr>
      <w:numPr>
        <w:ilvl w:val="1"/>
        <w:numId w:val="42"/>
      </w:numPr>
      <w:spacing w:after="160" w:line="210" w:lineRule="exact"/>
    </w:pPr>
    <w:rPr>
      <w:bCs/>
      <w:i/>
      <w:sz w:val="19"/>
      <w:lang w:val="en-US" w:eastAsia="en-US"/>
    </w:rPr>
  </w:style>
  <w:style w:type="paragraph" w:customStyle="1" w:styleId="ElsHeading3">
    <w:name w:val="Els_Heading3"/>
    <w:next w:val="ElsParagraph"/>
    <w:pPr>
      <w:numPr>
        <w:ilvl w:val="2"/>
        <w:numId w:val="42"/>
      </w:numPr>
      <w:spacing w:after="40" w:line="210" w:lineRule="exact"/>
      <w:outlineLvl w:val="0"/>
    </w:pPr>
    <w:rPr>
      <w:i/>
      <w:spacing w:val="20"/>
      <w:sz w:val="19"/>
      <w:lang w:val="en-US" w:eastAsia="en-US"/>
    </w:rPr>
  </w:style>
  <w:style w:type="paragraph" w:customStyle="1" w:styleId="ElsHeading4">
    <w:name w:val="Els_Heading4"/>
    <w:next w:val="ElsParagraph"/>
    <w:pPr>
      <w:numPr>
        <w:ilvl w:val="3"/>
        <w:numId w:val="42"/>
      </w:numPr>
      <w:spacing w:after="160" w:line="210" w:lineRule="exact"/>
      <w:outlineLvl w:val="0"/>
    </w:pPr>
    <w:rPr>
      <w:i/>
      <w:spacing w:val="20"/>
      <w:sz w:val="19"/>
      <w:lang w:val="en-US" w:eastAsia="en-US"/>
    </w:rPr>
  </w:style>
  <w:style w:type="paragraph" w:customStyle="1" w:styleId="ElsHeading5">
    <w:name w:val="Els_Heading5"/>
    <w:next w:val="ElsParagraph"/>
    <w:pPr>
      <w:numPr>
        <w:ilvl w:val="4"/>
        <w:numId w:val="42"/>
      </w:numPr>
      <w:spacing w:after="160" w:line="210" w:lineRule="exact"/>
      <w:outlineLvl w:val="0"/>
    </w:pPr>
    <w:rPr>
      <w:i/>
      <w:spacing w:val="20"/>
      <w:sz w:val="19"/>
      <w:lang w:val="en-US" w:eastAsia="en-US"/>
    </w:rPr>
  </w:style>
  <w:style w:type="paragraph" w:customStyle="1" w:styleId="ElsAcknowledgementsHeading">
    <w:name w:val="Els_AcknowledgementsHeading"/>
    <w:next w:val="ElsParagraph"/>
    <w:pPr>
      <w:spacing w:before="220" w:after="220" w:line="220" w:lineRule="exact"/>
    </w:pPr>
    <w:rPr>
      <w:b/>
      <w:lang w:val="en-US" w:eastAsia="en-US"/>
    </w:rPr>
  </w:style>
  <w:style w:type="paragraph" w:customStyle="1" w:styleId="ElsReferencesHeading">
    <w:name w:val="Els_ReferencesHeading"/>
    <w:next w:val="ElsReferences"/>
    <w:pPr>
      <w:keepNext/>
      <w:spacing w:before="240" w:after="240"/>
    </w:pPr>
    <w:rPr>
      <w:b/>
      <w:sz w:val="19"/>
      <w:lang w:val="en-US" w:eastAsia="en-US"/>
    </w:rPr>
  </w:style>
  <w:style w:type="paragraph" w:customStyle="1" w:styleId="ElsReferences">
    <w:name w:val="Els_References"/>
    <w:pPr>
      <w:numPr>
        <w:numId w:val="41"/>
      </w:numPr>
    </w:pPr>
    <w:rPr>
      <w:sz w:val="16"/>
      <w:lang w:val="en-US" w:eastAsia="en-US"/>
    </w:rPr>
  </w:style>
  <w:style w:type="paragraph" w:customStyle="1" w:styleId="ElsFigureCaption">
    <w:name w:val="Els_FigureCaption"/>
    <w:pPr>
      <w:spacing w:line="220" w:lineRule="exact"/>
      <w:ind w:firstLine="230"/>
    </w:pPr>
    <w:rPr>
      <w:sz w:val="16"/>
      <w:lang w:val="en-US" w:eastAsia="en-US"/>
    </w:rPr>
  </w:style>
  <w:style w:type="paragraph" w:customStyle="1" w:styleId="ElsTableCaption">
    <w:name w:val="Els_TableCaption"/>
    <w:next w:val="ElsParagraph"/>
    <w:pPr>
      <w:keepNext/>
    </w:pPr>
    <w:rPr>
      <w:lang w:val="en-US" w:eastAsia="en-US"/>
    </w:rPr>
  </w:style>
  <w:style w:type="paragraph" w:customStyle="1" w:styleId="ElsLegend">
    <w:name w:val="Els_Legend"/>
    <w:pPr>
      <w:spacing w:after="120" w:line="180" w:lineRule="exact"/>
    </w:pPr>
    <w:rPr>
      <w:sz w:val="16"/>
      <w:lang w:val="en-US" w:eastAsia="en-US"/>
    </w:rPr>
  </w:style>
  <w:style w:type="paragraph" w:customStyle="1" w:styleId="ElsDisplayMath">
    <w:name w:val="Els_DisplayMath"/>
    <w:basedOn w:val="ElsParagraph"/>
    <w:next w:val="ElsParagraph"/>
    <w:pPr>
      <w:spacing w:before="100" w:beforeAutospacing="1" w:after="100" w:afterAutospacing="1"/>
    </w:pPr>
  </w:style>
  <w:style w:type="paragraph" w:customStyle="1" w:styleId="ElsGraphAbs">
    <w:name w:val="Els_GraphAbs"/>
    <w:basedOn w:val="Heading1"/>
  </w:style>
  <w:style w:type="paragraph" w:customStyle="1" w:styleId="ElsChemEquation">
    <w:name w:val="Els_ChemEquation"/>
    <w:next w:val="ElsParagraph"/>
    <w:rPr>
      <w:lang w:val="en-US" w:eastAsia="en-US"/>
    </w:rPr>
  </w:style>
  <w:style w:type="paragraph" w:customStyle="1" w:styleId="ElsTableFootnote">
    <w:name w:val="Els_TableFootnote"/>
    <w:basedOn w:val="ElsParagraph"/>
    <w:rPr>
      <w:color w:val="0000FF"/>
    </w:rPr>
  </w:style>
  <w:style w:type="paragraph" w:customStyle="1" w:styleId="ElsSchemeCaption">
    <w:name w:val="Els_SchemeCaption"/>
    <w:basedOn w:val="ElsChemEquation"/>
  </w:style>
  <w:style w:type="paragraph" w:customStyle="1" w:styleId="ElsGraphText">
    <w:name w:val="Els_GraphText"/>
    <w:basedOn w:val="Normal"/>
    <w:pPr>
      <w:spacing w:after="440" w:line="220" w:lineRule="exact"/>
    </w:pPr>
    <w:rPr>
      <w:sz w:val="20"/>
      <w:szCs w:val="20"/>
    </w:rPr>
  </w:style>
  <w:style w:type="paragraph" w:customStyle="1" w:styleId="ElsGraphTitle">
    <w:name w:val="Els_GraphTitle"/>
    <w:basedOn w:val="Normal"/>
    <w:pPr>
      <w:keepNext/>
      <w:spacing w:after="60"/>
      <w:ind w:right="5280"/>
    </w:pPr>
    <w:rPr>
      <w:b/>
      <w:szCs w:val="20"/>
    </w:rPr>
  </w:style>
  <w:style w:type="paragraph" w:customStyle="1" w:styleId="ElsGraphAuthor">
    <w:name w:val="Els_GraphAuthor"/>
    <w:basedOn w:val="Normal"/>
    <w:pPr>
      <w:keepNext/>
    </w:pPr>
    <w:rPr>
      <w:sz w:val="22"/>
      <w:szCs w:val="20"/>
    </w:rPr>
  </w:style>
  <w:style w:type="paragraph" w:customStyle="1" w:styleId="ElsGraphAddress">
    <w:name w:val="Els_GraphAddress"/>
    <w:basedOn w:val="Normal"/>
    <w:rPr>
      <w:i/>
      <w:sz w:val="22"/>
      <w:szCs w:val="20"/>
    </w:rPr>
  </w:style>
  <w:style w:type="paragraph" w:customStyle="1" w:styleId="ElsGraphPlaceholder">
    <w:name w:val="Els_GraphPlaceholder"/>
    <w:basedOn w:val="Normal"/>
    <w:pPr>
      <w:jc w:val="center"/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1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4bTableBody">
    <w:name w:val="G4b Table Body"/>
    <w:rsid w:val="00214D3A"/>
    <w:pPr>
      <w:keepNext/>
      <w:keepLines/>
      <w:jc w:val="center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oleObject" Target="embeddings/oleObject4.bin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32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emf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oleObject" Target="embeddings/oleObject5.bin"/><Relationship Id="rId27" Type="http://schemas.openxmlformats.org/officeDocument/2006/relationships/image" Target="media/image9.e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.kerr@strath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db12203\Papers\Tetrahedron%20Aminonaphthols\Tetrahedron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6B79-B2C4-48FF-A65B-9A6C04A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Tetrahedron template.dotx</Template>
  <TotalTime>1</TotalTime>
  <Pages>7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Tetrahedron template</vt:lpstr>
    </vt:vector>
  </TitlesOfParts>
  <Company>TnQ</Company>
  <LinksUpToDate>false</LinksUpToDate>
  <CharactersWithSpaces>34392</CharactersWithSpaces>
  <SharedDoc>false</SharedDoc>
  <HLinks>
    <vt:vector size="6" baseType="variant">
      <vt:variant>
        <vt:i4>4194304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http://www.elsevier.com/locate/authorartwork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Tetrahedron template</dc:title>
  <dc:creator>Laura Paterson</dc:creator>
  <cp:lastModifiedBy>Strathclyde Standard Desktop</cp:lastModifiedBy>
  <cp:revision>2</cp:revision>
  <cp:lastPrinted>2014-06-10T07:40:00Z</cp:lastPrinted>
  <dcterms:created xsi:type="dcterms:W3CDTF">2014-06-23T09:49:00Z</dcterms:created>
  <dcterms:modified xsi:type="dcterms:W3CDTF">2014-06-23T09:49:00Z</dcterms:modified>
</cp:coreProperties>
</file>