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E1" w:rsidRDefault="00972EE1" w:rsidP="001503D4">
      <w:pPr>
        <w:spacing w:after="0" w:line="240" w:lineRule="auto"/>
        <w:rPr>
          <w:rStyle w:val="TitleChar"/>
          <w:sz w:val="24"/>
        </w:rPr>
      </w:pPr>
    </w:p>
    <w:sdt>
      <w:sdtPr>
        <w:rPr>
          <w:rStyle w:val="TitleChar"/>
          <w:sz w:val="24"/>
        </w:rPr>
        <w:alias w:val="Creative Commons License"/>
        <w:tag w:val="Creative Commons License"/>
        <w:id w:val="15818736"/>
        <w:lock w:val="sdtContentLocked"/>
        <w:placeholder>
          <w:docPart w:val="DefaultPlaceholder_22675703"/>
        </w:placeholder>
      </w:sdtPr>
      <w:sdtContent>
        <w:p w:rsidR="00972EE1" w:rsidRDefault="00972EE1" w:rsidP="001503D4">
          <w:pPr>
            <w:spacing w:after="0" w:line="240" w:lineRule="auto"/>
          </w:pPr>
          <w:r>
            <w:pict>
              <v:shape id="_x0000_" o:spid="_x0000_i1025" style="width:66.25pt;height:23.05pt" coordsize="" o:spt="100" adj="0,,0" path="" stroked="f">
                <v:stroke joinstyle="miter"/>
                <v:imagedata r:id="rId5" o:title=""/>
                <v:formulas/>
                <v:path o:connecttype="segments"/>
              </v:shape>
            </w:pict>
          </w:r>
        </w:p>
        <w:p w:rsidR="00972EE1" w:rsidRDefault="00972EE1" w:rsidP="001503D4">
          <w:pPr>
            <w:spacing w:after="0" w:line="240" w:lineRule="auto"/>
            <w:rPr>
              <w:rStyle w:val="TitleChar"/>
              <w:sz w:val="24"/>
            </w:rPr>
          </w:pPr>
          <w:r>
            <w:t xml:space="preserve">This work is licenced under a </w:t>
          </w:r>
          <w:hyperlink r:id="rId6" w:history="1">
            <w:r>
              <w:rPr>
                <w:rStyle w:val="Hyperlink"/>
              </w:rPr>
              <w:t>Creative Commons Licence</w:t>
            </w:r>
          </w:hyperlink>
          <w:r>
            <w:t>.</w:t>
          </w:r>
        </w:p>
      </w:sdtContent>
    </w:sdt>
    <w:p w:rsidR="00972EE1" w:rsidRDefault="00972EE1" w:rsidP="001503D4">
      <w:pPr>
        <w:spacing w:after="0" w:line="240" w:lineRule="auto"/>
        <w:rPr>
          <w:rStyle w:val="TitleChar"/>
          <w:sz w:val="24"/>
        </w:rPr>
      </w:pPr>
    </w:p>
    <w:p w:rsidR="001503D4" w:rsidRDefault="003A3F89" w:rsidP="001503D4">
      <w:pPr>
        <w:spacing w:after="0" w:line="240" w:lineRule="auto"/>
      </w:pPr>
      <w:r w:rsidRPr="00496D1F">
        <w:rPr>
          <w:rStyle w:val="TitleChar"/>
          <w:sz w:val="24"/>
        </w:rPr>
        <w:t>What do academic libraries have to do with Open Educational Resources?</w:t>
      </w:r>
      <w:r w:rsidRPr="00496D1F">
        <w:rPr>
          <w:rStyle w:val="TitleChar"/>
          <w:sz w:val="24"/>
        </w:rPr>
        <w:br/>
      </w:r>
      <w:r w:rsidRPr="00496D1F">
        <w:rPr>
          <w:rStyle w:val="TitleChar"/>
          <w:sz w:val="24"/>
        </w:rPr>
        <w:br/>
        <w:t>Theme: Long term sustainability of open education projects</w:t>
      </w:r>
      <w:r w:rsidRPr="00496D1F">
        <w:rPr>
          <w:rStyle w:val="TitleChar"/>
          <w:sz w:val="24"/>
        </w:rPr>
        <w:br/>
      </w:r>
      <w:r w:rsidRPr="003A3F89">
        <w:rPr>
          <w:rFonts w:ascii="Times New Roman" w:eastAsia="Times New Roman" w:hAnsi="Times New Roman" w:cs="Times New Roman"/>
          <w:color w:val="000000"/>
          <w:sz w:val="27"/>
          <w:szCs w:val="27"/>
          <w:lang w:eastAsia="en-GB"/>
        </w:rPr>
        <w:br/>
      </w:r>
      <w:r w:rsidR="00491A4C">
        <w:t>R.</w:t>
      </w:r>
      <w:r w:rsidR="001503D4">
        <w:t xml:space="preserve"> John Robertson, </w:t>
      </w:r>
    </w:p>
    <w:p w:rsidR="001503D4" w:rsidRDefault="001503D4" w:rsidP="001503D4">
      <w:pPr>
        <w:spacing w:after="0" w:line="240" w:lineRule="auto"/>
      </w:pPr>
      <w:r>
        <w:t xml:space="preserve">CETIS (Centre for Educational Technology and Interoperability Standards) </w:t>
      </w:r>
    </w:p>
    <w:p w:rsidR="001503D4" w:rsidRDefault="001503D4" w:rsidP="001503D4">
      <w:pPr>
        <w:spacing w:after="0" w:line="240" w:lineRule="auto"/>
      </w:pPr>
      <w:r>
        <w:t>Centre for Academic Practice and Learning Enhancement</w:t>
      </w:r>
    </w:p>
    <w:p w:rsidR="001503D4" w:rsidRDefault="001503D4" w:rsidP="001503D4">
      <w:pPr>
        <w:spacing w:after="0" w:line="240" w:lineRule="auto"/>
      </w:pPr>
      <w:r>
        <w:t>University of Strathclyde</w:t>
      </w:r>
    </w:p>
    <w:p w:rsidR="001503D4" w:rsidRDefault="001503D4" w:rsidP="001503D4">
      <w:pPr>
        <w:spacing w:after="0" w:line="240" w:lineRule="auto"/>
      </w:pPr>
      <w:r>
        <w:t>50 George Street</w:t>
      </w:r>
    </w:p>
    <w:p w:rsidR="001503D4" w:rsidRDefault="001503D4" w:rsidP="001503D4">
      <w:pPr>
        <w:spacing w:after="0" w:line="240" w:lineRule="auto"/>
      </w:pPr>
      <w:r>
        <w:t>G1 1QE</w:t>
      </w:r>
    </w:p>
    <w:p w:rsidR="001503D4" w:rsidRDefault="001503D4" w:rsidP="001503D4">
      <w:pPr>
        <w:spacing w:after="0" w:line="240" w:lineRule="auto"/>
      </w:pPr>
      <w:r>
        <w:t>United Kingdom</w:t>
      </w:r>
    </w:p>
    <w:p w:rsidR="001503D4" w:rsidRDefault="00DC33C8" w:rsidP="001503D4">
      <w:pPr>
        <w:spacing w:after="0" w:line="240" w:lineRule="auto"/>
      </w:pPr>
      <w:hyperlink r:id="rId7" w:history="1">
        <w:r w:rsidR="001503D4" w:rsidRPr="00A374D6">
          <w:rPr>
            <w:rStyle w:val="Hyperlink"/>
          </w:rPr>
          <w:t>robert.robertson@strath.ac.uk</w:t>
        </w:r>
      </w:hyperlink>
    </w:p>
    <w:p w:rsidR="00BF67ED" w:rsidRDefault="00BF67ED" w:rsidP="00496D1F">
      <w:pPr>
        <w:pStyle w:val="Heading1"/>
      </w:pPr>
      <w:r>
        <w:t>Biography</w:t>
      </w:r>
    </w:p>
    <w:p w:rsidR="00247EBF" w:rsidRDefault="005F6096" w:rsidP="001503D4">
      <w:pPr>
        <w:spacing w:after="0" w:line="240" w:lineRule="auto"/>
      </w:pPr>
      <w:r>
        <w:t>John</w:t>
      </w:r>
      <w:r w:rsidR="00167377">
        <w:t xml:space="preserve"> work</w:t>
      </w:r>
      <w:r>
        <w:t>s</w:t>
      </w:r>
      <w:r w:rsidR="00167377">
        <w:t xml:space="preserve"> for CETIS (Centre for Educational Technology and Interoperability Standards) - one of the Innovation Support Centres funded by JISC (Joint Information Systems Committee) to: represent Further and Higher Education in the development of relevant standards and specifications, nurture relevant developer communities and innovation, and provide guidance and support for JISC development programmes. </w:t>
      </w:r>
      <w:r w:rsidR="00341EB3">
        <w:t>John</w:t>
      </w:r>
      <w:r w:rsidR="00167377">
        <w:t xml:space="preserve"> current</w:t>
      </w:r>
      <w:r w:rsidR="00341EB3">
        <w:t>ly</w:t>
      </w:r>
      <w:r w:rsidR="00167377">
        <w:t xml:space="preserve"> support</w:t>
      </w:r>
      <w:r w:rsidR="00BD4F8C">
        <w:t>s</w:t>
      </w:r>
      <w:r w:rsidR="00167377">
        <w:t xml:space="preserve"> JISC’s work in Open Educational Resources</w:t>
      </w:r>
      <w:r w:rsidR="00341EB3">
        <w:t>.</w:t>
      </w:r>
      <w:r w:rsidR="00167377">
        <w:t xml:space="preserve"> </w:t>
      </w:r>
      <w:r w:rsidR="00341EB3">
        <w:t>A librarian by training, his</w:t>
      </w:r>
      <w:r w:rsidR="00167377">
        <w:t xml:space="preserve"> professional background </w:t>
      </w:r>
      <w:r w:rsidR="00341EB3">
        <w:t xml:space="preserve">is </w:t>
      </w:r>
      <w:r w:rsidR="00167377">
        <w:t>in development and support projects around the management of digital assets, repositories</w:t>
      </w:r>
      <w:r w:rsidR="00BD4F8C">
        <w:t>, digital libraries</w:t>
      </w:r>
      <w:r w:rsidR="00167377">
        <w:t>, and metadata</w:t>
      </w:r>
      <w:r w:rsidR="00341EB3">
        <w:t xml:space="preserve">; he also has an </w:t>
      </w:r>
      <w:r w:rsidR="00247EBF">
        <w:t>ongoing interest in the role of community</w:t>
      </w:r>
      <w:r w:rsidR="00341EB3">
        <w:t xml:space="preserve"> and personal formation</w:t>
      </w:r>
      <w:r w:rsidR="00247EBF">
        <w:t xml:space="preserve"> in education.</w:t>
      </w:r>
    </w:p>
    <w:p w:rsidR="00BF67ED" w:rsidRDefault="00BF67ED" w:rsidP="00496D1F">
      <w:pPr>
        <w:pStyle w:val="Heading1"/>
      </w:pPr>
      <w:r>
        <w:t>Abstract</w:t>
      </w:r>
    </w:p>
    <w:p w:rsidR="000A45F3" w:rsidRPr="000A45F3" w:rsidRDefault="00D17D6A" w:rsidP="000A45F3">
      <w:r>
        <w:t xml:space="preserve">This paper will discuss the possible roles of academic libraries in promoting, supporting, and sustaining institutional </w:t>
      </w:r>
      <w:r w:rsidR="002E7A16">
        <w:t xml:space="preserve">Open Educational </w:t>
      </w:r>
      <w:r>
        <w:t>Resource i</w:t>
      </w:r>
      <w:r w:rsidR="002E7A16">
        <w:t>nitiatives</w:t>
      </w:r>
      <w:r w:rsidR="002209B2">
        <w:t>.</w:t>
      </w:r>
      <w:r w:rsidR="002E7A16">
        <w:t xml:space="preserve"> </w:t>
      </w:r>
      <w:r w:rsidR="00A44A96">
        <w:t>It will note areas in which libraries or librarians have skills and knowledge that intersect with some of the needs of academic staff and students as they use and release OERs. It will also present the results of a brief survey of the views of some OER initiatives on the current and potential role of academic libraries.</w:t>
      </w:r>
    </w:p>
    <w:p w:rsidR="000A748E" w:rsidRDefault="000A748E" w:rsidP="000A748E">
      <w:pPr>
        <w:pStyle w:val="Heading1"/>
      </w:pPr>
      <w:r>
        <w:t>Keywords</w:t>
      </w:r>
    </w:p>
    <w:p w:rsidR="001174F9" w:rsidRPr="001174F9" w:rsidRDefault="001174F9" w:rsidP="001174F9">
      <w:r>
        <w:t>OER; Libraries; UKOER; Open Education; Universities</w:t>
      </w:r>
    </w:p>
    <w:p w:rsidR="00D760D8" w:rsidRDefault="00D760D8" w:rsidP="00EE2CF6">
      <w:pPr>
        <w:pStyle w:val="Heading1"/>
      </w:pPr>
      <w:r>
        <w:t>Introduction</w:t>
      </w:r>
    </w:p>
    <w:p w:rsidR="000C5D7E" w:rsidRDefault="000C5D7E" w:rsidP="006C13C1">
      <w:r>
        <w:t xml:space="preserve">Open Education and </w:t>
      </w:r>
      <w:r w:rsidR="00185EDB">
        <w:t>Open Educational Resource</w:t>
      </w:r>
      <w:r w:rsidR="0046204A">
        <w:t xml:space="preserve"> (OER)</w:t>
      </w:r>
      <w:r w:rsidR="00185EDB">
        <w:t xml:space="preserve"> initiatives looking at the release and use of open educational content</w:t>
      </w:r>
      <w:r>
        <w:t xml:space="preserve"> are related </w:t>
      </w:r>
      <w:r w:rsidR="00983D46">
        <w:t>efforts</w:t>
      </w:r>
      <w:r>
        <w:t xml:space="preserve"> </w:t>
      </w:r>
      <w:r w:rsidR="00983D46">
        <w:t xml:space="preserve">at different stages of maturity which are attempting to find </w:t>
      </w:r>
      <w:r w:rsidR="009120C1">
        <w:t xml:space="preserve">operating </w:t>
      </w:r>
      <w:r w:rsidR="00983D46">
        <w:t>models that will allow them to be both sustainable and scalable.</w:t>
      </w:r>
      <w:r w:rsidR="00185EDB">
        <w:t xml:space="preserve"> There are a number of possible models which could be developed</w:t>
      </w:r>
      <w:r w:rsidR="002E3890">
        <w:t xml:space="preserve"> </w:t>
      </w:r>
      <w:r w:rsidR="00185EDB">
        <w:t>some</w:t>
      </w:r>
      <w:r w:rsidR="009120C1">
        <w:t>,</w:t>
      </w:r>
      <w:r w:rsidR="00185EDB">
        <w:t xml:space="preserve"> but not all</w:t>
      </w:r>
      <w:r w:rsidR="009120C1">
        <w:t>,</w:t>
      </w:r>
      <w:r w:rsidR="00185EDB">
        <w:t xml:space="preserve"> of which assume a role for universities and related academic institutions.</w:t>
      </w:r>
      <w:r w:rsidR="0046204A">
        <w:t xml:space="preserve"> This paper will focus on the </w:t>
      </w:r>
      <w:r w:rsidR="007442C1">
        <w:t xml:space="preserve">current and </w:t>
      </w:r>
      <w:r w:rsidR="0046204A">
        <w:t>possible role</w:t>
      </w:r>
      <w:r w:rsidR="007442C1">
        <w:t>s</w:t>
      </w:r>
      <w:r w:rsidR="0046204A">
        <w:t xml:space="preserve"> of academic libraries in support</w:t>
      </w:r>
      <w:r w:rsidR="009120C1">
        <w:t xml:space="preserve"> of </w:t>
      </w:r>
      <w:r w:rsidR="0046204A">
        <w:t>the release and use of OERs</w:t>
      </w:r>
      <w:r w:rsidR="007442C1">
        <w:t>.</w:t>
      </w:r>
      <w:r w:rsidR="009120C1">
        <w:t xml:space="preserve"> As such it assumes some ongoing </w:t>
      </w:r>
      <w:r w:rsidR="009120C1">
        <w:lastRenderedPageBreak/>
        <w:t>role for institutions in OER and Open Education</w:t>
      </w:r>
      <w:r w:rsidR="009E5349">
        <w:t xml:space="preserve"> initiatives</w:t>
      </w:r>
      <w:r w:rsidR="009120C1">
        <w:t>.</w:t>
      </w:r>
      <w:r w:rsidR="007442C1">
        <w:t xml:space="preserve"> There are related possibilities for other </w:t>
      </w:r>
      <w:r w:rsidR="00132F59">
        <w:t xml:space="preserve">types of </w:t>
      </w:r>
      <w:r w:rsidR="007442C1">
        <w:t xml:space="preserve">libraries </w:t>
      </w:r>
      <w:r w:rsidR="00132F59">
        <w:t>but they are outside the immediate scope of the paper.</w:t>
      </w:r>
    </w:p>
    <w:p w:rsidR="00541EC4" w:rsidRDefault="00132F59" w:rsidP="00541EC4">
      <w:r>
        <w:t xml:space="preserve">Last year JISC and the Higher Education Academy ran the UK Open Educational Resources programme a major pilot programme to </w:t>
      </w:r>
      <w:r w:rsidR="00541EC4">
        <w:t xml:space="preserve">explore </w:t>
      </w:r>
      <w:r w:rsidR="003D7466">
        <w:t xml:space="preserve">different approaches to embedding of </w:t>
      </w:r>
      <w:r w:rsidR="00541EC4">
        <w:t xml:space="preserve">the release of OERs and this year a second programme is underway. </w:t>
      </w:r>
      <w:r w:rsidR="00247EBF">
        <w:t xml:space="preserve">In the context of my role </w:t>
      </w:r>
      <w:r w:rsidR="00541EC4">
        <w:t xml:space="preserve">providing support and guidance </w:t>
      </w:r>
      <w:r w:rsidR="00247EBF">
        <w:t>to these programmes I have wondered about the possible role of libraries in embedding and sustaining some of the efforts around OERs, what follows is an exploration of possible points of contact between OER initiatives and academic libraries, some very brief illustrations of these connections from the UKOER programme,</w:t>
      </w:r>
      <w:r w:rsidR="0034406E">
        <w:t xml:space="preserve"> a</w:t>
      </w:r>
      <w:r w:rsidR="003D7466">
        <w:t>n initial</w:t>
      </w:r>
      <w:r w:rsidR="0034406E">
        <w:t xml:space="preserve"> discussion of the results of survey about this topic, and some thoughts on the possible future development of such connections. Substantive parts of this </w:t>
      </w:r>
      <w:r w:rsidR="00761801">
        <w:t>publication</w:t>
      </w:r>
      <w:r w:rsidR="0034406E">
        <w:t xml:space="preserve"> have previously been released on my blog</w:t>
      </w:r>
      <w:r w:rsidR="00D40AF1">
        <w:t xml:space="preserve"> </w:t>
      </w:r>
      <w:r w:rsidR="0034406E">
        <w:t>for comment</w:t>
      </w:r>
      <w:r w:rsidR="00D40AF1">
        <w:t xml:space="preserve"> (Robertson, 2010)</w:t>
      </w:r>
      <w:r w:rsidR="0034406E">
        <w:t xml:space="preserve">. </w:t>
      </w:r>
    </w:p>
    <w:p w:rsidR="000C5D7E" w:rsidRDefault="00B41E4E" w:rsidP="00EE2CF6">
      <w:pPr>
        <w:pStyle w:val="Heading1"/>
      </w:pPr>
      <w:r>
        <w:t xml:space="preserve">Institutions, openness and </w:t>
      </w:r>
      <w:r w:rsidR="005D5293">
        <w:t>change</w:t>
      </w:r>
    </w:p>
    <w:p w:rsidR="00265F71" w:rsidRDefault="00265F71" w:rsidP="006C13C1">
      <w:r>
        <w:t xml:space="preserve">The growth </w:t>
      </w:r>
      <w:r w:rsidR="006C13C1">
        <w:t>of the Open Access movement</w:t>
      </w:r>
      <w:r>
        <w:t xml:space="preserve"> </w:t>
      </w:r>
      <w:r w:rsidR="006C13C1">
        <w:t xml:space="preserve">is transforming how institutions view, manage, publish, and access their research outputs – irrespective of any local commitment to Open Access. </w:t>
      </w:r>
      <w:r w:rsidR="006272CE">
        <w:t>Funding bodies often now that require publications based on publicly funded work are made openly available</w:t>
      </w:r>
      <w:r w:rsidR="005E0FC5">
        <w:t xml:space="preserve"> (University of Nottingham, 2010)</w:t>
      </w:r>
      <w:r w:rsidR="006272CE">
        <w:t xml:space="preserve">; often this requirement is fulfilled through the use of an institutional repository. Institutions are also exploring the value of making their research more visible and investigating what other benefits or possibilities </w:t>
      </w:r>
      <w:proofErr w:type="gramStart"/>
      <w:r w:rsidR="006272CE">
        <w:t>arise</w:t>
      </w:r>
      <w:proofErr w:type="gramEnd"/>
      <w:r w:rsidR="006272CE">
        <w:t xml:space="preserve"> through managing and making available their research outputs. </w:t>
      </w:r>
    </w:p>
    <w:p w:rsidR="006C13C1" w:rsidRDefault="00C70AC6" w:rsidP="006C13C1">
      <w:r>
        <w:t>In a similar manner t</w:t>
      </w:r>
      <w:r w:rsidR="006C13C1">
        <w:t>he growth of freely available learning materials from institutions around the world is, like Open Access, an opportunity</w:t>
      </w:r>
      <w:r>
        <w:t>,</w:t>
      </w:r>
      <w:r w:rsidR="006C13C1">
        <w:t xml:space="preserve"> a challenge</w:t>
      </w:r>
      <w:r>
        <w:t>, and a potential catalyst for institutional change</w:t>
      </w:r>
      <w:r w:rsidR="006C13C1">
        <w:t xml:space="preserve">. </w:t>
      </w:r>
      <w:r>
        <w:t>It</w:t>
      </w:r>
      <w:r w:rsidR="006C13C1">
        <w:t xml:space="preserve"> offer</w:t>
      </w:r>
      <w:r>
        <w:t>s</w:t>
      </w:r>
      <w:r w:rsidR="006C13C1">
        <w:t xml:space="preserve"> the institution an opportunity to showcase their courses to potential students, enhance the reputation and visibility of the university among its peers and the general public, be seen to providing value for any public funding they receive by making knowledge more accessible, and promote a more flexible pattern of learning for enrolled students. They also, however, present challenges as the process of providing OERs is not straightforward and it accelerates the shift from understanding a university as a place where one goes to receive knowledge to understanding a university as a context for a community of learning in which students construct knowledge and a context for a student experience in which good facilities, pedagogy, and accreditation combine. If a student can access resources from many universities to support their learning, the quality of what a single institution adds to that content is crucial.</w:t>
      </w:r>
    </w:p>
    <w:p w:rsidR="003865FA" w:rsidRDefault="003865FA" w:rsidP="003865FA">
      <w:r>
        <w:t>Despite occasional protestations that self-archiving should be the norm</w:t>
      </w:r>
      <w:r w:rsidR="00F32B57">
        <w:t>,</w:t>
      </w:r>
      <w:r>
        <w:t xml:space="preserve"> academic libraries play a vital role in the Open Access movement and often provide skills, training, advocacy and may manage the required infrastructure. They are playing a role in challenging pricing models for electronic resources and </w:t>
      </w:r>
      <w:r w:rsidR="00F32B57">
        <w:t xml:space="preserve">helping </w:t>
      </w:r>
      <w:r>
        <w:t>explor</w:t>
      </w:r>
      <w:r w:rsidR="00F32B57">
        <w:t>e</w:t>
      </w:r>
      <w:r>
        <w:t xml:space="preserve"> alternative models of publication</w:t>
      </w:r>
      <w:r w:rsidR="00F32B57">
        <w:t xml:space="preserve"> through Open Access journals. This is not to say that Open Access is fully mature, nor to say that libraries have whole heartedly embraced it, but rather to make the point that libraries have played a significant role in helping Open Access move from a niche activity carried out by sections of the physics community to a more mainstream and institutionally embedded approach to scholarly publication. </w:t>
      </w:r>
      <w:r>
        <w:t xml:space="preserve"> Libraries are also beginning to play a role in the emerging world of Open Data and Open Science, but their </w:t>
      </w:r>
      <w:r>
        <w:lastRenderedPageBreak/>
        <w:t xml:space="preserve">involvement in the OER movement has thus far been limited, as has their involvement more generally in the management of learning materials. </w:t>
      </w:r>
    </w:p>
    <w:p w:rsidR="006C13C1" w:rsidRDefault="006674EF" w:rsidP="006674EF">
      <w:pPr>
        <w:pStyle w:val="Heading1"/>
      </w:pPr>
      <w:r>
        <w:t>Open educational resources and libraries</w:t>
      </w:r>
    </w:p>
    <w:p w:rsidR="006C13C1" w:rsidRDefault="00A363E7" w:rsidP="006C13C1">
      <w:r>
        <w:t xml:space="preserve">With a primary focus on research materials and textbooks, </w:t>
      </w:r>
      <w:r w:rsidR="006C13C1">
        <w:t>Libraries</w:t>
      </w:r>
      <w:r>
        <w:t xml:space="preserve"> often</w:t>
      </w:r>
      <w:r w:rsidR="006C13C1">
        <w:t xml:space="preserve"> </w:t>
      </w:r>
      <w:r>
        <w:t xml:space="preserve">don’t have very much to do with the management of teaching materials as such.  They </w:t>
      </w:r>
      <w:r w:rsidR="006C13C1">
        <w:t>may hold syllabi</w:t>
      </w:r>
      <w:r>
        <w:t>,</w:t>
      </w:r>
      <w:r w:rsidR="006C13C1">
        <w:t xml:space="preserve"> and past exam papers and may offer materials supporting information literacy and research skills, but they often play a lesser role in the management of lecture notes, presentations, or formative assessment materials. Such </w:t>
      </w:r>
      <w:r w:rsidR="005C0DFC">
        <w:t>materials</w:t>
      </w:r>
      <w:r w:rsidR="006C13C1">
        <w:t xml:space="preserve"> are often held only by the lecturer, tutor, or department providing the course. </w:t>
      </w:r>
      <w:r w:rsidR="00B635D9">
        <w:t>Where they are available digitally they are often in virtual learning environments to which t</w:t>
      </w:r>
      <w:r>
        <w:t>he library may not have access.</w:t>
      </w:r>
      <w:r w:rsidR="00846957">
        <w:t xml:space="preserve"> </w:t>
      </w:r>
      <w:r w:rsidR="006C13C1">
        <w:t xml:space="preserve">Furthermore learning materials, where they are available, may be poorly integrated into the user’s view of library resources (Tony </w:t>
      </w:r>
      <w:proofErr w:type="spellStart"/>
      <w:r w:rsidR="006C13C1">
        <w:t>Hirst</w:t>
      </w:r>
      <w:proofErr w:type="spellEnd"/>
      <w:r w:rsidR="006C13C1">
        <w:t xml:space="preserve">, </w:t>
      </w:r>
      <w:r w:rsidR="00690E83">
        <w:t>2009)</w:t>
      </w:r>
      <w:r w:rsidR="006C13C1">
        <w:t xml:space="preserve">. There </w:t>
      </w:r>
      <w:r w:rsidR="00135F7E">
        <w:t>may be</w:t>
      </w:r>
      <w:r w:rsidR="006C13C1">
        <w:t xml:space="preserve"> plenty of legitimate historical reasons for this </w:t>
      </w:r>
      <w:r w:rsidR="00135F7E">
        <w:t xml:space="preserve">divide </w:t>
      </w:r>
      <w:r w:rsidR="006C13C1">
        <w:t xml:space="preserve">but as the range of digitally available materials increases, and in particular as the range </w:t>
      </w:r>
      <w:r w:rsidR="00FF5F26">
        <w:t xml:space="preserve">and number </w:t>
      </w:r>
      <w:r w:rsidR="006C13C1">
        <w:t>of OERs increase libraries have an opportunity to capitalise on their already important role in the student’s studies, the academic’s professional development, and institution’s public portfolio.</w:t>
      </w:r>
    </w:p>
    <w:p w:rsidR="006C13C1" w:rsidRDefault="006C13C1" w:rsidP="006C13C1">
      <w:r>
        <w:t xml:space="preserve">There are signs that librarians are beginning to engage with the Open Educational movement, most notably </w:t>
      </w:r>
      <w:r w:rsidR="00A14032">
        <w:t>an</w:t>
      </w:r>
      <w:r>
        <w:t xml:space="preserve"> ACRL Forum on the issue at </w:t>
      </w:r>
      <w:r w:rsidR="00A14032">
        <w:t xml:space="preserve">a recent </w:t>
      </w:r>
      <w:r>
        <w:t>ALA Midwinter. In summarizing the panel’s views</w:t>
      </w:r>
      <w:r w:rsidR="00C32D92">
        <w:t>,</w:t>
      </w:r>
      <w:r>
        <w:t xml:space="preserve"> </w:t>
      </w:r>
      <w:proofErr w:type="spellStart"/>
      <w:r>
        <w:t>Belliston</w:t>
      </w:r>
      <w:proofErr w:type="spellEnd"/>
      <w:r>
        <w:t xml:space="preserve"> </w:t>
      </w:r>
      <w:r w:rsidR="00206B2D">
        <w:t>(2009</w:t>
      </w:r>
      <w:r w:rsidR="008B19D4">
        <w:t xml:space="preserve">) </w:t>
      </w:r>
      <w:r>
        <w:t>states:</w:t>
      </w:r>
    </w:p>
    <w:p w:rsidR="006C13C1" w:rsidRDefault="006C13C1" w:rsidP="00C32D92">
      <w:pPr>
        <w:ind w:left="720"/>
      </w:pPr>
      <w:r>
        <w:t>Librarians can help by contributing their own OERs to the commons; screening for, indexing, and archiving quality OERs; using OERs in their own teaching; and participating in discussions leading toward responsible intellectual property policies and useful standards.</w:t>
      </w:r>
    </w:p>
    <w:p w:rsidR="006C13C1" w:rsidRDefault="006C13C1" w:rsidP="006C13C1">
      <w:r>
        <w:t>This summary highlights some of the key ways in which librarians can begin to be involved, but</w:t>
      </w:r>
      <w:r w:rsidR="00F30451">
        <w:t>, perhaps</w:t>
      </w:r>
      <w:r>
        <w:t>, fails to consider how librarians can engage in the wider issues around the creation of OERs and their use. It interacts with Open Education in a way that parallels (to a degree) how libraria</w:t>
      </w:r>
      <w:r w:rsidR="00364075">
        <w:t>ns interact with Open Access, without considering the different challenges educational resources offer</w:t>
      </w:r>
      <w:r w:rsidR="002B48BD">
        <w:t xml:space="preserve"> </w:t>
      </w:r>
      <w:r w:rsidR="00364075">
        <w:t>and without</w:t>
      </w:r>
      <w:r>
        <w:t xml:space="preserve"> yet consider</w:t>
      </w:r>
      <w:r w:rsidR="002B48BD">
        <w:t>ing</w:t>
      </w:r>
      <w:r>
        <w:t xml:space="preserve"> the active role librarians can play in the initial description, management, and distribution of OERs</w:t>
      </w:r>
      <w:r w:rsidR="002B48BD">
        <w:t>, as well as in supporting their use</w:t>
      </w:r>
      <w:r>
        <w:t>. For example, In CETIS’s engagement with many of the institutional projects in Open E</w:t>
      </w:r>
      <w:r w:rsidR="00521D74">
        <w:t xml:space="preserve">ducational Resources programme </w:t>
      </w:r>
      <w:r w:rsidR="00260FF5">
        <w:t>we</w:t>
      </w:r>
      <w:r>
        <w:t xml:space="preserve"> </w:t>
      </w:r>
      <w:r w:rsidR="00AE69E0">
        <w:t>observed</w:t>
      </w:r>
      <w:r>
        <w:t xml:space="preserve"> that many are engaging with their university libraries, not only to seek advice about resource description and the application of metadata standards but also to consider the long term role institutional repositories might play in managing these assets and the possible role of the library in the OER production workflow</w:t>
      </w:r>
      <w:r w:rsidR="00521D74">
        <w:t xml:space="preserve"> (an</w:t>
      </w:r>
      <w:r w:rsidR="005C4C40">
        <w:t xml:space="preserve"> observation reflected to some degree by </w:t>
      </w:r>
      <w:r w:rsidR="00521D74">
        <w:t>the survey results</w:t>
      </w:r>
      <w:r w:rsidR="005C4C40">
        <w:t xml:space="preserve"> which follow</w:t>
      </w:r>
      <w:r w:rsidR="00521D74">
        <w:t>).</w:t>
      </w:r>
    </w:p>
    <w:p w:rsidR="006C13C1" w:rsidRDefault="00D74762" w:rsidP="006674EF">
      <w:pPr>
        <w:pStyle w:val="Heading1"/>
      </w:pPr>
      <w:r>
        <w:t>How</w:t>
      </w:r>
      <w:r w:rsidR="006674EF">
        <w:t xml:space="preserve"> could libraries </w:t>
      </w:r>
      <w:r>
        <w:t>support OERs</w:t>
      </w:r>
      <w:r w:rsidR="006674EF">
        <w:t>?</w:t>
      </w:r>
    </w:p>
    <w:p w:rsidR="006C13C1" w:rsidRDefault="006C13C1" w:rsidP="006C13C1">
      <w:r>
        <w:t xml:space="preserve">Although many academics in the </w:t>
      </w:r>
      <w:r w:rsidR="00F77A09">
        <w:t xml:space="preserve">releasing </w:t>
      </w:r>
      <w:r>
        <w:t>OER</w:t>
      </w:r>
      <w:r w:rsidR="00F77A09">
        <w:t>s</w:t>
      </w:r>
      <w:r>
        <w:t xml:space="preserve"> have thus far had success making their learning materials available informally </w:t>
      </w:r>
      <w:r w:rsidR="002A6AC3">
        <w:t xml:space="preserve">on personal websites or </w:t>
      </w:r>
      <w:r>
        <w:t xml:space="preserve">through tools like </w:t>
      </w:r>
      <w:proofErr w:type="spellStart"/>
      <w:r>
        <w:t>SlideShare</w:t>
      </w:r>
      <w:proofErr w:type="spellEnd"/>
      <w:r w:rsidR="00BF3653">
        <w:t xml:space="preserve"> or YouTube</w:t>
      </w:r>
      <w:r>
        <w:t>, the process is more complex for an institution – especially if it is considering how it might</w:t>
      </w:r>
      <w:r w:rsidR="00F77A09">
        <w:t xml:space="preserve"> </w:t>
      </w:r>
      <w:r>
        <w:t xml:space="preserve">maximise the return on its investment in openness (whether that return be in terms of publicity, goodwill, efficiency, or an improved student experience). It is also not without cost: for example, both MIT and Oxford have </w:t>
      </w:r>
      <w:r w:rsidR="002F70F8">
        <w:t xml:space="preserve">taken the approach of </w:t>
      </w:r>
      <w:r>
        <w:t>develop</w:t>
      </w:r>
      <w:r w:rsidR="002F70F8">
        <w:t>ing</w:t>
      </w:r>
      <w:r>
        <w:t xml:space="preserve"> production workflows around a centralised unit </w:t>
      </w:r>
      <w:r>
        <w:lastRenderedPageBreak/>
        <w:t>which is responsible f</w:t>
      </w:r>
      <w:r w:rsidR="00F77A09">
        <w:t xml:space="preserve">or branding and checking rights (and </w:t>
      </w:r>
      <w:r w:rsidR="00F77A09" w:rsidRPr="008510FF">
        <w:rPr>
          <w:i/>
        </w:rPr>
        <w:t>may</w:t>
      </w:r>
      <w:r w:rsidR="00F77A09">
        <w:t xml:space="preserve"> be considering how to offset this cost</w:t>
      </w:r>
      <w:r w:rsidR="00054466">
        <w:t xml:space="preserve"> Parry, 2010).</w:t>
      </w:r>
    </w:p>
    <w:p w:rsidR="006C13C1" w:rsidRDefault="003E79B4" w:rsidP="006C13C1">
      <w:r>
        <w:t>Whichever way an institution chooses to approach sharing resources, t</w:t>
      </w:r>
      <w:r w:rsidR="006C13C1">
        <w:t xml:space="preserve">he general failure of a Learning Object </w:t>
      </w:r>
      <w:r w:rsidR="002F70F8">
        <w:t>e</w:t>
      </w:r>
      <w:r w:rsidR="006C13C1">
        <w:t>conomy points to the need to develop less complex, more scalable and sustainable approaches to sharing OERs (</w:t>
      </w:r>
      <w:proofErr w:type="spellStart"/>
      <w:r w:rsidR="006C13C1">
        <w:t>Downes</w:t>
      </w:r>
      <w:proofErr w:type="spellEnd"/>
      <w:r w:rsidR="00DF2C77">
        <w:t>,</w:t>
      </w:r>
      <w:r w:rsidR="006C13C1">
        <w:t xml:space="preserve"> 2002</w:t>
      </w:r>
      <w:r w:rsidR="00DF2C77">
        <w:t>)</w:t>
      </w:r>
      <w:r w:rsidR="006C13C1">
        <w:t xml:space="preserve">. </w:t>
      </w:r>
      <w:r>
        <w:t xml:space="preserve">Approaches to sharing and </w:t>
      </w:r>
      <w:r w:rsidR="006C13C1">
        <w:t xml:space="preserve">processes </w:t>
      </w:r>
      <w:r>
        <w:t xml:space="preserve">use </w:t>
      </w:r>
      <w:r w:rsidR="006C13C1">
        <w:t xml:space="preserve">need to be informed by </w:t>
      </w:r>
      <w:r>
        <w:t xml:space="preserve">an understanding </w:t>
      </w:r>
      <w:r w:rsidR="006C13C1">
        <w:t xml:space="preserve"> of resource description and metadata standards as they apply to the specific tools intended to disseminate the resources – whether that be a proprietary application (</w:t>
      </w:r>
      <w:proofErr w:type="spellStart"/>
      <w:r w:rsidR="006C13C1">
        <w:t>iTunesU</w:t>
      </w:r>
      <w:proofErr w:type="spellEnd"/>
      <w:r w:rsidR="006C13C1">
        <w:t>), a generic search engine, a repository, or some combination of the above.</w:t>
      </w:r>
      <w:r w:rsidR="000A771E">
        <w:t xml:space="preserve"> Libraries can fill in parts of this picture – though library advice needs to be tempered with the context of learning materials and current working practices.</w:t>
      </w:r>
    </w:p>
    <w:p w:rsidR="0056435E" w:rsidRDefault="006C13C1" w:rsidP="006C13C1">
      <w:r>
        <w:t xml:space="preserve">As the ACRL panel also outlines OERs become additional resources that subject librarians can reference in supporting students; they are also, however, a new form of resource which students need appropriate information literacy skills to assess (skills such as assessing the quality of the material, its origin, currency, and fit with the student’s </w:t>
      </w:r>
      <w:r w:rsidR="00365226">
        <w:t>current learning patterns</w:t>
      </w:r>
      <w:r>
        <w:t>) and they introduce (or will introduce) a new set of discovery tools for students and staff to be familiar with (such as Jorum</w:t>
      </w:r>
      <w:r w:rsidR="001C1034">
        <w:t xml:space="preserve"> – a national learning object repository in the UK</w:t>
      </w:r>
      <w:r>
        <w:t xml:space="preserve">, or aggregator services like </w:t>
      </w:r>
      <w:proofErr w:type="spellStart"/>
      <w:r>
        <w:t>OERCommons</w:t>
      </w:r>
      <w:proofErr w:type="spellEnd"/>
      <w:r>
        <w:t xml:space="preserve"> </w:t>
      </w:r>
      <w:r w:rsidR="001C1034">
        <w:t xml:space="preserve">or </w:t>
      </w:r>
      <w:proofErr w:type="spellStart"/>
      <w:r w:rsidR="001C1034">
        <w:t>DiscoverEd</w:t>
      </w:r>
      <w:proofErr w:type="spellEnd"/>
      <w:r>
        <w:t>).</w:t>
      </w:r>
      <w:r w:rsidR="00FD3A4A">
        <w:t xml:space="preserve"> </w:t>
      </w:r>
    </w:p>
    <w:p w:rsidR="00E5092E" w:rsidRPr="00E5092E" w:rsidRDefault="00E5092E" w:rsidP="00E5092E">
      <w:r w:rsidRPr="00E5092E">
        <w:t>To review what has been discussed so far, it is suggested that libraries can offer advice to institutions, academic staff, and students as they engage with OERs in the following areas:</w:t>
      </w:r>
    </w:p>
    <w:p w:rsidR="00E5092E" w:rsidRPr="00E5092E" w:rsidRDefault="00E5092E" w:rsidP="00E5092E">
      <w:pPr>
        <w:pStyle w:val="ListParagraph"/>
        <w:numPr>
          <w:ilvl w:val="0"/>
          <w:numId w:val="1"/>
        </w:numPr>
      </w:pPr>
      <w:r w:rsidRPr="00E5092E">
        <w:t>Metadata and resource description</w:t>
      </w:r>
    </w:p>
    <w:p w:rsidR="00E5092E" w:rsidRPr="00E5092E" w:rsidRDefault="00E5092E" w:rsidP="00E5092E">
      <w:pPr>
        <w:pStyle w:val="ListParagraph"/>
        <w:numPr>
          <w:ilvl w:val="0"/>
          <w:numId w:val="1"/>
        </w:numPr>
      </w:pPr>
      <w:r w:rsidRPr="00E5092E">
        <w:t>Information management and resource dissemination</w:t>
      </w:r>
    </w:p>
    <w:p w:rsidR="00E5092E" w:rsidRPr="00E5092E" w:rsidRDefault="00E5092E" w:rsidP="00E5092E">
      <w:pPr>
        <w:pStyle w:val="ListParagraph"/>
        <w:numPr>
          <w:ilvl w:val="0"/>
          <w:numId w:val="1"/>
        </w:numPr>
      </w:pPr>
      <w:r w:rsidRPr="00E5092E">
        <w:t>Digital or Information literacy (finding and evaluating OERs)</w:t>
      </w:r>
    </w:p>
    <w:p w:rsidR="00E5092E" w:rsidRPr="00E5092E" w:rsidRDefault="00E5092E" w:rsidP="00E5092E">
      <w:pPr>
        <w:pStyle w:val="ListParagraph"/>
        <w:numPr>
          <w:ilvl w:val="0"/>
          <w:numId w:val="1"/>
        </w:numPr>
      </w:pPr>
      <w:r w:rsidRPr="00E5092E">
        <w:t>Subject-based guides to finding resources</w:t>
      </w:r>
    </w:p>
    <w:p w:rsidR="00E5092E" w:rsidRPr="00E5092E" w:rsidRDefault="00E5092E" w:rsidP="00E5092E">
      <w:pPr>
        <w:pStyle w:val="ListParagraph"/>
        <w:numPr>
          <w:ilvl w:val="0"/>
          <w:numId w:val="1"/>
        </w:numPr>
      </w:pPr>
      <w:r w:rsidRPr="00E5092E">
        <w:t xml:space="preserve">Managing Intellectual Property Rights and promoting appropriate open licensing </w:t>
      </w:r>
    </w:p>
    <w:p w:rsidR="006C13C1" w:rsidRDefault="00FD3A4A" w:rsidP="006C13C1">
      <w:r w:rsidRPr="00E5092E">
        <w:t xml:space="preserve">Having set out </w:t>
      </w:r>
      <w:r w:rsidR="00E5092E" w:rsidRPr="00E5092E">
        <w:t xml:space="preserve">these </w:t>
      </w:r>
      <w:r w:rsidRPr="00E5092E">
        <w:t>possible points of contact between libraries and OER initiatives</w:t>
      </w:r>
      <w:r w:rsidR="007229DC" w:rsidRPr="00E5092E">
        <w:t>,</w:t>
      </w:r>
      <w:r w:rsidRPr="00E5092E">
        <w:t xml:space="preserve"> it is worth considering </w:t>
      </w:r>
      <w:r w:rsidR="00E5092E" w:rsidRPr="00E5092E">
        <w:t>the example of</w:t>
      </w:r>
      <w:r w:rsidRPr="00E5092E">
        <w:t xml:space="preserve"> digital literacy in some more detail, before outlining briefly the results of a survey.</w:t>
      </w:r>
      <w:r w:rsidR="00444B49">
        <w:t xml:space="preserve"> </w:t>
      </w:r>
    </w:p>
    <w:p w:rsidR="00E22212" w:rsidRDefault="00E22212" w:rsidP="00C604C1">
      <w:pPr>
        <w:pStyle w:val="Heading2"/>
      </w:pPr>
      <w:r>
        <w:t>Digital Literacy</w:t>
      </w:r>
    </w:p>
    <w:p w:rsidR="00BF3445" w:rsidRDefault="001A6079" w:rsidP="00FA4AA5">
      <w:r>
        <w:t>O</w:t>
      </w:r>
      <w:r w:rsidR="00FA4AA5">
        <w:t xml:space="preserve">ne </w:t>
      </w:r>
      <w:r>
        <w:t>of th</w:t>
      </w:r>
      <w:r w:rsidR="00FA4AA5">
        <w:t>e ways</w:t>
      </w:r>
      <w:r>
        <w:t xml:space="preserve"> in which</w:t>
      </w:r>
      <w:r w:rsidR="00FA4AA5">
        <w:t xml:space="preserve"> librarie</w:t>
      </w:r>
      <w:r>
        <w:t>s might be involved with OERs (and more widely in</w:t>
      </w:r>
      <w:r w:rsidR="00FA4AA5">
        <w:t xml:space="preserve"> Open Education</w:t>
      </w:r>
      <w:r>
        <w:t>)</w:t>
      </w:r>
      <w:r w:rsidR="00FA4AA5">
        <w:t xml:space="preserve"> would be through extending some of </w:t>
      </w:r>
      <w:r w:rsidR="000B79E7">
        <w:t>the work</w:t>
      </w:r>
      <w:r w:rsidR="00FA4AA5">
        <w:t xml:space="preserve"> they already </w:t>
      </w:r>
      <w:r w:rsidR="000B79E7">
        <w:t xml:space="preserve">often </w:t>
      </w:r>
      <w:r w:rsidR="00FA4AA5">
        <w:t xml:space="preserve">do in </w:t>
      </w:r>
      <w:r w:rsidR="000B79E7">
        <w:t>the provision of</w:t>
      </w:r>
      <w:r w:rsidR="00FA4AA5">
        <w:t xml:space="preserve"> information literacy </w:t>
      </w:r>
      <w:r w:rsidR="000B79E7">
        <w:t xml:space="preserve">classes </w:t>
      </w:r>
      <w:r w:rsidR="00FA4AA5">
        <w:t xml:space="preserve">to encompass supporting students in selecting and evaluating OERs. </w:t>
      </w:r>
      <w:r w:rsidR="00A57B36">
        <w:t xml:space="preserve">This isn’t to suggest a new </w:t>
      </w:r>
      <w:r w:rsidR="007C76B5">
        <w:t xml:space="preserve">thing called ‘OER Literacy’ but </w:t>
      </w:r>
      <w:r w:rsidR="00A57B36">
        <w:t>rather to place</w:t>
      </w:r>
      <w:r w:rsidR="007C76B5">
        <w:t xml:space="preserve"> the discovery and use of OERs </w:t>
      </w:r>
      <w:r w:rsidR="00CD1932">
        <w:t xml:space="preserve">within an existing framework – as the skills needed to find and use OERs </w:t>
      </w:r>
      <w:r w:rsidR="007C76B5">
        <w:t>draw on a number of recognised skills relating to information literacy</w:t>
      </w:r>
      <w:r w:rsidR="00CD1932">
        <w:t>,</w:t>
      </w:r>
      <w:r w:rsidR="007C76B5">
        <w:t xml:space="preserve"> to study skills</w:t>
      </w:r>
      <w:r w:rsidR="00CD1932">
        <w:t>,</w:t>
      </w:r>
      <w:r w:rsidR="007C76B5">
        <w:t xml:space="preserve"> and the promotion of self-regulated learning.</w:t>
      </w:r>
      <w:r w:rsidR="008C42E3">
        <w:t xml:space="preserve"> </w:t>
      </w:r>
    </w:p>
    <w:p w:rsidR="00560650" w:rsidRDefault="0079364E" w:rsidP="00CC6D6D">
      <w:r>
        <w:t>The digital literacy skills require</w:t>
      </w:r>
      <w:r w:rsidR="00560650">
        <w:t>d</w:t>
      </w:r>
      <w:r>
        <w:t xml:space="preserve"> for OERs include:</w:t>
      </w:r>
    </w:p>
    <w:p w:rsidR="00560650" w:rsidRDefault="00FA4AA5" w:rsidP="00560650">
      <w:pPr>
        <w:pStyle w:val="ListParagraph"/>
        <w:numPr>
          <w:ilvl w:val="0"/>
          <w:numId w:val="9"/>
        </w:numPr>
      </w:pPr>
      <w:r>
        <w:t>Evaluating the resourc</w:t>
      </w:r>
      <w:r w:rsidR="00560650">
        <w:t>e</w:t>
      </w:r>
    </w:p>
    <w:p w:rsidR="00560650" w:rsidRDefault="00FA4AA5" w:rsidP="00560650">
      <w:pPr>
        <w:pStyle w:val="ListParagraph"/>
        <w:numPr>
          <w:ilvl w:val="1"/>
          <w:numId w:val="9"/>
        </w:numPr>
      </w:pPr>
      <w:r>
        <w:t>Where does the resource come from?</w:t>
      </w:r>
    </w:p>
    <w:p w:rsidR="00FA4AA5" w:rsidRDefault="00FA4AA5" w:rsidP="00560650">
      <w:pPr>
        <w:pStyle w:val="ListParagraph"/>
        <w:numPr>
          <w:ilvl w:val="1"/>
          <w:numId w:val="9"/>
        </w:numPr>
      </w:pPr>
      <w:r>
        <w:t>Who produced it?</w:t>
      </w:r>
    </w:p>
    <w:p w:rsidR="00FA4AA5" w:rsidRDefault="00FA4AA5" w:rsidP="00560650">
      <w:pPr>
        <w:pStyle w:val="ListParagraph"/>
        <w:numPr>
          <w:ilvl w:val="1"/>
          <w:numId w:val="9"/>
        </w:numPr>
      </w:pPr>
      <w:r>
        <w:t>Does it have use appropriate sources?</w:t>
      </w:r>
    </w:p>
    <w:p w:rsidR="00712DA3" w:rsidRDefault="00FA4AA5" w:rsidP="00712DA3">
      <w:pPr>
        <w:pStyle w:val="ListParagraph"/>
        <w:numPr>
          <w:ilvl w:val="1"/>
          <w:numId w:val="9"/>
        </w:numPr>
      </w:pPr>
      <w:r>
        <w:lastRenderedPageBreak/>
        <w:t>How current is it?</w:t>
      </w:r>
      <w:r w:rsidR="00712DA3" w:rsidRPr="00712DA3">
        <w:t xml:space="preserve"> </w:t>
      </w:r>
    </w:p>
    <w:p w:rsidR="00FA4AA5" w:rsidRDefault="00712DA3" w:rsidP="00712DA3">
      <w:pPr>
        <w:pStyle w:val="ListParagraph"/>
        <w:numPr>
          <w:ilvl w:val="1"/>
          <w:numId w:val="9"/>
        </w:numPr>
      </w:pPr>
      <w:r>
        <w:t>Is it coherent/ self-contained?</w:t>
      </w:r>
    </w:p>
    <w:p w:rsidR="00FA4AA5" w:rsidRDefault="00FA4AA5" w:rsidP="00560650">
      <w:pPr>
        <w:pStyle w:val="ListParagraph"/>
        <w:numPr>
          <w:ilvl w:val="1"/>
          <w:numId w:val="9"/>
        </w:numPr>
      </w:pPr>
      <w:r>
        <w:t>What cultural context does it assume?</w:t>
      </w:r>
    </w:p>
    <w:p w:rsidR="00FA4AA5" w:rsidRDefault="00FA4AA5" w:rsidP="00560650">
      <w:pPr>
        <w:pStyle w:val="ListParagraph"/>
        <w:numPr>
          <w:ilvl w:val="1"/>
          <w:numId w:val="9"/>
        </w:numPr>
      </w:pPr>
      <w:r>
        <w:t>What legal jurisdiction does it assume?</w:t>
      </w:r>
    </w:p>
    <w:p w:rsidR="00560650" w:rsidRDefault="00FA4AA5" w:rsidP="00560650">
      <w:pPr>
        <w:pStyle w:val="ListParagraph"/>
        <w:numPr>
          <w:ilvl w:val="1"/>
          <w:numId w:val="9"/>
        </w:numPr>
      </w:pPr>
      <w:r>
        <w:t>Is it specific to any given accreditation process?</w:t>
      </w:r>
    </w:p>
    <w:p w:rsidR="00FA4AA5" w:rsidRDefault="00FA4AA5" w:rsidP="00560650">
      <w:pPr>
        <w:pStyle w:val="ListParagraph"/>
        <w:numPr>
          <w:ilvl w:val="0"/>
          <w:numId w:val="9"/>
        </w:numPr>
      </w:pPr>
      <w:r>
        <w:t>What can I do with resource?</w:t>
      </w:r>
    </w:p>
    <w:p w:rsidR="00FA4AA5" w:rsidRDefault="00FA4AA5" w:rsidP="00560650">
      <w:pPr>
        <w:pStyle w:val="ListParagraph"/>
        <w:numPr>
          <w:ilvl w:val="1"/>
          <w:numId w:val="9"/>
        </w:numPr>
      </w:pPr>
      <w:r>
        <w:t>Are there any licence restrictions?</w:t>
      </w:r>
    </w:p>
    <w:p w:rsidR="00560650" w:rsidRDefault="00FA4AA5" w:rsidP="00CC6D6D">
      <w:pPr>
        <w:pStyle w:val="ListParagraph"/>
        <w:numPr>
          <w:ilvl w:val="1"/>
          <w:numId w:val="9"/>
        </w:numPr>
      </w:pPr>
      <w:r>
        <w:t>Is the resource format suitable for adaptation?</w:t>
      </w:r>
    </w:p>
    <w:p w:rsidR="00FA4AA5" w:rsidRDefault="00FA4AA5" w:rsidP="00560650">
      <w:pPr>
        <w:pStyle w:val="ListParagraph"/>
        <w:numPr>
          <w:ilvl w:val="0"/>
          <w:numId w:val="9"/>
        </w:numPr>
      </w:pPr>
      <w:r>
        <w:t>Resources assumed to use the resource</w:t>
      </w:r>
    </w:p>
    <w:p w:rsidR="00FA4AA5" w:rsidRDefault="00FA4AA5" w:rsidP="00560650">
      <w:pPr>
        <w:pStyle w:val="ListParagraph"/>
        <w:numPr>
          <w:ilvl w:val="1"/>
          <w:numId w:val="9"/>
        </w:numPr>
      </w:pPr>
      <w:r>
        <w:t xml:space="preserve">Does it </w:t>
      </w:r>
      <w:r w:rsidR="00003FFB">
        <w:t>require</w:t>
      </w:r>
      <w:r>
        <w:t xml:space="preserve"> access to particular digital resources (course readings)?</w:t>
      </w:r>
    </w:p>
    <w:p w:rsidR="00FA4AA5" w:rsidRDefault="00FA4AA5" w:rsidP="00560650">
      <w:pPr>
        <w:pStyle w:val="ListParagraph"/>
        <w:numPr>
          <w:ilvl w:val="1"/>
          <w:numId w:val="9"/>
        </w:numPr>
      </w:pPr>
      <w:r>
        <w:t xml:space="preserve">Does it </w:t>
      </w:r>
      <w:r w:rsidR="00003FFB">
        <w:t xml:space="preserve">require </w:t>
      </w:r>
      <w:r>
        <w:t>access to particular software</w:t>
      </w:r>
    </w:p>
    <w:p w:rsidR="00FA4AA5" w:rsidRDefault="00FA4AA5" w:rsidP="00560650">
      <w:pPr>
        <w:pStyle w:val="ListParagraph"/>
        <w:numPr>
          <w:ilvl w:val="1"/>
          <w:numId w:val="9"/>
        </w:numPr>
      </w:pPr>
      <w:r>
        <w:t xml:space="preserve">Does it </w:t>
      </w:r>
      <w:r w:rsidR="00003FFB">
        <w:t xml:space="preserve">require </w:t>
      </w:r>
      <w:r>
        <w:t>access to particular tools/ infrastructure?</w:t>
      </w:r>
    </w:p>
    <w:p w:rsidR="00FA4AA5" w:rsidRDefault="00FA4AA5" w:rsidP="00560650">
      <w:pPr>
        <w:pStyle w:val="ListParagraph"/>
        <w:numPr>
          <w:ilvl w:val="0"/>
          <w:numId w:val="9"/>
        </w:numPr>
      </w:pPr>
      <w:r>
        <w:t>Type of interaction assumed by the resource</w:t>
      </w:r>
    </w:p>
    <w:p w:rsidR="00FA4AA5" w:rsidRDefault="00FA4AA5" w:rsidP="00560650">
      <w:pPr>
        <w:pStyle w:val="ListParagraph"/>
        <w:numPr>
          <w:ilvl w:val="1"/>
          <w:numId w:val="9"/>
        </w:numPr>
      </w:pPr>
      <w:r>
        <w:t>Does it assume any particular type of interaction (group work?)</w:t>
      </w:r>
    </w:p>
    <w:p w:rsidR="00FA4AA5" w:rsidRDefault="00FA4AA5" w:rsidP="00560650">
      <w:pPr>
        <w:pStyle w:val="ListParagraph"/>
        <w:numPr>
          <w:ilvl w:val="1"/>
          <w:numId w:val="9"/>
        </w:numPr>
      </w:pPr>
      <w:r>
        <w:t>Does it assume any form of online interaction/ community?</w:t>
      </w:r>
    </w:p>
    <w:p w:rsidR="00003FFB" w:rsidRDefault="00003FFB" w:rsidP="00560650">
      <w:pPr>
        <w:pStyle w:val="ListParagraph"/>
        <w:numPr>
          <w:ilvl w:val="1"/>
          <w:numId w:val="9"/>
        </w:numPr>
      </w:pPr>
      <w:r>
        <w:t>Does it assume expert assistance?</w:t>
      </w:r>
    </w:p>
    <w:p w:rsidR="007E1AD9" w:rsidRDefault="007E1AD9" w:rsidP="00560650">
      <w:pPr>
        <w:pStyle w:val="ListParagraph"/>
        <w:numPr>
          <w:ilvl w:val="1"/>
          <w:numId w:val="9"/>
        </w:numPr>
      </w:pPr>
      <w:r>
        <w:t>How does it fit with my patterns of learning?</w:t>
      </w:r>
    </w:p>
    <w:p w:rsidR="00FA4AA5" w:rsidRDefault="00FA4AA5" w:rsidP="00FA4AA5">
      <w:r>
        <w:t xml:space="preserve">Some of this information </w:t>
      </w:r>
      <w:r w:rsidR="00930F73">
        <w:t xml:space="preserve">addresses </w:t>
      </w:r>
      <w:r>
        <w:t xml:space="preserve">the </w:t>
      </w:r>
      <w:r w:rsidR="00930F73">
        <w:t>types</w:t>
      </w:r>
      <w:r>
        <w:t xml:space="preserve"> of question </w:t>
      </w:r>
      <w:r w:rsidR="00930F73">
        <w:t xml:space="preserve">which </w:t>
      </w:r>
      <w:r>
        <w:t xml:space="preserve">heavyweight </w:t>
      </w:r>
      <w:proofErr w:type="spellStart"/>
      <w:r>
        <w:t>elearning</w:t>
      </w:r>
      <w:proofErr w:type="spellEnd"/>
      <w:r>
        <w:t xml:space="preserve"> metadata standards tried to capture and to universally abstract into metadata. </w:t>
      </w:r>
      <w:r w:rsidR="007A2D59">
        <w:t xml:space="preserve">Even when implemented properly, the actual use of such standards is often erratic – however, all the careful reflection that went into creating such standards does highlight </w:t>
      </w:r>
      <w:r>
        <w:t>that there is a need to ask that type of question of a resource when we go to use it.</w:t>
      </w:r>
      <w:r w:rsidR="007A2D59">
        <w:t xml:space="preserve"> The burden of understanding is though, not in cataloguing and metadata but rather in the digital literacy skills of the student or lecturer</w:t>
      </w:r>
      <w:r w:rsidR="00CC10E2">
        <w:t xml:space="preserve">. </w:t>
      </w:r>
      <w:r>
        <w:t xml:space="preserve"> </w:t>
      </w:r>
    </w:p>
    <w:p w:rsidR="001E3F69" w:rsidRDefault="001E3F69" w:rsidP="001E3F69">
      <w:r>
        <w:t xml:space="preserve">It should be noted that there are other </w:t>
      </w:r>
      <w:proofErr w:type="spellStart"/>
      <w:r w:rsidR="0079364E">
        <w:t>skillset</w:t>
      </w:r>
      <w:r w:rsidR="00CD0141">
        <w:t>s</w:t>
      </w:r>
      <w:proofErr w:type="spellEnd"/>
      <w:r w:rsidR="00CD0141">
        <w:t xml:space="preserve"> involved as well</w:t>
      </w:r>
      <w:r w:rsidR="002B042A">
        <w:t xml:space="preserve"> -</w:t>
      </w:r>
      <w:r w:rsidR="00CD0141">
        <w:t xml:space="preserve"> OER</w:t>
      </w:r>
      <w:r>
        <w:t xml:space="preserve"> require more than </w:t>
      </w:r>
      <w:r w:rsidR="002B042A">
        <w:t>information</w:t>
      </w:r>
      <w:r>
        <w:t xml:space="preserve"> literacy to use</w:t>
      </w:r>
      <w:r w:rsidR="002B042A">
        <w:t>. D</w:t>
      </w:r>
      <w:r w:rsidR="0079364E">
        <w:t>iscover</w:t>
      </w:r>
      <w:r w:rsidR="002B042A">
        <w:t xml:space="preserve">ing, </w:t>
      </w:r>
      <w:r w:rsidR="0079364E">
        <w:t>selecti</w:t>
      </w:r>
      <w:r w:rsidR="002B042A">
        <w:t xml:space="preserve">ng, and using OERs </w:t>
      </w:r>
      <w:r w:rsidR="00DF2417">
        <w:t>should, on some level,</w:t>
      </w:r>
      <w:r w:rsidR="00CD0141">
        <w:t xml:space="preserve"> </w:t>
      </w:r>
      <w:r w:rsidR="002B042A">
        <w:t xml:space="preserve">also consider </w:t>
      </w:r>
      <w:r w:rsidR="00CD0141">
        <w:t xml:space="preserve">with the design of materials and </w:t>
      </w:r>
      <w:r w:rsidR="00EE796C">
        <w:t xml:space="preserve">required </w:t>
      </w:r>
      <w:r w:rsidR="00CD0141">
        <w:t xml:space="preserve">study skills.  </w:t>
      </w:r>
      <w:r w:rsidR="00EE796C">
        <w:t>These ‘</w:t>
      </w:r>
      <w:proofErr w:type="spellStart"/>
      <w:r w:rsidR="00EE796C">
        <w:t>literacies</w:t>
      </w:r>
      <w:proofErr w:type="spellEnd"/>
      <w:r w:rsidR="00EE796C">
        <w:t>’ are</w:t>
      </w:r>
      <w:r w:rsidR="0079364E">
        <w:t xml:space="preserve"> probably covered by </w:t>
      </w:r>
      <w:r w:rsidR="00EE796C">
        <w:t>study skills</w:t>
      </w:r>
      <w:r w:rsidR="0079364E">
        <w:t xml:space="preserve"> courses offered by teaching and learning support services</w:t>
      </w:r>
      <w:r w:rsidR="00EE796C">
        <w:t xml:space="preserve">. Consequently supporting the use of OERs </w:t>
      </w:r>
      <w:r w:rsidR="0079364E">
        <w:t>be</w:t>
      </w:r>
      <w:r w:rsidR="00EE796C">
        <w:t>comes</w:t>
      </w:r>
      <w:r w:rsidR="0079364E">
        <w:t xml:space="preserve"> an area in which libraries </w:t>
      </w:r>
      <w:r w:rsidR="00EE796C">
        <w:t xml:space="preserve">and </w:t>
      </w:r>
      <w:r w:rsidR="0079364E">
        <w:t>teaching and learning centres</w:t>
      </w:r>
      <w:r w:rsidR="00EE796C">
        <w:t xml:space="preserve"> collaborate</w:t>
      </w:r>
      <w:r w:rsidR="0079364E">
        <w:t xml:space="preserve"> in supporting students</w:t>
      </w:r>
      <w:r w:rsidR="00EE796C">
        <w:t xml:space="preserve"> and academic staff</w:t>
      </w:r>
      <w:r w:rsidR="001A63FB">
        <w:t xml:space="preserve"> (</w:t>
      </w:r>
      <w:r w:rsidR="00A2198E">
        <w:t>On a related note, t</w:t>
      </w:r>
      <w:r w:rsidRPr="00FA4AA5">
        <w:t>he Solstice C</w:t>
      </w:r>
      <w:r w:rsidR="001A63FB">
        <w:t xml:space="preserve">entre </w:t>
      </w:r>
      <w:r w:rsidR="00A2198E">
        <w:t xml:space="preserve">for </w:t>
      </w:r>
      <w:r w:rsidRPr="00FA4AA5">
        <w:t>E</w:t>
      </w:r>
      <w:r w:rsidR="00A2198E">
        <w:t xml:space="preserve">xcellence in </w:t>
      </w:r>
      <w:r w:rsidRPr="00FA4AA5">
        <w:t>T</w:t>
      </w:r>
      <w:r w:rsidR="00A2198E">
        <w:t xml:space="preserve">eaching and </w:t>
      </w:r>
      <w:r w:rsidRPr="00FA4AA5">
        <w:t>L</w:t>
      </w:r>
      <w:r w:rsidR="00A2198E">
        <w:t>earning</w:t>
      </w:r>
      <w:r w:rsidRPr="00FA4AA5">
        <w:t xml:space="preserve"> at Edge Hill University has developed an Open Content Literacy Framework </w:t>
      </w:r>
      <w:r>
        <w:t xml:space="preserve">for those seeking to release OERs </w:t>
      </w:r>
      <w:r w:rsidRPr="00FA4AA5">
        <w:t xml:space="preserve">based on </w:t>
      </w:r>
      <w:r w:rsidR="00A2198E">
        <w:t xml:space="preserve">the work of the </w:t>
      </w:r>
      <w:proofErr w:type="spellStart"/>
      <w:r w:rsidR="00A2198E">
        <w:t>ReForm</w:t>
      </w:r>
      <w:proofErr w:type="spellEnd"/>
      <w:r w:rsidR="00A2198E">
        <w:t xml:space="preserve"> project</w:t>
      </w:r>
      <w:r w:rsidRPr="00FA4AA5">
        <w:t xml:space="preserve">: </w:t>
      </w:r>
      <w:hyperlink r:id="rId8" w:history="1">
        <w:r>
          <w:rPr>
            <w:rStyle w:val="Hyperlink"/>
          </w:rPr>
          <w:t>http://www.edgehill.ac.uk/solstice/docs/OpenContentLiteracy.pdf</w:t>
        </w:r>
      </w:hyperlink>
      <w:r>
        <w:t xml:space="preserve"> </w:t>
      </w:r>
    </w:p>
    <w:p w:rsidR="00B41E4E" w:rsidRDefault="00446328" w:rsidP="00CA2969">
      <w:pPr>
        <w:pStyle w:val="Heading1"/>
      </w:pPr>
      <w:r>
        <w:t xml:space="preserve">Investigating library </w:t>
      </w:r>
      <w:r w:rsidR="00A975F5">
        <w:t>involvement</w:t>
      </w:r>
    </w:p>
    <w:p w:rsidR="00A975F5" w:rsidRDefault="00A975F5" w:rsidP="00FA4AA5">
      <w:r>
        <w:t xml:space="preserve">I’ve proposed that academic libraries have a role to play in </w:t>
      </w:r>
      <w:r w:rsidR="00DF7B8D">
        <w:t xml:space="preserve">embedding sustainable OER </w:t>
      </w:r>
      <w:r w:rsidR="00847FE5">
        <w:t xml:space="preserve">initiatives and </w:t>
      </w:r>
      <w:r w:rsidR="00DF7B8D">
        <w:t>I’m planning to explore this more fully in the coming year but</w:t>
      </w:r>
      <w:r w:rsidR="00847FE5">
        <w:t>,</w:t>
      </w:r>
      <w:r w:rsidR="00DF7B8D">
        <w:t xml:space="preserve"> as part of developing t</w:t>
      </w:r>
      <w:r w:rsidR="00F2668D">
        <w:t>his paper</w:t>
      </w:r>
      <w:r w:rsidR="00847FE5">
        <w:t xml:space="preserve"> and </w:t>
      </w:r>
      <w:r w:rsidR="002D3A14">
        <w:t>in collaboration with</w:t>
      </w:r>
      <w:r w:rsidR="00847FE5">
        <w:t xml:space="preserve"> </w:t>
      </w:r>
      <w:proofErr w:type="spellStart"/>
      <w:r w:rsidR="00847FE5">
        <w:t>Open.Michigan</w:t>
      </w:r>
      <w:proofErr w:type="spellEnd"/>
      <w:r w:rsidR="00847FE5">
        <w:t>,</w:t>
      </w:r>
      <w:r w:rsidR="00F2668D">
        <w:t xml:space="preserve"> I carried out a </w:t>
      </w:r>
      <w:r w:rsidR="00847FE5">
        <w:t xml:space="preserve">brief </w:t>
      </w:r>
      <w:r w:rsidR="00F2668D">
        <w:t>survey</w:t>
      </w:r>
      <w:r w:rsidR="00847FE5">
        <w:t xml:space="preserve"> this summer targeted at OE</w:t>
      </w:r>
      <w:r w:rsidR="006846EC">
        <w:t>R</w:t>
      </w:r>
      <w:r w:rsidR="00847FE5">
        <w:t xml:space="preserve"> projects and initiatives</w:t>
      </w:r>
      <w:r w:rsidR="00C41AA9">
        <w:t>.</w:t>
      </w:r>
      <w:r w:rsidR="002D3A14">
        <w:t xml:space="preserve"> </w:t>
      </w:r>
      <w:r w:rsidR="006F4144">
        <w:t xml:space="preserve">The </w:t>
      </w:r>
      <w:proofErr w:type="spellStart"/>
      <w:r w:rsidR="00980DC6">
        <w:t>anonymised</w:t>
      </w:r>
      <w:proofErr w:type="spellEnd"/>
      <w:r w:rsidR="006F4144">
        <w:t xml:space="preserve"> data is available</w:t>
      </w:r>
      <w:r w:rsidR="009C3932">
        <w:t>:</w:t>
      </w:r>
      <w:r w:rsidR="007B4208">
        <w:t xml:space="preserve"> </w:t>
      </w:r>
      <w:hyperlink r:id="rId9" w:history="1">
        <w:r w:rsidR="007B4208" w:rsidRPr="002A55F1">
          <w:rPr>
            <w:rStyle w:val="Hyperlink"/>
          </w:rPr>
          <w:t>https://spreadsheets.google.com/ccc?key=0AuN3UUVNPUJ1dEdkY0k0dU9kRG9PMHpLYTBsUGtoRnc&amp;hl=en</w:t>
        </w:r>
      </w:hyperlink>
      <w:r w:rsidR="007B4208">
        <w:t xml:space="preserve"> </w:t>
      </w:r>
      <w:r w:rsidR="006F4144">
        <w:t xml:space="preserve"> </w:t>
      </w:r>
    </w:p>
    <w:p w:rsidR="003E11AD" w:rsidRDefault="00712041" w:rsidP="004F5A07">
      <w:pPr>
        <w:pStyle w:val="Heading2"/>
      </w:pPr>
      <w:r>
        <w:lastRenderedPageBreak/>
        <w:t>Audience</w:t>
      </w:r>
    </w:p>
    <w:p w:rsidR="003E11AD" w:rsidRDefault="00712041" w:rsidP="00FA4AA5">
      <w:r>
        <w:t xml:space="preserve">The survey was designed for those involved in OER initiatives and it initially went out to a number of specific email lists, but was subsequently tweeted more widely. One consequence of this was that as time progressed there was a marked increase in </w:t>
      </w:r>
      <w:r w:rsidR="00263332">
        <w:t xml:space="preserve">the number of incomplete responses; at the time of data analysis there were 37 incompletes for 36 complete </w:t>
      </w:r>
      <w:proofErr w:type="gramStart"/>
      <w:r w:rsidR="00263332">
        <w:t>( incomplete</w:t>
      </w:r>
      <w:proofErr w:type="gramEnd"/>
      <w:r w:rsidR="00263332">
        <w:t xml:space="preserve"> results excluded from the results that follow) .</w:t>
      </w:r>
    </w:p>
    <w:p w:rsidR="00553593" w:rsidRDefault="007A242A" w:rsidP="00FA4AA5">
      <w:r>
        <w:t xml:space="preserve">The responses were predominantly from the United Kingdom (13) and United States (12) but </w:t>
      </w:r>
      <w:r w:rsidR="002C6B71">
        <w:t xml:space="preserve">as illustrated in Figure 1 </w:t>
      </w:r>
      <w:r>
        <w:t xml:space="preserve">a broader geographic coverage was achieved. </w:t>
      </w:r>
      <w:r w:rsidR="00064DAF">
        <w:t>The o</w:t>
      </w:r>
      <w:r w:rsidR="00D87373">
        <w:t>rganisations</w:t>
      </w:r>
      <w:r w:rsidR="00064DAF">
        <w:t xml:space="preserve"> involved </w:t>
      </w:r>
      <w:r w:rsidR="0000561E">
        <w:t xml:space="preserve">were predominantly from higher education (86%) and included four university libraries. The full range of </w:t>
      </w:r>
      <w:r w:rsidR="00500CBF">
        <w:t>organisations is shown in Figure 2. The Educational Initiatives noted are Higher Education Academy Subject Centres. The responses from both an Open Access publisher and Company developing software connected to OERs highlight that any discussion of OER initiatives will need to consider a wide range of participants who are contributing to</w:t>
      </w:r>
      <w:r w:rsidR="004A61B7">
        <w:t xml:space="preserve"> the process of embedding.</w:t>
      </w:r>
      <w:r w:rsidR="00553593">
        <w:t xml:space="preserve"> </w:t>
      </w:r>
    </w:p>
    <w:p w:rsidR="00D87373" w:rsidRDefault="00D87373" w:rsidP="00FA4AA5">
      <w:r>
        <w:t xml:space="preserve">53% </w:t>
      </w:r>
      <w:r w:rsidR="00553593">
        <w:t xml:space="preserve">of respondents were </w:t>
      </w:r>
      <w:r>
        <w:t>based in libraries and</w:t>
      </w:r>
      <w:r w:rsidR="00553593">
        <w:t xml:space="preserve"> were</w:t>
      </w:r>
      <w:r>
        <w:t xml:space="preserve"> librarians</w:t>
      </w:r>
      <w:r w:rsidR="00553593">
        <w:t xml:space="preserve">; there were </w:t>
      </w:r>
      <w:r>
        <w:t>no response</w:t>
      </w:r>
      <w:r w:rsidR="00553593">
        <w:t>s</w:t>
      </w:r>
      <w:r>
        <w:t xml:space="preserve"> f</w:t>
      </w:r>
      <w:r w:rsidR="00B063BC">
        <w:t>r</w:t>
      </w:r>
      <w:r w:rsidR="00553593">
        <w:t>om non-</w:t>
      </w:r>
      <w:r>
        <w:t xml:space="preserve">librarians in libraries or librarians not in libraries. </w:t>
      </w:r>
      <w:r w:rsidR="00553593">
        <w:t>Given the dissemination channels this survey went through this was a h</w:t>
      </w:r>
      <w:r>
        <w:t xml:space="preserve">igher </w:t>
      </w:r>
      <w:r w:rsidR="00553593">
        <w:t xml:space="preserve">number of librarians </w:t>
      </w:r>
      <w:r>
        <w:t>than expected</w:t>
      </w:r>
      <w:r w:rsidR="0038346F">
        <w:t xml:space="preserve">. </w:t>
      </w:r>
      <w:r>
        <w:t xml:space="preserve"> </w:t>
      </w:r>
    </w:p>
    <w:p w:rsidR="004613D9" w:rsidRDefault="004613D9" w:rsidP="00FA4AA5">
      <w:r>
        <w:t>In considering the</w:t>
      </w:r>
      <w:r w:rsidR="00C86299">
        <w:t xml:space="preserve"> respondents</w:t>
      </w:r>
      <w:r>
        <w:t xml:space="preserve"> involvement in OER initiatives</w:t>
      </w:r>
      <w:r w:rsidR="000846A1">
        <w:t xml:space="preserve"> there was also a good </w:t>
      </w:r>
      <w:r w:rsidR="00C86299">
        <w:t xml:space="preserve">range of types of involvement. Figure 3 shows the results (respondents could choose multiple answers; three skipped this question). </w:t>
      </w:r>
      <w:r w:rsidR="007E3ECB">
        <w:t xml:space="preserve"> Just under 2/5 of the respondents were involved in project-based OER initiatives (nine of whom were from the UKOER programme), </w:t>
      </w:r>
      <w:r w:rsidR="000B03C3">
        <w:t xml:space="preserve">so the results reflect </w:t>
      </w:r>
      <w:r w:rsidR="00FF5536">
        <w:t>a wider view than purely project-based attitudes.</w:t>
      </w:r>
    </w:p>
    <w:p w:rsidR="00D87373" w:rsidRDefault="0018430B" w:rsidP="004F5A07">
      <w:pPr>
        <w:pStyle w:val="Heading2"/>
      </w:pPr>
      <w:r>
        <w:t>Viewpoints</w:t>
      </w:r>
    </w:p>
    <w:p w:rsidR="003E11AD" w:rsidRDefault="0018430B" w:rsidP="00FA4AA5">
      <w:r>
        <w:t xml:space="preserve">The survey considered four further questions to gather information about </w:t>
      </w:r>
      <w:proofErr w:type="gramStart"/>
      <w:r>
        <w:t>respondents</w:t>
      </w:r>
      <w:proofErr w:type="gramEnd"/>
      <w:r>
        <w:t xml:space="preserve"> views; a set of three questions addressing the degree of involvement of libraries and librarians and a more complex grid of potential or actual types of involvement.</w:t>
      </w:r>
    </w:p>
    <w:p w:rsidR="008E36C5" w:rsidRDefault="008E36C5" w:rsidP="00FA4AA5">
      <w:r>
        <w:t>In considering how involved libraries are in the release of OERs (Figure 4</w:t>
      </w:r>
      <w:r w:rsidR="005E392A">
        <w:t xml:space="preserve"> below</w:t>
      </w:r>
      <w:r>
        <w:t>) there is a broad distribution of involvement from leading initiatives to probably not being aware of them. The neutral answer was chosen by the most respondents (10; supporting OER as institutional effort but especially not involved)</w:t>
      </w:r>
      <w:r w:rsidR="004E32D0">
        <w:t xml:space="preserve"> but 12 respondents indicated active library partnership of some form (and 12 indicated little library support)</w:t>
      </w:r>
      <w:r w:rsidR="005E392A">
        <w:t>. Allowing for the 2 skips this is a little more than a third of respondents with active library involvement in the release of OERs.</w:t>
      </w:r>
    </w:p>
    <w:p w:rsidR="00FB08A2" w:rsidRDefault="00E4153B" w:rsidP="00FA4AA5">
      <w:r>
        <w:t>Figure 5 considers the l</w:t>
      </w:r>
      <w:r w:rsidR="00FB08A2">
        <w:t>ibrary</w:t>
      </w:r>
      <w:r>
        <w:t>’s</w:t>
      </w:r>
      <w:r w:rsidR="00FB08A2">
        <w:t xml:space="preserve"> role in </w:t>
      </w:r>
      <w:r>
        <w:t xml:space="preserve">the </w:t>
      </w:r>
      <w:r w:rsidR="00FB08A2">
        <w:t>use</w:t>
      </w:r>
      <w:r>
        <w:t xml:space="preserve"> </w:t>
      </w:r>
      <w:r w:rsidR="00E93790">
        <w:t>of OERs and Figure 6 considers the role of individual librarians in the use of OERs. Both sets of results are dominated by</w:t>
      </w:r>
      <w:r w:rsidR="00090455">
        <w:t xml:space="preserve"> support for OERs in so much as for other digital resources</w:t>
      </w:r>
      <w:r w:rsidR="00C84AD8">
        <w:t xml:space="preserve"> and in both cases this answer was chosen by around half the respondents</w:t>
      </w:r>
      <w:r w:rsidR="00090455">
        <w:t xml:space="preserve">. </w:t>
      </w:r>
      <w:r w:rsidR="00E93790">
        <w:t xml:space="preserve"> </w:t>
      </w:r>
      <w:r w:rsidR="00C84AD8">
        <w:t>This raises an interesting question – is it enough to support the use of OERs in the same way as other resources or do users need OER specific support – the discussion of digital literacy above has suggested that they might need additional support but the results of this survey suggest this isn’t (yet?) happening in practice.</w:t>
      </w:r>
      <w:r w:rsidR="00F60A3C">
        <w:t xml:space="preserve"> One difference between the results for libraries and those for librarians are the secondary choices – there is a lack of engagement with OERs recorded in the library results but more engagement recorded for individual librarians. These results may indicate that the view proposed earlier that libraries don’t have much to do with the management of teaching materials </w:t>
      </w:r>
      <w:proofErr w:type="gramStart"/>
      <w:r w:rsidR="00F60A3C">
        <w:lastRenderedPageBreak/>
        <w:t>has</w:t>
      </w:r>
      <w:proofErr w:type="gramEnd"/>
      <w:r w:rsidR="00F60A3C">
        <w:t xml:space="preserve"> some validity. It also indicates a degree of involvement by individual librarians that could indicate some ‘early adopters’ and the beginning of a wider involvement in supporting OERs or it may reflect a niche interest – hopefully the former.</w:t>
      </w:r>
    </w:p>
    <w:p w:rsidR="00EC5D4E" w:rsidRDefault="00A47916" w:rsidP="00FA4AA5">
      <w:r>
        <w:t xml:space="preserve">The final survey </w:t>
      </w:r>
      <w:r w:rsidR="00CB51B9">
        <w:t>question</w:t>
      </w:r>
      <w:r>
        <w:t xml:space="preserve"> (aside from comments and feedback) was a grid asking respondents to comment on a number of potential ways in which libraries might be involved in OER initiatives. It asked respondent</w:t>
      </w:r>
      <w:r w:rsidR="00CB51B9">
        <w:t>s</w:t>
      </w:r>
      <w:r>
        <w:t xml:space="preserve"> to identify which of these areas they were working in, which they thought libraries could be involved in, and which they knew of actual library involvement in.</w:t>
      </w:r>
      <w:r w:rsidR="009315F7">
        <w:t xml:space="preserve"> As illustrated in Figure 7 the proportions of the results a pattern that might be expected from the previous answers – with much less actual library involvement than possible involvement or areas of work by the responding OER initiative. It should be noted the format (chosen to reduce repetition) caused some confusion</w:t>
      </w:r>
      <w:r w:rsidR="00C95EB1">
        <w:t>- respondents treated the actual and possible columns as mutually exclusive</w:t>
      </w:r>
      <w:r w:rsidR="009315F7">
        <w:t>.</w:t>
      </w:r>
      <w:r w:rsidR="0044276D">
        <w:t xml:space="preserve"> Looking at the results for possible library </w:t>
      </w:r>
      <w:r w:rsidR="00CB572E">
        <w:t>involvement there is a clear expectation that libraries could support tagging and metadata, identify and index quality OERs, and more generally support discovery and use of OERs by academic staff and students.</w:t>
      </w:r>
      <w:r w:rsidR="00185D1C">
        <w:t xml:space="preserve"> </w:t>
      </w:r>
      <w:r w:rsidR="00CB51B9">
        <w:t>Figure 8 is an overview of just the responses about actual library involvement. For any given activity the identified involvement ranges from 2 out of 32 to</w:t>
      </w:r>
      <w:r w:rsidR="00C95EB1">
        <w:t xml:space="preserve"> 10 out </w:t>
      </w:r>
      <w:r w:rsidR="00CB51B9">
        <w:t>o</w:t>
      </w:r>
      <w:r w:rsidR="00C95EB1">
        <w:t>f 32 responses. There was most library involvement in the provision of IPR guidance, and least involvement in identifying and indexing quality OERs and in providing guidance about metadata.</w:t>
      </w:r>
      <w:r w:rsidR="003659E5">
        <w:t xml:space="preserve"> The lack of library involvement in these two areas fits to an extent with the survey participants being established OER projects who would have had to put in place ways to address these issues prior to any library involvement.</w:t>
      </w:r>
      <w:r w:rsidR="006B2C7B">
        <w:t xml:space="preserve"> </w:t>
      </w:r>
      <w:r w:rsidR="00A21533">
        <w:t>The wider question about a library role in helping with IPR is perhaps a question of sustainability rather than necessi</w:t>
      </w:r>
      <w:r w:rsidR="00BC4F5A">
        <w:t xml:space="preserve">ty, and may depend on the </w:t>
      </w:r>
      <w:proofErr w:type="spellStart"/>
      <w:r w:rsidR="00BC4F5A">
        <w:t>exisiting</w:t>
      </w:r>
      <w:proofErr w:type="spellEnd"/>
      <w:r w:rsidR="00BC4F5A">
        <w:t xml:space="preserve"> university provision for such matters.</w:t>
      </w:r>
    </w:p>
    <w:p w:rsidR="00B41E4E" w:rsidRDefault="00E60B7C" w:rsidP="004F5A07">
      <w:pPr>
        <w:pStyle w:val="Heading1"/>
      </w:pPr>
      <w:r>
        <w:t>Conclusions</w:t>
      </w:r>
    </w:p>
    <w:p w:rsidR="00BC4F5A" w:rsidRDefault="00BC4F5A" w:rsidP="00E60B7C">
      <w:r>
        <w:t xml:space="preserve">There are </w:t>
      </w:r>
      <w:r w:rsidR="00491A4E">
        <w:t xml:space="preserve">indentified </w:t>
      </w:r>
      <w:r>
        <w:t xml:space="preserve">points of contact between libraries and OER initiatives and ways in which they could collaborate to better support academic staff and students. </w:t>
      </w:r>
      <w:r w:rsidR="00674796">
        <w:t>This paper has sought t</w:t>
      </w:r>
      <w:r w:rsidR="009515C4">
        <w:t>o sketch out some ideas and report on a preliminary survey exploring the views and practice of OER initiatives in this area.</w:t>
      </w:r>
      <w:r w:rsidR="00CF020C">
        <w:t xml:space="preserve"> It is clearly onl</w:t>
      </w:r>
      <w:r w:rsidR="00283E0F">
        <w:t>y the first stages of any investigation into the roles of libraries and there are some critical questions, outside the scope of this study, around the compatibility of teaching and library cultures and the differences in how teaching materials are found and used that would need to shape that future work.</w:t>
      </w:r>
      <w:r w:rsidR="00491A4E">
        <w:t xml:space="preserve"> The survey results as they stand, however, demonstrate that there is some library involvement in OER initiatives and common areas of interest that a greater role for libraries is one route that could be explored in making OER initiatives more sustainable.</w:t>
      </w:r>
    </w:p>
    <w:p w:rsidR="00120497" w:rsidRDefault="00120497" w:rsidP="004F5A07">
      <w:pPr>
        <w:pStyle w:val="Heading1"/>
      </w:pPr>
      <w:r>
        <w:t>Bibliography</w:t>
      </w:r>
    </w:p>
    <w:p w:rsidR="008B19D4" w:rsidRDefault="008B19D4" w:rsidP="00FA4AA5">
      <w:proofErr w:type="spellStart"/>
      <w:r>
        <w:t>Belliston</w:t>
      </w:r>
      <w:proofErr w:type="spellEnd"/>
      <w:r w:rsidR="0005488A">
        <w:t>,</w:t>
      </w:r>
      <w:r w:rsidR="0005488A" w:rsidRPr="0005488A">
        <w:t xml:space="preserve"> </w:t>
      </w:r>
      <w:r w:rsidR="0005488A">
        <w:t>C. Jeffrey.</w:t>
      </w:r>
      <w:r>
        <w:t xml:space="preserve"> Open Educational Resources: Creating the instruction commons C&amp;RL News, May 2009 Vol. 70, No. 5 </w:t>
      </w:r>
      <w:hyperlink r:id="rId10" w:history="1">
        <w:r w:rsidR="00785C6F" w:rsidRPr="00B81D6E">
          <w:rPr>
            <w:rStyle w:val="Hyperlink"/>
          </w:rPr>
          <w:t>http://tinyurl.com/yhoezak</w:t>
        </w:r>
      </w:hyperlink>
      <w:r w:rsidR="00785C6F">
        <w:t xml:space="preserve"> </w:t>
      </w:r>
    </w:p>
    <w:p w:rsidR="00DD4A24" w:rsidRDefault="0005488A" w:rsidP="00FA4AA5">
      <w:proofErr w:type="spellStart"/>
      <w:r>
        <w:t>D</w:t>
      </w:r>
      <w:r w:rsidR="00DD4A24">
        <w:t>ownes</w:t>
      </w:r>
      <w:proofErr w:type="spellEnd"/>
      <w:r>
        <w:t>, Stephen.</w:t>
      </w:r>
      <w:r w:rsidR="00DD4A24">
        <w:t xml:space="preserve"> (2002) The Learning Object Economy </w:t>
      </w:r>
      <w:hyperlink r:id="rId11" w:history="1">
        <w:r w:rsidR="00DD4A24" w:rsidRPr="00B81D6E">
          <w:rPr>
            <w:rStyle w:val="Hyperlink"/>
          </w:rPr>
          <w:t>http://www.slideshare.net/Downes/the-learning-object-economy</w:t>
        </w:r>
      </w:hyperlink>
      <w:r w:rsidR="00DD4A24">
        <w:t xml:space="preserve"> </w:t>
      </w:r>
    </w:p>
    <w:p w:rsidR="00690E83" w:rsidRDefault="00690E83" w:rsidP="00FA4AA5">
      <w:proofErr w:type="spellStart"/>
      <w:r>
        <w:t>Hirst</w:t>
      </w:r>
      <w:proofErr w:type="spellEnd"/>
      <w:r>
        <w:t xml:space="preserve">, </w:t>
      </w:r>
      <w:r w:rsidR="0005488A">
        <w:t xml:space="preserve">Tony. </w:t>
      </w:r>
      <w:r>
        <w:t xml:space="preserve">(2009) ouseful.info, the blog ‘Open Educational Resources and the Library Website’ August 10th 2009 </w:t>
      </w:r>
      <w:hyperlink r:id="rId12" w:history="1">
        <w:r w:rsidRPr="00A374D6">
          <w:rPr>
            <w:rStyle w:val="Hyperlink"/>
          </w:rPr>
          <w:t>http://tinyurl.com/yfkzq8g</w:t>
        </w:r>
      </w:hyperlink>
      <w:r>
        <w:t xml:space="preserve"> </w:t>
      </w:r>
      <w:r w:rsidR="00785C6F">
        <w:t xml:space="preserve"> </w:t>
      </w:r>
    </w:p>
    <w:p w:rsidR="00054466" w:rsidRDefault="00054466" w:rsidP="00FA4AA5">
      <w:r>
        <w:lastRenderedPageBreak/>
        <w:t>Parry</w:t>
      </w:r>
      <w:r w:rsidR="0005488A">
        <w:t>, Marc.</w:t>
      </w:r>
      <w:r>
        <w:t xml:space="preserve"> (2010) “</w:t>
      </w:r>
      <w:r w:rsidRPr="00054466">
        <w:t xml:space="preserve">MIT Looks to Make Money Online, but Not </w:t>
      </w:r>
      <w:proofErr w:type="gramStart"/>
      <w:r w:rsidRPr="00054466">
        <w:t>With</w:t>
      </w:r>
      <w:proofErr w:type="gramEnd"/>
      <w:r w:rsidRPr="00054466">
        <w:t xml:space="preserve"> an </w:t>
      </w:r>
      <w:proofErr w:type="spellStart"/>
      <w:r w:rsidRPr="00054466">
        <w:t>OpenCourseWare</w:t>
      </w:r>
      <w:proofErr w:type="spellEnd"/>
      <w:r w:rsidRPr="00054466">
        <w:t xml:space="preserve"> </w:t>
      </w:r>
      <w:proofErr w:type="spellStart"/>
      <w:r w:rsidRPr="00054466">
        <w:t>Paywall</w:t>
      </w:r>
      <w:proofErr w:type="spellEnd"/>
      <w:r>
        <w:t xml:space="preserve">” </w:t>
      </w:r>
      <w:r w:rsidRPr="00054466">
        <w:rPr>
          <w:i/>
        </w:rPr>
        <w:t>The Chronicle of Higher Education</w:t>
      </w:r>
      <w:r>
        <w:t xml:space="preserve"> </w:t>
      </w:r>
      <w:hyperlink r:id="rId13" w:history="1">
        <w:r>
          <w:rPr>
            <w:rStyle w:val="Hyperlink"/>
          </w:rPr>
          <w:t>http://chronicle.com/blogPost/MIT-Looks-to-Make-Money/26958/</w:t>
        </w:r>
      </w:hyperlink>
    </w:p>
    <w:p w:rsidR="00120497" w:rsidRDefault="00D40AF1" w:rsidP="00FA4AA5">
      <w:r w:rsidRPr="00447451">
        <w:t xml:space="preserve">Robertson, </w:t>
      </w:r>
      <w:r w:rsidR="00130D41" w:rsidRPr="00447451">
        <w:t>R. John</w:t>
      </w:r>
      <w:r w:rsidR="0005488A" w:rsidRPr="00447451">
        <w:t>.</w:t>
      </w:r>
      <w:r w:rsidR="00130D41" w:rsidRPr="00447451">
        <w:t xml:space="preserve"> (</w:t>
      </w:r>
      <w:r w:rsidR="00447451">
        <w:t>20</w:t>
      </w:r>
      <w:r w:rsidRPr="00447451">
        <w:t>10</w:t>
      </w:r>
      <w:r w:rsidR="00130D41" w:rsidRPr="00447451">
        <w:t>)</w:t>
      </w:r>
      <w:r w:rsidR="005715E8" w:rsidRPr="005715E8">
        <w:t xml:space="preserve"> Libraries, Institutions, </w:t>
      </w:r>
      <w:r w:rsidR="005715E8">
        <w:t>a</w:t>
      </w:r>
      <w:r w:rsidR="005715E8" w:rsidRPr="005715E8">
        <w:t>nd Open Educational Resources: Possible Connections?</w:t>
      </w:r>
      <w:r w:rsidR="00447451">
        <w:t xml:space="preserve"> </w:t>
      </w:r>
      <w:hyperlink r:id="rId14" w:history="1">
        <w:r w:rsidR="00447451">
          <w:rPr>
            <w:rStyle w:val="Hyperlink"/>
          </w:rPr>
          <w:t>http://blogs.cetis.ac.uk/johnr/2010/03/17/librariesandoers/</w:t>
        </w:r>
      </w:hyperlink>
    </w:p>
    <w:p w:rsidR="00447451" w:rsidRDefault="00447451" w:rsidP="00447451">
      <w:r w:rsidRPr="00447451">
        <w:t xml:space="preserve">Robertson, R. John. </w:t>
      </w:r>
      <w:proofErr w:type="gramStart"/>
      <w:r w:rsidRPr="00447451">
        <w:t>(</w:t>
      </w:r>
      <w:r>
        <w:t>20</w:t>
      </w:r>
      <w:r w:rsidRPr="00447451">
        <w:t>10)</w:t>
      </w:r>
      <w:r w:rsidRPr="005715E8">
        <w:t xml:space="preserve"> </w:t>
      </w:r>
      <w:r w:rsidR="008A3DB9">
        <w:t xml:space="preserve">OER </w:t>
      </w:r>
      <w:proofErr w:type="spellStart"/>
      <w:r w:rsidR="008A3DB9">
        <w:t>Literacies</w:t>
      </w:r>
      <w:proofErr w:type="spellEnd"/>
      <w:r w:rsidRPr="005715E8">
        <w:t>?</w:t>
      </w:r>
      <w:proofErr w:type="gramEnd"/>
      <w:r>
        <w:t xml:space="preserve"> </w:t>
      </w:r>
      <w:hyperlink r:id="rId15" w:history="1">
        <w:r>
          <w:rPr>
            <w:rStyle w:val="Hyperlink"/>
          </w:rPr>
          <w:t>http://blogs.cetis.ac.uk/johnr/2010/03/18/oer-literacies/</w:t>
        </w:r>
      </w:hyperlink>
    </w:p>
    <w:p w:rsidR="00DA0263" w:rsidRDefault="005E0FC5" w:rsidP="00FA4AA5">
      <w:proofErr w:type="gramStart"/>
      <w:r>
        <w:t>University of Nottingham</w:t>
      </w:r>
      <w:r w:rsidR="0005488A">
        <w:t>.</w:t>
      </w:r>
      <w:proofErr w:type="gramEnd"/>
      <w:r>
        <w:t xml:space="preserve"> (2010) Sherpa Juliet – Research Funders Open Access Policies </w:t>
      </w:r>
      <w:hyperlink r:id="rId16" w:history="1">
        <w:r>
          <w:rPr>
            <w:rStyle w:val="Hyperlink"/>
          </w:rPr>
          <w:t>http://www.sherpa.ac.uk/juliet/</w:t>
        </w:r>
      </w:hyperlink>
      <w:r>
        <w:t xml:space="preserve"> </w:t>
      </w:r>
    </w:p>
    <w:p w:rsidR="00DA0263" w:rsidRDefault="00DA0263" w:rsidP="00977DE3">
      <w:pPr>
        <w:pStyle w:val="Heading1"/>
      </w:pPr>
      <w:r>
        <w:t>Figures</w:t>
      </w:r>
    </w:p>
    <w:p w:rsidR="00377B1F" w:rsidRDefault="00DA0263" w:rsidP="00377B1F">
      <w:pPr>
        <w:keepNext/>
      </w:pPr>
      <w:r w:rsidRPr="00DA0263">
        <w:rPr>
          <w:noProof/>
          <w:lang w:eastAsia="en-GB"/>
        </w:rPr>
        <w:drawing>
          <wp:inline distT="0" distB="0" distL="0" distR="0">
            <wp:extent cx="3674176" cy="2321626"/>
            <wp:effectExtent l="19050" t="0" r="21524" b="247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0263" w:rsidRDefault="00377B1F" w:rsidP="00377B1F">
      <w:pPr>
        <w:pStyle w:val="Caption"/>
      </w:pPr>
      <w:r>
        <w:t xml:space="preserve">Figure </w:t>
      </w:r>
      <w:fldSimple w:instr=" SEQ Figure \* ARABIC ">
        <w:r w:rsidR="00130D41">
          <w:rPr>
            <w:noProof/>
          </w:rPr>
          <w:t>1</w:t>
        </w:r>
      </w:fldSimple>
      <w:r>
        <w:t xml:space="preserve"> Survey respondents</w:t>
      </w:r>
      <w:r>
        <w:rPr>
          <w:noProof/>
        </w:rPr>
        <w:t xml:space="preserve"> by country</w:t>
      </w:r>
    </w:p>
    <w:p w:rsidR="008A45A9" w:rsidRDefault="00DA0263" w:rsidP="008A45A9">
      <w:pPr>
        <w:keepNext/>
      </w:pPr>
      <w:r w:rsidRPr="00DA0263">
        <w:rPr>
          <w:noProof/>
          <w:lang w:eastAsia="en-GB"/>
        </w:rPr>
        <w:drawing>
          <wp:inline distT="0" distB="0" distL="0" distR="0">
            <wp:extent cx="3638550" cy="2404753"/>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0263" w:rsidRDefault="008A45A9" w:rsidP="008A45A9">
      <w:pPr>
        <w:pStyle w:val="Caption"/>
      </w:pPr>
      <w:r>
        <w:t xml:space="preserve">Figure </w:t>
      </w:r>
      <w:fldSimple w:instr=" SEQ Figure \* ARABIC ">
        <w:r w:rsidR="00130D41">
          <w:rPr>
            <w:noProof/>
          </w:rPr>
          <w:t>2</w:t>
        </w:r>
      </w:fldSimple>
      <w:r>
        <w:t xml:space="preserve"> Survey respondents by organisation type</w:t>
      </w:r>
    </w:p>
    <w:p w:rsidR="00F07B46" w:rsidRDefault="00DA0263" w:rsidP="00F07B46">
      <w:pPr>
        <w:keepNext/>
      </w:pPr>
      <w:r w:rsidRPr="00DA0263">
        <w:rPr>
          <w:noProof/>
          <w:lang w:eastAsia="en-GB"/>
        </w:rPr>
        <w:lastRenderedPageBreak/>
        <w:drawing>
          <wp:inline distT="0" distB="0" distL="0" distR="0">
            <wp:extent cx="5675424" cy="2226211"/>
            <wp:effectExtent l="19050" t="0" r="20526" b="263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0263" w:rsidRDefault="00F07B46" w:rsidP="00F07B46">
      <w:pPr>
        <w:pStyle w:val="Caption"/>
      </w:pPr>
      <w:r>
        <w:t xml:space="preserve">Figure </w:t>
      </w:r>
      <w:fldSimple w:instr=" SEQ Figure \* ARABIC ">
        <w:r w:rsidR="00130D41">
          <w:rPr>
            <w:noProof/>
          </w:rPr>
          <w:t>3</w:t>
        </w:r>
      </w:fldSimple>
      <w:r>
        <w:t xml:space="preserve"> Types of Involvement in OER Initiatives</w:t>
      </w:r>
    </w:p>
    <w:p w:rsidR="00A97D19" w:rsidRDefault="003C7126" w:rsidP="00A97D19">
      <w:pPr>
        <w:keepNext/>
      </w:pPr>
      <w:r w:rsidRPr="003C7126">
        <w:rPr>
          <w:noProof/>
          <w:lang w:eastAsia="en-GB"/>
        </w:rPr>
        <w:drawing>
          <wp:inline distT="0" distB="0" distL="0" distR="0">
            <wp:extent cx="5051714" cy="3322774"/>
            <wp:effectExtent l="19050" t="0" r="15586"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0263" w:rsidRDefault="00A97D19" w:rsidP="00A97D19">
      <w:pPr>
        <w:pStyle w:val="Caption"/>
      </w:pPr>
      <w:r>
        <w:t xml:space="preserve">Figure </w:t>
      </w:r>
      <w:fldSimple w:instr=" SEQ Figure \* ARABIC ">
        <w:r w:rsidR="00130D41">
          <w:rPr>
            <w:noProof/>
          </w:rPr>
          <w:t>4</w:t>
        </w:r>
      </w:fldSimple>
      <w:r>
        <w:t xml:space="preserve"> </w:t>
      </w:r>
      <w:r w:rsidR="00183209">
        <w:t>i</w:t>
      </w:r>
      <w:r w:rsidRPr="008D32EE">
        <w:t>nvolve</w:t>
      </w:r>
      <w:r w:rsidR="00183209">
        <w:t xml:space="preserve">ment of </w:t>
      </w:r>
      <w:r w:rsidRPr="008D32EE">
        <w:t xml:space="preserve">the library in </w:t>
      </w:r>
      <w:r w:rsidR="00183209">
        <w:t xml:space="preserve">OER </w:t>
      </w:r>
      <w:r w:rsidRPr="008D32EE">
        <w:t>release</w:t>
      </w:r>
    </w:p>
    <w:p w:rsidR="00183209" w:rsidRDefault="00FB08A2" w:rsidP="00183209">
      <w:pPr>
        <w:keepNext/>
      </w:pPr>
      <w:r w:rsidRPr="00FB08A2">
        <w:rPr>
          <w:noProof/>
          <w:lang w:eastAsia="en-GB"/>
        </w:rPr>
        <w:lastRenderedPageBreak/>
        <w:drawing>
          <wp:inline distT="0" distB="0" distL="0" distR="0">
            <wp:extent cx="5731510" cy="3199481"/>
            <wp:effectExtent l="19050" t="0" r="21590" b="919"/>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08A2" w:rsidRDefault="00183209" w:rsidP="00183209">
      <w:pPr>
        <w:pStyle w:val="Caption"/>
      </w:pPr>
      <w:r>
        <w:t xml:space="preserve">Figure </w:t>
      </w:r>
      <w:fldSimple w:instr=" SEQ Figure \* ARABIC ">
        <w:r w:rsidR="00130D41">
          <w:rPr>
            <w:noProof/>
          </w:rPr>
          <w:t>5</w:t>
        </w:r>
      </w:fldSimple>
      <w:r>
        <w:t xml:space="preserve"> Involvement of the library in OER use</w:t>
      </w:r>
    </w:p>
    <w:p w:rsidR="00FC4827" w:rsidRDefault="003D13D4" w:rsidP="00FC4827">
      <w:pPr>
        <w:keepNext/>
      </w:pPr>
      <w:r w:rsidRPr="003D13D4">
        <w:rPr>
          <w:noProof/>
          <w:lang w:eastAsia="en-GB"/>
        </w:rPr>
        <w:drawing>
          <wp:inline distT="0" distB="0" distL="0" distR="0">
            <wp:extent cx="5731510" cy="2780027"/>
            <wp:effectExtent l="19050" t="0" r="21590" b="1273"/>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08A2" w:rsidRDefault="00FC4827" w:rsidP="00FC4827">
      <w:pPr>
        <w:pStyle w:val="Caption"/>
      </w:pPr>
      <w:r>
        <w:t xml:space="preserve">Figure </w:t>
      </w:r>
      <w:fldSimple w:instr=" SEQ Figure \* ARABIC ">
        <w:r w:rsidR="00130D41">
          <w:rPr>
            <w:noProof/>
          </w:rPr>
          <w:t>6</w:t>
        </w:r>
      </w:fldSimple>
      <w:r>
        <w:t xml:space="preserve"> Involvement of</w:t>
      </w:r>
      <w:r w:rsidRPr="007029D9">
        <w:t xml:space="preserve"> individua</w:t>
      </w:r>
      <w:r>
        <w:t>l librarians in the use of OERs</w:t>
      </w:r>
    </w:p>
    <w:p w:rsidR="00BC47F4" w:rsidRDefault="000756D0" w:rsidP="00BC47F4">
      <w:pPr>
        <w:keepNext/>
      </w:pPr>
      <w:r w:rsidRPr="000756D0">
        <w:rPr>
          <w:noProof/>
          <w:lang w:eastAsia="en-GB"/>
        </w:rPr>
        <w:lastRenderedPageBreak/>
        <w:drawing>
          <wp:inline distT="0" distB="0" distL="0" distR="0">
            <wp:extent cx="5815000" cy="4411065"/>
            <wp:effectExtent l="19050" t="0" r="14300" b="85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756D0" w:rsidRDefault="00BC47F4" w:rsidP="00BC47F4">
      <w:pPr>
        <w:pStyle w:val="Caption"/>
      </w:pPr>
      <w:r>
        <w:t xml:space="preserve">Figure </w:t>
      </w:r>
      <w:fldSimple w:instr=" SEQ Figure \* ARABIC ">
        <w:r w:rsidR="00130D41">
          <w:rPr>
            <w:noProof/>
          </w:rPr>
          <w:t>7</w:t>
        </w:r>
      </w:fldSimple>
      <w:r>
        <w:t xml:space="preserve"> Library roles</w:t>
      </w:r>
    </w:p>
    <w:p w:rsidR="00D93BD8" w:rsidRDefault="000756D0" w:rsidP="00D93BD8">
      <w:pPr>
        <w:keepNext/>
      </w:pPr>
      <w:r w:rsidRPr="000756D0">
        <w:rPr>
          <w:noProof/>
          <w:lang w:eastAsia="en-GB"/>
        </w:rPr>
        <w:lastRenderedPageBreak/>
        <w:drawing>
          <wp:inline distT="0" distB="0" distL="0" distR="0">
            <wp:extent cx="4572000" cy="63627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756D0" w:rsidRDefault="00D93BD8" w:rsidP="00D93BD8">
      <w:pPr>
        <w:pStyle w:val="Caption"/>
      </w:pPr>
      <w:r>
        <w:t xml:space="preserve">Figure </w:t>
      </w:r>
      <w:r w:rsidR="00DC33C8">
        <w:fldChar w:fldCharType="begin"/>
      </w:r>
      <w:r>
        <w:instrText xml:space="preserve"> SEQ Figure \* ARABIC </w:instrText>
      </w:r>
      <w:r w:rsidR="00DC33C8">
        <w:fldChar w:fldCharType="separate"/>
      </w:r>
      <w:proofErr w:type="gramStart"/>
      <w:r w:rsidR="00130D41">
        <w:rPr>
          <w:noProof/>
        </w:rPr>
        <w:t>8</w:t>
      </w:r>
      <w:r w:rsidR="00DC33C8">
        <w:fldChar w:fldCharType="end"/>
      </w:r>
      <w:r>
        <w:t xml:space="preserve"> </w:t>
      </w:r>
      <w:r w:rsidRPr="00F23163">
        <w:t>Actual library involvement</w:t>
      </w:r>
      <w:proofErr w:type="gramEnd"/>
    </w:p>
    <w:sectPr w:rsidR="000756D0" w:rsidSect="009B57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170"/>
    <w:multiLevelType w:val="hybridMultilevel"/>
    <w:tmpl w:val="F07A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25E07"/>
    <w:multiLevelType w:val="hybridMultilevel"/>
    <w:tmpl w:val="202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54F20"/>
    <w:multiLevelType w:val="hybridMultilevel"/>
    <w:tmpl w:val="919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B611A"/>
    <w:multiLevelType w:val="hybridMultilevel"/>
    <w:tmpl w:val="FF18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69754A"/>
    <w:multiLevelType w:val="hybridMultilevel"/>
    <w:tmpl w:val="B7EC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41AC5"/>
    <w:multiLevelType w:val="hybridMultilevel"/>
    <w:tmpl w:val="63122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54254"/>
    <w:multiLevelType w:val="hybridMultilevel"/>
    <w:tmpl w:val="8134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F265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66336E"/>
    <w:multiLevelType w:val="hybridMultilevel"/>
    <w:tmpl w:val="9014C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0"/>
  </w:num>
  <w:num w:numId="6">
    <w:abstractNumId w:val="4"/>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3F89"/>
    <w:rsid w:val="00003FFB"/>
    <w:rsid w:val="0000561E"/>
    <w:rsid w:val="00011EDF"/>
    <w:rsid w:val="0002499A"/>
    <w:rsid w:val="00054466"/>
    <w:rsid w:val="0005488A"/>
    <w:rsid w:val="00064DAF"/>
    <w:rsid w:val="000756D0"/>
    <w:rsid w:val="000846A1"/>
    <w:rsid w:val="00090455"/>
    <w:rsid w:val="00097FDA"/>
    <w:rsid w:val="000A45F3"/>
    <w:rsid w:val="000A7128"/>
    <w:rsid w:val="000A748E"/>
    <w:rsid w:val="000A771E"/>
    <w:rsid w:val="000B03C3"/>
    <w:rsid w:val="000B79E7"/>
    <w:rsid w:val="000C5D7E"/>
    <w:rsid w:val="000D1226"/>
    <w:rsid w:val="000E7394"/>
    <w:rsid w:val="000F06DA"/>
    <w:rsid w:val="001174F9"/>
    <w:rsid w:val="00120497"/>
    <w:rsid w:val="00130D41"/>
    <w:rsid w:val="00132F59"/>
    <w:rsid w:val="00133FD6"/>
    <w:rsid w:val="00135F7E"/>
    <w:rsid w:val="001503D4"/>
    <w:rsid w:val="00167377"/>
    <w:rsid w:val="00183209"/>
    <w:rsid w:val="0018338B"/>
    <w:rsid w:val="0018430B"/>
    <w:rsid w:val="00185D1C"/>
    <w:rsid w:val="00185EDB"/>
    <w:rsid w:val="001A6079"/>
    <w:rsid w:val="001A63FB"/>
    <w:rsid w:val="001C1034"/>
    <w:rsid w:val="001D2441"/>
    <w:rsid w:val="001E3F69"/>
    <w:rsid w:val="001F45FC"/>
    <w:rsid w:val="001F6B13"/>
    <w:rsid w:val="00202FD5"/>
    <w:rsid w:val="00206B2D"/>
    <w:rsid w:val="002209B2"/>
    <w:rsid w:val="00243FD6"/>
    <w:rsid w:val="00247EBF"/>
    <w:rsid w:val="00253474"/>
    <w:rsid w:val="00260FF5"/>
    <w:rsid w:val="00263332"/>
    <w:rsid w:val="00265F71"/>
    <w:rsid w:val="00283E0F"/>
    <w:rsid w:val="002A2608"/>
    <w:rsid w:val="002A6AC3"/>
    <w:rsid w:val="002A7959"/>
    <w:rsid w:val="002B042A"/>
    <w:rsid w:val="002B48BD"/>
    <w:rsid w:val="002C6B71"/>
    <w:rsid w:val="002D3A14"/>
    <w:rsid w:val="002E23F3"/>
    <w:rsid w:val="002E3890"/>
    <w:rsid w:val="002E7A16"/>
    <w:rsid w:val="002F70F8"/>
    <w:rsid w:val="00324048"/>
    <w:rsid w:val="00333A58"/>
    <w:rsid w:val="00337314"/>
    <w:rsid w:val="00341EB3"/>
    <w:rsid w:val="0034406E"/>
    <w:rsid w:val="00364075"/>
    <w:rsid w:val="00365226"/>
    <w:rsid w:val="003659E5"/>
    <w:rsid w:val="0036685B"/>
    <w:rsid w:val="00377B1F"/>
    <w:rsid w:val="0038346F"/>
    <w:rsid w:val="003865FA"/>
    <w:rsid w:val="003A3F89"/>
    <w:rsid w:val="003C438E"/>
    <w:rsid w:val="003C7126"/>
    <w:rsid w:val="003D13D4"/>
    <w:rsid w:val="003D7466"/>
    <w:rsid w:val="003E11AD"/>
    <w:rsid w:val="003E79B4"/>
    <w:rsid w:val="003F3B45"/>
    <w:rsid w:val="00402F9B"/>
    <w:rsid w:val="0044276D"/>
    <w:rsid w:val="00443AA1"/>
    <w:rsid w:val="00444B49"/>
    <w:rsid w:val="00446328"/>
    <w:rsid w:val="00447451"/>
    <w:rsid w:val="004515A4"/>
    <w:rsid w:val="00453A03"/>
    <w:rsid w:val="004613D9"/>
    <w:rsid w:val="0046204A"/>
    <w:rsid w:val="00491A4C"/>
    <w:rsid w:val="00491A4E"/>
    <w:rsid w:val="00496D1F"/>
    <w:rsid w:val="004A61B7"/>
    <w:rsid w:val="004E32D0"/>
    <w:rsid w:val="004F4AA2"/>
    <w:rsid w:val="004F5A07"/>
    <w:rsid w:val="00500CBF"/>
    <w:rsid w:val="00512D75"/>
    <w:rsid w:val="00521D74"/>
    <w:rsid w:val="005331C5"/>
    <w:rsid w:val="005403AB"/>
    <w:rsid w:val="00541EC4"/>
    <w:rsid w:val="00553593"/>
    <w:rsid w:val="00560650"/>
    <w:rsid w:val="005641D9"/>
    <w:rsid w:val="0056435E"/>
    <w:rsid w:val="005715E8"/>
    <w:rsid w:val="0059493A"/>
    <w:rsid w:val="005C0005"/>
    <w:rsid w:val="005C0DFC"/>
    <w:rsid w:val="005C4C40"/>
    <w:rsid w:val="005D5293"/>
    <w:rsid w:val="005E0FC5"/>
    <w:rsid w:val="005E392A"/>
    <w:rsid w:val="005E3999"/>
    <w:rsid w:val="005E502D"/>
    <w:rsid w:val="005F6096"/>
    <w:rsid w:val="005F6CFC"/>
    <w:rsid w:val="00614CAB"/>
    <w:rsid w:val="006248C3"/>
    <w:rsid w:val="006272CE"/>
    <w:rsid w:val="006355AE"/>
    <w:rsid w:val="00641978"/>
    <w:rsid w:val="00653266"/>
    <w:rsid w:val="006674EF"/>
    <w:rsid w:val="00674796"/>
    <w:rsid w:val="00677E4C"/>
    <w:rsid w:val="006846EC"/>
    <w:rsid w:val="00690E83"/>
    <w:rsid w:val="006B2C7B"/>
    <w:rsid w:val="006C13C1"/>
    <w:rsid w:val="006E50B5"/>
    <w:rsid w:val="006F1C8E"/>
    <w:rsid w:val="006F4144"/>
    <w:rsid w:val="006F6266"/>
    <w:rsid w:val="00712041"/>
    <w:rsid w:val="00712DA3"/>
    <w:rsid w:val="007229DC"/>
    <w:rsid w:val="007442C1"/>
    <w:rsid w:val="0075474F"/>
    <w:rsid w:val="00761801"/>
    <w:rsid w:val="00785C6F"/>
    <w:rsid w:val="00791B1A"/>
    <w:rsid w:val="0079364E"/>
    <w:rsid w:val="00793928"/>
    <w:rsid w:val="007A242A"/>
    <w:rsid w:val="007A2D59"/>
    <w:rsid w:val="007B4208"/>
    <w:rsid w:val="007C76B5"/>
    <w:rsid w:val="007E1AD9"/>
    <w:rsid w:val="007E3ECB"/>
    <w:rsid w:val="00830C28"/>
    <w:rsid w:val="00846957"/>
    <w:rsid w:val="00847FE5"/>
    <w:rsid w:val="008510FF"/>
    <w:rsid w:val="008560E8"/>
    <w:rsid w:val="00861192"/>
    <w:rsid w:val="008A3DB9"/>
    <w:rsid w:val="008A45A9"/>
    <w:rsid w:val="008B19D4"/>
    <w:rsid w:val="008C3449"/>
    <w:rsid w:val="008C42E3"/>
    <w:rsid w:val="008E36C5"/>
    <w:rsid w:val="009120C1"/>
    <w:rsid w:val="00926A22"/>
    <w:rsid w:val="00930F73"/>
    <w:rsid w:val="009315F7"/>
    <w:rsid w:val="009515C4"/>
    <w:rsid w:val="00972EE1"/>
    <w:rsid w:val="00977DE3"/>
    <w:rsid w:val="00980DC6"/>
    <w:rsid w:val="00983D46"/>
    <w:rsid w:val="00996ABC"/>
    <w:rsid w:val="009B3B0B"/>
    <w:rsid w:val="009B57F3"/>
    <w:rsid w:val="009C3932"/>
    <w:rsid w:val="009E3208"/>
    <w:rsid w:val="009E5349"/>
    <w:rsid w:val="00A06326"/>
    <w:rsid w:val="00A11F45"/>
    <w:rsid w:val="00A14032"/>
    <w:rsid w:val="00A21533"/>
    <w:rsid w:val="00A2198E"/>
    <w:rsid w:val="00A363E7"/>
    <w:rsid w:val="00A44882"/>
    <w:rsid w:val="00A44A96"/>
    <w:rsid w:val="00A47916"/>
    <w:rsid w:val="00A57B36"/>
    <w:rsid w:val="00A63E65"/>
    <w:rsid w:val="00A7557C"/>
    <w:rsid w:val="00A975F5"/>
    <w:rsid w:val="00A97D19"/>
    <w:rsid w:val="00AB185C"/>
    <w:rsid w:val="00AB59FD"/>
    <w:rsid w:val="00AD4C09"/>
    <w:rsid w:val="00AE69E0"/>
    <w:rsid w:val="00B063BC"/>
    <w:rsid w:val="00B143E8"/>
    <w:rsid w:val="00B144CE"/>
    <w:rsid w:val="00B26136"/>
    <w:rsid w:val="00B340C2"/>
    <w:rsid w:val="00B41E4E"/>
    <w:rsid w:val="00B635D9"/>
    <w:rsid w:val="00B65F3F"/>
    <w:rsid w:val="00BC47F4"/>
    <w:rsid w:val="00BC4F5A"/>
    <w:rsid w:val="00BC66FD"/>
    <w:rsid w:val="00BD4F8C"/>
    <w:rsid w:val="00BF3445"/>
    <w:rsid w:val="00BF3653"/>
    <w:rsid w:val="00BF67ED"/>
    <w:rsid w:val="00C02AEF"/>
    <w:rsid w:val="00C164DC"/>
    <w:rsid w:val="00C23548"/>
    <w:rsid w:val="00C32D92"/>
    <w:rsid w:val="00C335A2"/>
    <w:rsid w:val="00C35F00"/>
    <w:rsid w:val="00C41AA9"/>
    <w:rsid w:val="00C51FA5"/>
    <w:rsid w:val="00C604C1"/>
    <w:rsid w:val="00C70AC6"/>
    <w:rsid w:val="00C84AD8"/>
    <w:rsid w:val="00C86299"/>
    <w:rsid w:val="00C95EB1"/>
    <w:rsid w:val="00CA2969"/>
    <w:rsid w:val="00CA5B0C"/>
    <w:rsid w:val="00CB51B9"/>
    <w:rsid w:val="00CB572E"/>
    <w:rsid w:val="00CC10E2"/>
    <w:rsid w:val="00CC6D6D"/>
    <w:rsid w:val="00CD0141"/>
    <w:rsid w:val="00CD116F"/>
    <w:rsid w:val="00CD1932"/>
    <w:rsid w:val="00CE2941"/>
    <w:rsid w:val="00CF020C"/>
    <w:rsid w:val="00D07CF8"/>
    <w:rsid w:val="00D17D6A"/>
    <w:rsid w:val="00D32965"/>
    <w:rsid w:val="00D32E0D"/>
    <w:rsid w:val="00D40AF1"/>
    <w:rsid w:val="00D538BB"/>
    <w:rsid w:val="00D71F37"/>
    <w:rsid w:val="00D74762"/>
    <w:rsid w:val="00D760D8"/>
    <w:rsid w:val="00D87373"/>
    <w:rsid w:val="00D932CA"/>
    <w:rsid w:val="00D93BD8"/>
    <w:rsid w:val="00DA0263"/>
    <w:rsid w:val="00DB259E"/>
    <w:rsid w:val="00DB359A"/>
    <w:rsid w:val="00DC33C8"/>
    <w:rsid w:val="00DC5DC3"/>
    <w:rsid w:val="00DC5EBF"/>
    <w:rsid w:val="00DD4A24"/>
    <w:rsid w:val="00DF034F"/>
    <w:rsid w:val="00DF2417"/>
    <w:rsid w:val="00DF2C77"/>
    <w:rsid w:val="00DF7B8D"/>
    <w:rsid w:val="00E067FA"/>
    <w:rsid w:val="00E22212"/>
    <w:rsid w:val="00E31017"/>
    <w:rsid w:val="00E4153B"/>
    <w:rsid w:val="00E44681"/>
    <w:rsid w:val="00E47258"/>
    <w:rsid w:val="00E5092E"/>
    <w:rsid w:val="00E51168"/>
    <w:rsid w:val="00E57E01"/>
    <w:rsid w:val="00E60B7C"/>
    <w:rsid w:val="00E8484B"/>
    <w:rsid w:val="00E93790"/>
    <w:rsid w:val="00EB358F"/>
    <w:rsid w:val="00EB3AD2"/>
    <w:rsid w:val="00EC5D4E"/>
    <w:rsid w:val="00ED1637"/>
    <w:rsid w:val="00EE2CF6"/>
    <w:rsid w:val="00EE6EA7"/>
    <w:rsid w:val="00EE796C"/>
    <w:rsid w:val="00EE7C56"/>
    <w:rsid w:val="00EF560B"/>
    <w:rsid w:val="00EF63E1"/>
    <w:rsid w:val="00F07B46"/>
    <w:rsid w:val="00F12634"/>
    <w:rsid w:val="00F2668D"/>
    <w:rsid w:val="00F30451"/>
    <w:rsid w:val="00F31387"/>
    <w:rsid w:val="00F32B57"/>
    <w:rsid w:val="00F40FFC"/>
    <w:rsid w:val="00F4437A"/>
    <w:rsid w:val="00F560CA"/>
    <w:rsid w:val="00F56AC6"/>
    <w:rsid w:val="00F60A3C"/>
    <w:rsid w:val="00F7574D"/>
    <w:rsid w:val="00F77A09"/>
    <w:rsid w:val="00FA4AA5"/>
    <w:rsid w:val="00FA7572"/>
    <w:rsid w:val="00FB03AC"/>
    <w:rsid w:val="00FB08A2"/>
    <w:rsid w:val="00FB69D4"/>
    <w:rsid w:val="00FC4827"/>
    <w:rsid w:val="00FD3A4A"/>
    <w:rsid w:val="00FE3A31"/>
    <w:rsid w:val="00FE4680"/>
    <w:rsid w:val="00FF4200"/>
    <w:rsid w:val="00FF5536"/>
    <w:rsid w:val="00FF5F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F3"/>
  </w:style>
  <w:style w:type="paragraph" w:styleId="Heading1">
    <w:name w:val="heading 1"/>
    <w:basedOn w:val="Normal"/>
    <w:next w:val="Normal"/>
    <w:link w:val="Heading1Char"/>
    <w:uiPriority w:val="9"/>
    <w:qFormat/>
    <w:rsid w:val="00EE2C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F89"/>
    <w:rPr>
      <w:color w:val="0000FF"/>
      <w:u w:val="single"/>
    </w:rPr>
  </w:style>
  <w:style w:type="character" w:customStyle="1" w:styleId="Heading1Char">
    <w:name w:val="Heading 1 Char"/>
    <w:basedOn w:val="DefaultParagraphFont"/>
    <w:link w:val="Heading1"/>
    <w:uiPriority w:val="9"/>
    <w:rsid w:val="00EE2C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2C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6D6D"/>
    <w:pPr>
      <w:ind w:left="720"/>
      <w:contextualSpacing/>
    </w:pPr>
  </w:style>
  <w:style w:type="paragraph" w:styleId="BalloonText">
    <w:name w:val="Balloon Text"/>
    <w:basedOn w:val="Normal"/>
    <w:link w:val="BalloonTextChar"/>
    <w:uiPriority w:val="99"/>
    <w:semiHidden/>
    <w:unhideWhenUsed/>
    <w:rsid w:val="00DA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63"/>
    <w:rPr>
      <w:rFonts w:ascii="Tahoma" w:hAnsi="Tahoma" w:cs="Tahoma"/>
      <w:sz w:val="16"/>
      <w:szCs w:val="16"/>
    </w:rPr>
  </w:style>
  <w:style w:type="paragraph" w:styleId="Title">
    <w:name w:val="Title"/>
    <w:basedOn w:val="Normal"/>
    <w:next w:val="Normal"/>
    <w:link w:val="TitleChar"/>
    <w:uiPriority w:val="10"/>
    <w:qFormat/>
    <w:rsid w:val="00496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D1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F4437A"/>
    <w:rPr>
      <w:color w:val="800080" w:themeColor="followedHyperlink"/>
      <w:u w:val="single"/>
    </w:rPr>
  </w:style>
  <w:style w:type="paragraph" w:styleId="Caption">
    <w:name w:val="caption"/>
    <w:basedOn w:val="Normal"/>
    <w:next w:val="Normal"/>
    <w:uiPriority w:val="35"/>
    <w:unhideWhenUsed/>
    <w:qFormat/>
    <w:rsid w:val="00377B1F"/>
    <w:pPr>
      <w:spacing w:line="240" w:lineRule="auto"/>
    </w:pPr>
    <w:rPr>
      <w:b/>
      <w:bCs/>
      <w:color w:val="4F81BD" w:themeColor="accent1"/>
      <w:sz w:val="18"/>
      <w:szCs w:val="18"/>
    </w:rPr>
  </w:style>
  <w:style w:type="character" w:styleId="PlaceholderText">
    <w:name w:val="Placeholder Text"/>
    <w:basedOn w:val="DefaultParagraphFont"/>
    <w:uiPriority w:val="99"/>
    <w:semiHidden/>
    <w:rsid w:val="00972EE1"/>
    <w:rPr>
      <w:color w:val="808080"/>
    </w:rPr>
  </w:style>
</w:styles>
</file>

<file path=word/webSettings.xml><?xml version="1.0" encoding="utf-8"?>
<w:webSettings xmlns:r="http://schemas.openxmlformats.org/officeDocument/2006/relationships" xmlns:w="http://schemas.openxmlformats.org/wordprocessingml/2006/main">
  <w:divs>
    <w:div w:id="116487022">
      <w:bodyDiv w:val="1"/>
      <w:marLeft w:val="0"/>
      <w:marRight w:val="0"/>
      <w:marTop w:val="0"/>
      <w:marBottom w:val="0"/>
      <w:divBdr>
        <w:top w:val="none" w:sz="0" w:space="0" w:color="auto"/>
        <w:left w:val="none" w:sz="0" w:space="0" w:color="auto"/>
        <w:bottom w:val="none" w:sz="0" w:space="0" w:color="auto"/>
        <w:right w:val="none" w:sz="0" w:space="0" w:color="auto"/>
      </w:divBdr>
      <w:divsChild>
        <w:div w:id="2062316949">
          <w:marLeft w:val="0"/>
          <w:marRight w:val="0"/>
          <w:marTop w:val="0"/>
          <w:marBottom w:val="0"/>
          <w:divBdr>
            <w:top w:val="none" w:sz="0" w:space="0" w:color="auto"/>
            <w:left w:val="none" w:sz="0" w:space="0" w:color="auto"/>
            <w:bottom w:val="none" w:sz="0" w:space="0" w:color="auto"/>
            <w:right w:val="none" w:sz="0" w:space="0" w:color="auto"/>
          </w:divBdr>
        </w:div>
      </w:divsChild>
    </w:div>
    <w:div w:id="182476628">
      <w:bodyDiv w:val="1"/>
      <w:marLeft w:val="0"/>
      <w:marRight w:val="0"/>
      <w:marTop w:val="0"/>
      <w:marBottom w:val="0"/>
      <w:divBdr>
        <w:top w:val="none" w:sz="0" w:space="0" w:color="auto"/>
        <w:left w:val="none" w:sz="0" w:space="0" w:color="auto"/>
        <w:bottom w:val="none" w:sz="0" w:space="0" w:color="auto"/>
        <w:right w:val="none" w:sz="0" w:space="0" w:color="auto"/>
      </w:divBdr>
      <w:divsChild>
        <w:div w:id="30620156">
          <w:marLeft w:val="0"/>
          <w:marRight w:val="0"/>
          <w:marTop w:val="0"/>
          <w:marBottom w:val="0"/>
          <w:divBdr>
            <w:top w:val="none" w:sz="0" w:space="0" w:color="auto"/>
            <w:left w:val="none" w:sz="0" w:space="0" w:color="auto"/>
            <w:bottom w:val="none" w:sz="0" w:space="0" w:color="auto"/>
            <w:right w:val="none" w:sz="0" w:space="0" w:color="auto"/>
          </w:divBdr>
        </w:div>
      </w:divsChild>
    </w:div>
    <w:div w:id="918364715">
      <w:bodyDiv w:val="1"/>
      <w:marLeft w:val="0"/>
      <w:marRight w:val="0"/>
      <w:marTop w:val="0"/>
      <w:marBottom w:val="0"/>
      <w:divBdr>
        <w:top w:val="none" w:sz="0" w:space="0" w:color="auto"/>
        <w:left w:val="none" w:sz="0" w:space="0" w:color="auto"/>
        <w:bottom w:val="none" w:sz="0" w:space="0" w:color="auto"/>
        <w:right w:val="none" w:sz="0" w:space="0" w:color="auto"/>
      </w:divBdr>
    </w:div>
    <w:div w:id="20909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hill.ac.uk/solstice/docs/OpenContentLiteracy.pdf" TargetMode="External"/><Relationship Id="rId13" Type="http://schemas.openxmlformats.org/officeDocument/2006/relationships/hyperlink" Target="http://chronicle.com/blogPost/MIT-Looks-to-Make-Money/26958/" TargetMode="External"/><Relationship Id="rId18" Type="http://schemas.openxmlformats.org/officeDocument/2006/relationships/chart" Target="charts/chart2.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yperlink" Target="mailto:robert.robertson@strath.ac.uk" TargetMode="External"/><Relationship Id="rId12" Type="http://schemas.openxmlformats.org/officeDocument/2006/relationships/hyperlink" Target="http://tinyurl.com/yfkzq8g"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erpa.ac.uk/juliet/" TargetMode="Externa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hyperlink" Target="http://creativecommons.org/licenses/by/3.0/" TargetMode="External"/><Relationship Id="rId11" Type="http://schemas.openxmlformats.org/officeDocument/2006/relationships/hyperlink" Target="http://www.slideshare.net/Downes/the-learning-object-economy" TargetMode="External"/><Relationship Id="rId24" Type="http://schemas.openxmlformats.org/officeDocument/2006/relationships/chart" Target="charts/chart8.xml"/><Relationship Id="rId5" Type="http://schemas.openxmlformats.org/officeDocument/2006/relationships/image" Target="media/image1.png"/><Relationship Id="rId15" Type="http://schemas.openxmlformats.org/officeDocument/2006/relationships/hyperlink" Target="http://blogs.cetis.ac.uk/johnr/2010/03/18/oer-literacies/" TargetMode="External"/><Relationship Id="rId23" Type="http://schemas.openxmlformats.org/officeDocument/2006/relationships/chart" Target="charts/chart7.xml"/><Relationship Id="rId10" Type="http://schemas.openxmlformats.org/officeDocument/2006/relationships/hyperlink" Target="http://tinyurl.com/yhoezak"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s://spreadsheets.google.com/ccc?key=0AuN3UUVNPUJ1dEdkY0k0dU9kRG9PMHpLYTBsUGtoRnc&amp;hl=en" TargetMode="External"/><Relationship Id="rId14" Type="http://schemas.openxmlformats.org/officeDocument/2006/relationships/hyperlink" Target="http://blogs.cetis.ac.uk/johnr/2010/03/17/librariesandoers/" TargetMode="Externa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vubob\Downloads\OpenEdLibraries2010Publ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vubob\Downloads\OpenEdLibraries2010Publi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vubob\Downloads\OpenEdLibraries2010Publi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vubob\Downloads\OpenEdLibraries2010Publ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vubob\Downloads\OpenEdLibraries2010Publi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vubob\Downloads\OpenEdLibraries2010Publ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vubob\Downloads\OpenEdLibraries2010Publi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vubob\Downloads\OpenEdLibraries2010Publ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X val="75"/>
      <c:perspective val="30"/>
    </c:view3D>
    <c:plotArea>
      <c:layout/>
      <c:pie3DChart>
        <c:varyColors val="1"/>
        <c:ser>
          <c:idx val="0"/>
          <c:order val="0"/>
          <c:explosion val="25"/>
          <c:dLbls>
            <c:showVal val="1"/>
            <c:showCatName val="1"/>
            <c:showLeaderLines val="1"/>
          </c:dLbls>
          <c:cat>
            <c:strRef>
              <c:f>Demographics!$A$8:$A$19</c:f>
              <c:strCache>
                <c:ptCount val="12"/>
                <c:pt idx="0">
                  <c:v>Albania</c:v>
                </c:pt>
                <c:pt idx="1">
                  <c:v>Australia</c:v>
                </c:pt>
                <c:pt idx="2">
                  <c:v>Belarus</c:v>
                </c:pt>
                <c:pt idx="3">
                  <c:v>Brazil</c:v>
                </c:pt>
                <c:pt idx="4">
                  <c:v>Canada</c:v>
                </c:pt>
                <c:pt idx="5">
                  <c:v>Kenya</c:v>
                </c:pt>
                <c:pt idx="6">
                  <c:v>Lithuania</c:v>
                </c:pt>
                <c:pt idx="7">
                  <c:v>Malawi</c:v>
                </c:pt>
                <c:pt idx="8">
                  <c:v>Nigeria</c:v>
                </c:pt>
                <c:pt idx="9">
                  <c:v>South Africa</c:v>
                </c:pt>
                <c:pt idx="10">
                  <c:v>United Kingdom</c:v>
                </c:pt>
                <c:pt idx="11">
                  <c:v>United States</c:v>
                </c:pt>
              </c:strCache>
            </c:strRef>
          </c:cat>
          <c:val>
            <c:numRef>
              <c:f>Demographics!$B$8:$B$19</c:f>
              <c:numCache>
                <c:formatCode>General</c:formatCode>
                <c:ptCount val="12"/>
                <c:pt idx="0">
                  <c:v>1</c:v>
                </c:pt>
                <c:pt idx="1">
                  <c:v>1</c:v>
                </c:pt>
                <c:pt idx="2">
                  <c:v>1</c:v>
                </c:pt>
                <c:pt idx="3">
                  <c:v>1</c:v>
                </c:pt>
                <c:pt idx="4">
                  <c:v>1</c:v>
                </c:pt>
                <c:pt idx="5">
                  <c:v>1</c:v>
                </c:pt>
                <c:pt idx="6">
                  <c:v>1</c:v>
                </c:pt>
                <c:pt idx="7">
                  <c:v>1</c:v>
                </c:pt>
                <c:pt idx="8">
                  <c:v>2</c:v>
                </c:pt>
                <c:pt idx="9">
                  <c:v>1</c:v>
                </c:pt>
                <c:pt idx="10">
                  <c:v>13</c:v>
                </c:pt>
                <c:pt idx="11">
                  <c:v>12</c:v>
                </c:pt>
              </c:numCache>
            </c:numRef>
          </c:val>
        </c:ser>
        <c:dLbls>
          <c:showVal val="1"/>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X val="75"/>
      <c:perspective val="30"/>
    </c:view3D>
    <c:plotArea>
      <c:layout/>
      <c:pie3DChart>
        <c:varyColors val="1"/>
        <c:ser>
          <c:idx val="0"/>
          <c:order val="0"/>
          <c:explosion val="65"/>
          <c:dPt>
            <c:idx val="0"/>
            <c:explosion val="23"/>
          </c:dPt>
          <c:dLbls>
            <c:showVal val="1"/>
            <c:showCatName val="1"/>
            <c:showLeaderLines val="1"/>
          </c:dLbls>
          <c:cat>
            <c:strRef>
              <c:f>Demographics!$A$24:$A$30</c:f>
              <c:strCache>
                <c:ptCount val="7"/>
                <c:pt idx="0">
                  <c:v>University</c:v>
                </c:pt>
                <c:pt idx="1">
                  <c:v>University Library</c:v>
                </c:pt>
                <c:pt idx="2">
                  <c:v>Educational Initiative</c:v>
                </c:pt>
                <c:pt idx="3">
                  <c:v>Research Institute</c:v>
                </c:pt>
                <c:pt idx="4">
                  <c:v>Public Library</c:v>
                </c:pt>
                <c:pt idx="5">
                  <c:v>Publisher</c:v>
                </c:pt>
                <c:pt idx="6">
                  <c:v>Company</c:v>
                </c:pt>
              </c:strCache>
            </c:strRef>
          </c:cat>
          <c:val>
            <c:numRef>
              <c:f>Demographics!$B$24:$B$30</c:f>
              <c:numCache>
                <c:formatCode>General</c:formatCode>
                <c:ptCount val="7"/>
                <c:pt idx="0">
                  <c:v>23</c:v>
                </c:pt>
                <c:pt idx="1">
                  <c:v>4</c:v>
                </c:pt>
                <c:pt idx="2">
                  <c:v>4</c:v>
                </c:pt>
                <c:pt idx="3">
                  <c:v>1</c:v>
                </c:pt>
                <c:pt idx="4">
                  <c:v>2</c:v>
                </c:pt>
                <c:pt idx="5">
                  <c:v>1</c:v>
                </c:pt>
                <c:pt idx="6">
                  <c:v>1</c:v>
                </c:pt>
              </c:numCache>
            </c:numRef>
          </c:val>
        </c:ser>
        <c:dLbls>
          <c:showVal val="1"/>
          <c:showCatName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56777123376541172"/>
          <c:y val="0.16215067176008838"/>
          <c:w val="0.40363779527559057"/>
          <c:h val="0.75474518810149105"/>
        </c:manualLayout>
      </c:layout>
      <c:barChart>
        <c:barDir val="bar"/>
        <c:grouping val="clustered"/>
        <c:ser>
          <c:idx val="0"/>
          <c:order val="0"/>
          <c:dLbls>
            <c:showVal val="1"/>
          </c:dLbls>
          <c:cat>
            <c:strRef>
              <c:f>Demographics!$A$44:$A$53</c:f>
              <c:strCache>
                <c:ptCount val="10"/>
                <c:pt idx="0">
                  <c:v>Individual Interest in the release of OER</c:v>
                </c:pt>
                <c:pt idx="1">
                  <c:v>Institutional interest in the release and use of OER</c:v>
                </c:pt>
                <c:pt idx="2">
                  <c:v>Involved in project-funded OER initiative</c:v>
                </c:pt>
                <c:pt idx="3">
                  <c:v>Involved in regional or national OER initiatives</c:v>
                </c:pt>
                <c:pt idx="4">
                  <c:v>Other organisational interest in the release of OER</c:v>
                </c:pt>
                <c:pt idx="5">
                  <c:v>UKOER project</c:v>
                </c:pt>
                <c:pt idx="6">
                  <c:v>OCWC Member</c:v>
                </c:pt>
                <c:pt idx="7">
                  <c:v>OER funder</c:v>
                </c:pt>
                <c:pt idx="8">
                  <c:v>OER software tool developer</c:v>
                </c:pt>
                <c:pt idx="9">
                  <c:v>Open Textbook publisher </c:v>
                </c:pt>
              </c:strCache>
            </c:strRef>
          </c:cat>
          <c:val>
            <c:numRef>
              <c:f>Demographics!$B$44:$B$53</c:f>
              <c:numCache>
                <c:formatCode>General</c:formatCode>
                <c:ptCount val="10"/>
                <c:pt idx="0">
                  <c:v>20</c:v>
                </c:pt>
                <c:pt idx="1">
                  <c:v>19</c:v>
                </c:pt>
                <c:pt idx="2">
                  <c:v>14</c:v>
                </c:pt>
                <c:pt idx="3">
                  <c:v>9</c:v>
                </c:pt>
                <c:pt idx="4">
                  <c:v>9</c:v>
                </c:pt>
                <c:pt idx="5">
                  <c:v>9</c:v>
                </c:pt>
                <c:pt idx="6">
                  <c:v>3</c:v>
                </c:pt>
                <c:pt idx="7">
                  <c:v>1</c:v>
                </c:pt>
                <c:pt idx="8">
                  <c:v>1</c:v>
                </c:pt>
                <c:pt idx="9">
                  <c:v>1</c:v>
                </c:pt>
              </c:numCache>
            </c:numRef>
          </c:val>
        </c:ser>
        <c:axId val="132943872"/>
        <c:axId val="132945408"/>
      </c:barChart>
      <c:catAx>
        <c:axId val="132943872"/>
        <c:scaling>
          <c:orientation val="minMax"/>
        </c:scaling>
        <c:axPos val="l"/>
        <c:majorTickMark val="none"/>
        <c:tickLblPos val="nextTo"/>
        <c:crossAx val="132945408"/>
        <c:crosses val="autoZero"/>
        <c:auto val="1"/>
        <c:lblAlgn val="ctr"/>
        <c:lblOffset val="100"/>
      </c:catAx>
      <c:valAx>
        <c:axId val="132945408"/>
        <c:scaling>
          <c:orientation val="minMax"/>
        </c:scaling>
        <c:delete val="1"/>
        <c:axPos val="b"/>
        <c:numFmt formatCode="General" sourceLinked="1"/>
        <c:majorTickMark val="none"/>
        <c:tickLblPos val="none"/>
        <c:crossAx val="1329438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AngAx val="1"/>
    </c:view3D>
    <c:plotArea>
      <c:layout>
        <c:manualLayout>
          <c:layoutTarget val="inner"/>
          <c:xMode val="edge"/>
          <c:yMode val="edge"/>
          <c:x val="0.41794685039370222"/>
          <c:y val="0.13603221583117744"/>
          <c:w val="0.43383923884514436"/>
          <c:h val="0.71359331856567665"/>
        </c:manualLayout>
      </c:layout>
      <c:bar3DChart>
        <c:barDir val="bar"/>
        <c:grouping val="clustered"/>
        <c:ser>
          <c:idx val="0"/>
          <c:order val="0"/>
          <c:tx>
            <c:strRef>
              <c:f>'Library involvement Release'!$A$1</c:f>
              <c:strCache>
                <c:ptCount val="1"/>
                <c:pt idx="0">
                  <c:v>How involved is the library in the release of your OERs?</c:v>
                </c:pt>
              </c:strCache>
            </c:strRef>
          </c:tx>
          <c:cat>
            <c:strRef>
              <c:f>'Library involvement Release'!$A$2:$A$6</c:f>
              <c:strCache>
                <c:ptCount val="5"/>
                <c:pt idx="0">
                  <c:v>as far as we know the library is not aware of our OER initiative</c:v>
                </c:pt>
                <c:pt idx="1">
                  <c:v>the library is aware of our OER initiative, but that's it</c:v>
                </c:pt>
                <c:pt idx="2">
                  <c:v>the library supports our OER initiative as an organisational effort but has no formal involvement</c:v>
                </c:pt>
                <c:pt idx="3">
                  <c:v>the library is a partner in the OER initiative</c:v>
                </c:pt>
                <c:pt idx="4">
                  <c:v>the library is leading/ co-leading the OER initiative</c:v>
                </c:pt>
              </c:strCache>
            </c:strRef>
          </c:cat>
          <c:val>
            <c:numRef>
              <c:f>'Library involvement Release'!$B$2:$B$6</c:f>
              <c:numCache>
                <c:formatCode>General</c:formatCode>
                <c:ptCount val="5"/>
                <c:pt idx="0">
                  <c:v>5</c:v>
                </c:pt>
                <c:pt idx="1">
                  <c:v>7</c:v>
                </c:pt>
                <c:pt idx="2">
                  <c:v>10</c:v>
                </c:pt>
                <c:pt idx="3">
                  <c:v>8</c:v>
                </c:pt>
                <c:pt idx="4">
                  <c:v>4</c:v>
                </c:pt>
              </c:numCache>
            </c:numRef>
          </c:val>
        </c:ser>
        <c:shape val="cylinder"/>
        <c:axId val="132994176"/>
        <c:axId val="124538880"/>
        <c:axId val="0"/>
      </c:bar3DChart>
      <c:catAx>
        <c:axId val="132994176"/>
        <c:scaling>
          <c:orientation val="minMax"/>
        </c:scaling>
        <c:axPos val="l"/>
        <c:tickLblPos val="nextTo"/>
        <c:crossAx val="124538880"/>
        <c:crosses val="autoZero"/>
        <c:auto val="1"/>
        <c:lblAlgn val="ctr"/>
        <c:lblOffset val="100"/>
      </c:catAx>
      <c:valAx>
        <c:axId val="124538880"/>
        <c:scaling>
          <c:orientation val="minMax"/>
        </c:scaling>
        <c:axPos val="b"/>
        <c:majorGridlines/>
        <c:numFmt formatCode="General" sourceLinked="1"/>
        <c:tickLblPos val="nextTo"/>
        <c:crossAx val="13299417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AngAx val="1"/>
    </c:view3D>
    <c:plotArea>
      <c:layout/>
      <c:bar3DChart>
        <c:barDir val="bar"/>
        <c:grouping val="clustered"/>
        <c:ser>
          <c:idx val="0"/>
          <c:order val="0"/>
          <c:tx>
            <c:strRef>
              <c:f>'Library involvement use'!$A$2</c:f>
              <c:strCache>
                <c:ptCount val="1"/>
                <c:pt idx="0">
                  <c:v>How involved is the library in the use of OERs?</c:v>
                </c:pt>
              </c:strCache>
            </c:strRef>
          </c:tx>
          <c:cat>
            <c:strRef>
              <c:f>'Library involvement use'!$A$3:$A$7</c:f>
              <c:strCache>
                <c:ptCount val="5"/>
                <c:pt idx="0">
                  <c:v>as far as we know the library is not aware of OERs </c:v>
                </c:pt>
                <c:pt idx="1">
                  <c:v>the library is aware of OER initiatives, but has little invovlement in using OERs</c:v>
                </c:pt>
                <c:pt idx="2">
                  <c:v>the library supports the use of OERs in so much as it supports the use of any online resource</c:v>
                </c:pt>
                <c:pt idx="3">
                  <c:v>the library is a partner in local initiatives to use OERs</c:v>
                </c:pt>
                <c:pt idx="4">
                  <c:v>the library is leading/ co-leading initiatives to use OERs</c:v>
                </c:pt>
              </c:strCache>
            </c:strRef>
          </c:cat>
          <c:val>
            <c:numRef>
              <c:f>'Library involvement use'!$B$3:$B$7</c:f>
              <c:numCache>
                <c:formatCode>General</c:formatCode>
                <c:ptCount val="5"/>
                <c:pt idx="0">
                  <c:v>2</c:v>
                </c:pt>
                <c:pt idx="1">
                  <c:v>10</c:v>
                </c:pt>
                <c:pt idx="2">
                  <c:v>17</c:v>
                </c:pt>
                <c:pt idx="3">
                  <c:v>3</c:v>
                </c:pt>
                <c:pt idx="4">
                  <c:v>3</c:v>
                </c:pt>
              </c:numCache>
            </c:numRef>
          </c:val>
        </c:ser>
        <c:shape val="cylinder"/>
        <c:axId val="124578816"/>
        <c:axId val="124580608"/>
        <c:axId val="0"/>
      </c:bar3DChart>
      <c:catAx>
        <c:axId val="124578816"/>
        <c:scaling>
          <c:orientation val="minMax"/>
        </c:scaling>
        <c:axPos val="l"/>
        <c:tickLblPos val="nextTo"/>
        <c:crossAx val="124580608"/>
        <c:crosses val="autoZero"/>
        <c:auto val="1"/>
        <c:lblAlgn val="ctr"/>
        <c:lblOffset val="100"/>
      </c:catAx>
      <c:valAx>
        <c:axId val="124580608"/>
        <c:scaling>
          <c:orientation val="minMax"/>
        </c:scaling>
        <c:axPos val="b"/>
        <c:majorGridlines/>
        <c:numFmt formatCode="General" sourceLinked="1"/>
        <c:tickLblPos val="nextTo"/>
        <c:crossAx val="1245788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autoTitleDeleted val="1"/>
    <c:view3D>
      <c:rAngAx val="1"/>
    </c:view3D>
    <c:plotArea>
      <c:layout/>
      <c:bar3DChart>
        <c:barDir val="bar"/>
        <c:grouping val="clustered"/>
        <c:ser>
          <c:idx val="0"/>
          <c:order val="0"/>
          <c:tx>
            <c:strRef>
              <c:f>'Librarian involvement in use'!$A$1</c:f>
              <c:strCache>
                <c:ptCount val="1"/>
                <c:pt idx="0">
                  <c:v>How involved are individual librarians in the use of OERs?</c:v>
                </c:pt>
              </c:strCache>
            </c:strRef>
          </c:tx>
          <c:cat>
            <c:strRef>
              <c:f>'Librarian involvement in use'!$A$2:$A$6</c:f>
              <c:strCache>
                <c:ptCount val="5"/>
                <c:pt idx="0">
                  <c:v>we don't know any local librarians who are aware of OERs</c:v>
                </c:pt>
                <c:pt idx="1">
                  <c:v>we know local librarians who are aware of OER initiatives, but are not involved in their use</c:v>
                </c:pt>
                <c:pt idx="2">
                  <c:v>we know some local librarians who support the use of OERs in so much as they support the use of any online resources</c:v>
                </c:pt>
                <c:pt idx="3">
                  <c:v>we know some local librarians who are actively engaging in local initiatives to use OERs</c:v>
                </c:pt>
                <c:pt idx="4">
                  <c:v>we know some local librarians who are championing initiatives to use OERs</c:v>
                </c:pt>
              </c:strCache>
            </c:strRef>
          </c:cat>
          <c:val>
            <c:numRef>
              <c:f>'Librarian involvement in use'!$B$2:$B$6</c:f>
              <c:numCache>
                <c:formatCode>General</c:formatCode>
                <c:ptCount val="5"/>
                <c:pt idx="0">
                  <c:v>5</c:v>
                </c:pt>
                <c:pt idx="1">
                  <c:v>1</c:v>
                </c:pt>
                <c:pt idx="2">
                  <c:v>18</c:v>
                </c:pt>
                <c:pt idx="3">
                  <c:v>6</c:v>
                </c:pt>
                <c:pt idx="4">
                  <c:v>5</c:v>
                </c:pt>
              </c:numCache>
            </c:numRef>
          </c:val>
        </c:ser>
        <c:shape val="cylinder"/>
        <c:axId val="124616704"/>
        <c:axId val="124618240"/>
        <c:axId val="0"/>
      </c:bar3DChart>
      <c:catAx>
        <c:axId val="124616704"/>
        <c:scaling>
          <c:orientation val="minMax"/>
        </c:scaling>
        <c:axPos val="l"/>
        <c:tickLblPos val="nextTo"/>
        <c:crossAx val="124618240"/>
        <c:crosses val="autoZero"/>
        <c:auto val="1"/>
        <c:lblAlgn val="ctr"/>
        <c:lblOffset val="100"/>
      </c:catAx>
      <c:valAx>
        <c:axId val="124618240"/>
        <c:scaling>
          <c:orientation val="minMax"/>
        </c:scaling>
        <c:axPos val="b"/>
        <c:majorGridlines/>
        <c:numFmt formatCode="General" sourceLinked="1"/>
        <c:tickLblPos val="nextTo"/>
        <c:crossAx val="12461670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X val="20"/>
      <c:perspective val="0"/>
    </c:view3D>
    <c:plotArea>
      <c:layout>
        <c:manualLayout>
          <c:layoutTarget val="inner"/>
          <c:xMode val="edge"/>
          <c:yMode val="edge"/>
          <c:x val="0.19161272570937232"/>
          <c:y val="5.6780845442087065E-2"/>
          <c:w val="0.70990671346804879"/>
          <c:h val="0.45227541959553874"/>
        </c:manualLayout>
      </c:layout>
      <c:bar3DChart>
        <c:barDir val="col"/>
        <c:grouping val="standard"/>
        <c:ser>
          <c:idx val="2"/>
          <c:order val="0"/>
          <c:tx>
            <c:strRef>
              <c:f>'OER areas of work'!$B$2</c:f>
              <c:strCache>
                <c:ptCount val="1"/>
                <c:pt idx="0">
                  <c:v>Actual library involvement</c:v>
                </c:pt>
              </c:strCache>
            </c:strRef>
          </c:tx>
          <c:cat>
            <c:strRef>
              <c:f>'OER areas of work'!$A$3:$A$15</c:f>
              <c:strCache>
                <c:ptCount val="13"/>
                <c:pt idx="0">
                  <c:v>Support student discovery of OERs</c:v>
                </c:pt>
                <c:pt idx="1">
                  <c:v>Support student use of OERs</c:v>
                </c:pt>
                <c:pt idx="2">
                  <c:v>Support academic staff's discovery of OERs</c:v>
                </c:pt>
                <c:pt idx="3">
                  <c:v>Support academic staff's use of OERs</c:v>
                </c:pt>
                <c:pt idx="4">
                  <c:v>Support dissemination of OERs</c:v>
                </c:pt>
                <c:pt idx="5">
                  <c:v>Provide IPR guidance</c:v>
                </c:pt>
                <c:pt idx="6">
                  <c:v>Provide guidance about tagging &amp; metadata</c:v>
                </c:pt>
                <c:pt idx="7">
                  <c:v>Create OERs</c:v>
                </c:pt>
                <c:pt idx="8">
                  <c:v>Promote OER initiatives across the institution</c:v>
                </c:pt>
                <c:pt idx="9">
                  <c:v>Identify and index quality OERs</c:v>
                </c:pt>
                <c:pt idx="10">
                  <c:v>Preserve OERs</c:v>
                </c:pt>
                <c:pt idx="11">
                  <c:v>Collaborate with other institutional units to support OER initiatives</c:v>
                </c:pt>
                <c:pt idx="12">
                  <c:v>Help source open licensed content for reuse in  OER creation</c:v>
                </c:pt>
              </c:strCache>
            </c:strRef>
          </c:cat>
          <c:val>
            <c:numRef>
              <c:f>'OER areas of work'!$B$3:$B$15</c:f>
              <c:numCache>
                <c:formatCode>General</c:formatCode>
                <c:ptCount val="13"/>
                <c:pt idx="0">
                  <c:v>7</c:v>
                </c:pt>
                <c:pt idx="1">
                  <c:v>7</c:v>
                </c:pt>
                <c:pt idx="2">
                  <c:v>7</c:v>
                </c:pt>
                <c:pt idx="3">
                  <c:v>8</c:v>
                </c:pt>
                <c:pt idx="4">
                  <c:v>7</c:v>
                </c:pt>
                <c:pt idx="5">
                  <c:v>10</c:v>
                </c:pt>
                <c:pt idx="6">
                  <c:v>3</c:v>
                </c:pt>
                <c:pt idx="7">
                  <c:v>6</c:v>
                </c:pt>
                <c:pt idx="8">
                  <c:v>5</c:v>
                </c:pt>
                <c:pt idx="9">
                  <c:v>2</c:v>
                </c:pt>
                <c:pt idx="10">
                  <c:v>5</c:v>
                </c:pt>
                <c:pt idx="11">
                  <c:v>5</c:v>
                </c:pt>
                <c:pt idx="12">
                  <c:v>4</c:v>
                </c:pt>
              </c:numCache>
            </c:numRef>
          </c:val>
        </c:ser>
        <c:ser>
          <c:idx val="1"/>
          <c:order val="1"/>
          <c:tx>
            <c:strRef>
              <c:f>'OER areas of work'!$C$2</c:f>
              <c:strCache>
                <c:ptCount val="1"/>
                <c:pt idx="0">
                  <c:v>Possible library involvement</c:v>
                </c:pt>
              </c:strCache>
            </c:strRef>
          </c:tx>
          <c:cat>
            <c:strRef>
              <c:f>'OER areas of work'!$A$3:$A$15</c:f>
              <c:strCache>
                <c:ptCount val="13"/>
                <c:pt idx="0">
                  <c:v>Support student discovery of OERs</c:v>
                </c:pt>
                <c:pt idx="1">
                  <c:v>Support student use of OERs</c:v>
                </c:pt>
                <c:pt idx="2">
                  <c:v>Support academic staff's discovery of OERs</c:v>
                </c:pt>
                <c:pt idx="3">
                  <c:v>Support academic staff's use of OERs</c:v>
                </c:pt>
                <c:pt idx="4">
                  <c:v>Support dissemination of OERs</c:v>
                </c:pt>
                <c:pt idx="5">
                  <c:v>Provide IPR guidance</c:v>
                </c:pt>
                <c:pt idx="6">
                  <c:v>Provide guidance about tagging &amp; metadata</c:v>
                </c:pt>
                <c:pt idx="7">
                  <c:v>Create OERs</c:v>
                </c:pt>
                <c:pt idx="8">
                  <c:v>Promote OER initiatives across the institution</c:v>
                </c:pt>
                <c:pt idx="9">
                  <c:v>Identify and index quality OERs</c:v>
                </c:pt>
                <c:pt idx="10">
                  <c:v>Preserve OERs</c:v>
                </c:pt>
                <c:pt idx="11">
                  <c:v>Collaborate with other institutional units to support OER initiatives</c:v>
                </c:pt>
                <c:pt idx="12">
                  <c:v>Help source open licensed content for reuse in  OER creation</c:v>
                </c:pt>
              </c:strCache>
            </c:strRef>
          </c:cat>
          <c:val>
            <c:numRef>
              <c:f>'OER areas of work'!$C$3:$C$15</c:f>
              <c:numCache>
                <c:formatCode>General</c:formatCode>
                <c:ptCount val="13"/>
                <c:pt idx="0">
                  <c:v>16</c:v>
                </c:pt>
                <c:pt idx="1">
                  <c:v>12</c:v>
                </c:pt>
                <c:pt idx="2">
                  <c:v>16</c:v>
                </c:pt>
                <c:pt idx="3">
                  <c:v>11</c:v>
                </c:pt>
                <c:pt idx="4">
                  <c:v>15</c:v>
                </c:pt>
                <c:pt idx="5">
                  <c:v>5</c:v>
                </c:pt>
                <c:pt idx="6">
                  <c:v>17</c:v>
                </c:pt>
                <c:pt idx="7">
                  <c:v>8</c:v>
                </c:pt>
                <c:pt idx="8">
                  <c:v>13</c:v>
                </c:pt>
                <c:pt idx="9">
                  <c:v>16</c:v>
                </c:pt>
                <c:pt idx="10">
                  <c:v>13</c:v>
                </c:pt>
                <c:pt idx="11">
                  <c:v>13</c:v>
                </c:pt>
                <c:pt idx="12">
                  <c:v>15</c:v>
                </c:pt>
              </c:numCache>
            </c:numRef>
          </c:val>
        </c:ser>
        <c:ser>
          <c:idx val="0"/>
          <c:order val="2"/>
          <c:tx>
            <c:strRef>
              <c:f>'OER areas of work'!$D$2</c:f>
              <c:strCache>
                <c:ptCount val="1"/>
                <c:pt idx="0">
                  <c:v>We are working</c:v>
                </c:pt>
              </c:strCache>
            </c:strRef>
          </c:tx>
          <c:cat>
            <c:strRef>
              <c:f>'OER areas of work'!$A$3:$A$15</c:f>
              <c:strCache>
                <c:ptCount val="13"/>
                <c:pt idx="0">
                  <c:v>Support student discovery of OERs</c:v>
                </c:pt>
                <c:pt idx="1">
                  <c:v>Support student use of OERs</c:v>
                </c:pt>
                <c:pt idx="2">
                  <c:v>Support academic staff's discovery of OERs</c:v>
                </c:pt>
                <c:pt idx="3">
                  <c:v>Support academic staff's use of OERs</c:v>
                </c:pt>
                <c:pt idx="4">
                  <c:v>Support dissemination of OERs</c:v>
                </c:pt>
                <c:pt idx="5">
                  <c:v>Provide IPR guidance</c:v>
                </c:pt>
                <c:pt idx="6">
                  <c:v>Provide guidance about tagging &amp; metadata</c:v>
                </c:pt>
                <c:pt idx="7">
                  <c:v>Create OERs</c:v>
                </c:pt>
                <c:pt idx="8">
                  <c:v>Promote OER initiatives across the institution</c:v>
                </c:pt>
                <c:pt idx="9">
                  <c:v>Identify and index quality OERs</c:v>
                </c:pt>
                <c:pt idx="10">
                  <c:v>Preserve OERs</c:v>
                </c:pt>
                <c:pt idx="11">
                  <c:v>Collaborate with other institutional units to support OER initiatives</c:v>
                </c:pt>
                <c:pt idx="12">
                  <c:v>Help source open licensed content for reuse in  OER creation</c:v>
                </c:pt>
              </c:strCache>
            </c:strRef>
          </c:cat>
          <c:val>
            <c:numRef>
              <c:f>'OER areas of work'!$D$3:$D$15</c:f>
              <c:numCache>
                <c:formatCode>General</c:formatCode>
                <c:ptCount val="13"/>
                <c:pt idx="0">
                  <c:v>18</c:v>
                </c:pt>
                <c:pt idx="1">
                  <c:v>17</c:v>
                </c:pt>
                <c:pt idx="2">
                  <c:v>18</c:v>
                </c:pt>
                <c:pt idx="3">
                  <c:v>17</c:v>
                </c:pt>
                <c:pt idx="4">
                  <c:v>17</c:v>
                </c:pt>
                <c:pt idx="5">
                  <c:v>13</c:v>
                </c:pt>
                <c:pt idx="6">
                  <c:v>16</c:v>
                </c:pt>
                <c:pt idx="7">
                  <c:v>16</c:v>
                </c:pt>
                <c:pt idx="8">
                  <c:v>18</c:v>
                </c:pt>
                <c:pt idx="9">
                  <c:v>14</c:v>
                </c:pt>
                <c:pt idx="10">
                  <c:v>14</c:v>
                </c:pt>
                <c:pt idx="11">
                  <c:v>12</c:v>
                </c:pt>
                <c:pt idx="12">
                  <c:v>13</c:v>
                </c:pt>
              </c:numCache>
            </c:numRef>
          </c:val>
        </c:ser>
        <c:shape val="cylinder"/>
        <c:axId val="129793408"/>
        <c:axId val="132711552"/>
        <c:axId val="136722624"/>
      </c:bar3DChart>
      <c:catAx>
        <c:axId val="129793408"/>
        <c:scaling>
          <c:orientation val="minMax"/>
        </c:scaling>
        <c:axPos val="b"/>
        <c:tickLblPos val="nextTo"/>
        <c:crossAx val="132711552"/>
        <c:crosses val="autoZero"/>
        <c:auto val="1"/>
        <c:lblAlgn val="ctr"/>
        <c:lblOffset val="100"/>
      </c:catAx>
      <c:valAx>
        <c:axId val="132711552"/>
        <c:scaling>
          <c:orientation val="minMax"/>
        </c:scaling>
        <c:axPos val="l"/>
        <c:majorGridlines/>
        <c:numFmt formatCode="General" sourceLinked="1"/>
        <c:tickLblPos val="nextTo"/>
        <c:crossAx val="129793408"/>
        <c:crosses val="autoZero"/>
        <c:crossBetween val="between"/>
      </c:valAx>
      <c:serAx>
        <c:axId val="136722624"/>
        <c:scaling>
          <c:orientation val="minMax"/>
        </c:scaling>
        <c:delete val="1"/>
        <c:axPos val="b"/>
        <c:tickLblPos val="none"/>
        <c:crossAx val="132711552"/>
        <c:crosses val="autoZero"/>
      </c:serAx>
    </c:plotArea>
    <c:legend>
      <c:legendPos val="b"/>
    </c:legend>
    <c:plotVisOnly val="1"/>
  </c:chart>
  <c:txPr>
    <a:bodyPr/>
    <a:lstStyle/>
    <a:p>
      <a:pPr>
        <a:defRPr sz="900"/>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AngAx val="1"/>
    </c:view3D>
    <c:plotArea>
      <c:layout/>
      <c:bar3DChart>
        <c:barDir val="bar"/>
        <c:grouping val="clustered"/>
        <c:ser>
          <c:idx val="0"/>
          <c:order val="0"/>
          <c:tx>
            <c:strRef>
              <c:f>'OER areas of work'!$B$2</c:f>
              <c:strCache>
                <c:ptCount val="1"/>
                <c:pt idx="0">
                  <c:v>Actual library involvement</c:v>
                </c:pt>
              </c:strCache>
            </c:strRef>
          </c:tx>
          <c:dLbls>
            <c:showVal val="1"/>
          </c:dLbls>
          <c:cat>
            <c:strRef>
              <c:f>'OER areas of work'!$A$3:$A$15</c:f>
              <c:strCache>
                <c:ptCount val="13"/>
                <c:pt idx="0">
                  <c:v>Support student discovery of OERs</c:v>
                </c:pt>
                <c:pt idx="1">
                  <c:v>Support student use of OERs</c:v>
                </c:pt>
                <c:pt idx="2">
                  <c:v>Support academic staff's discovery of OERs</c:v>
                </c:pt>
                <c:pt idx="3">
                  <c:v>Support academic staff's use of OERs</c:v>
                </c:pt>
                <c:pt idx="4">
                  <c:v>Support dissemination of OERs</c:v>
                </c:pt>
                <c:pt idx="5">
                  <c:v>Provide IPR guidance</c:v>
                </c:pt>
                <c:pt idx="6">
                  <c:v>Provide guidance about tagging &amp; metadata</c:v>
                </c:pt>
                <c:pt idx="7">
                  <c:v>Create OERs</c:v>
                </c:pt>
                <c:pt idx="8">
                  <c:v>Promote OER initiatives across the institution</c:v>
                </c:pt>
                <c:pt idx="9">
                  <c:v>Identify and index quality OERs</c:v>
                </c:pt>
                <c:pt idx="10">
                  <c:v>Preserve OERs</c:v>
                </c:pt>
                <c:pt idx="11">
                  <c:v>Collaborate with other institutional units to support OER initiatives</c:v>
                </c:pt>
                <c:pt idx="12">
                  <c:v>Help source open licensed content for reuse in  OER creation</c:v>
                </c:pt>
              </c:strCache>
            </c:strRef>
          </c:cat>
          <c:val>
            <c:numRef>
              <c:f>'OER areas of work'!$B$3:$B$15</c:f>
              <c:numCache>
                <c:formatCode>General</c:formatCode>
                <c:ptCount val="13"/>
                <c:pt idx="0">
                  <c:v>7</c:v>
                </c:pt>
                <c:pt idx="1">
                  <c:v>7</c:v>
                </c:pt>
                <c:pt idx="2">
                  <c:v>7</c:v>
                </c:pt>
                <c:pt idx="3">
                  <c:v>8</c:v>
                </c:pt>
                <c:pt idx="4">
                  <c:v>7</c:v>
                </c:pt>
                <c:pt idx="5">
                  <c:v>10</c:v>
                </c:pt>
                <c:pt idx="6">
                  <c:v>3</c:v>
                </c:pt>
                <c:pt idx="7">
                  <c:v>6</c:v>
                </c:pt>
                <c:pt idx="8">
                  <c:v>5</c:v>
                </c:pt>
                <c:pt idx="9">
                  <c:v>2</c:v>
                </c:pt>
                <c:pt idx="10">
                  <c:v>5</c:v>
                </c:pt>
                <c:pt idx="11">
                  <c:v>5</c:v>
                </c:pt>
                <c:pt idx="12">
                  <c:v>4</c:v>
                </c:pt>
              </c:numCache>
            </c:numRef>
          </c:val>
        </c:ser>
        <c:shape val="cylinder"/>
        <c:axId val="132772992"/>
        <c:axId val="132774528"/>
        <c:axId val="0"/>
      </c:bar3DChart>
      <c:catAx>
        <c:axId val="132772992"/>
        <c:scaling>
          <c:orientation val="minMax"/>
        </c:scaling>
        <c:axPos val="l"/>
        <c:tickLblPos val="nextTo"/>
        <c:crossAx val="132774528"/>
        <c:crosses val="autoZero"/>
        <c:auto val="1"/>
        <c:lblAlgn val="ctr"/>
        <c:lblOffset val="100"/>
      </c:catAx>
      <c:valAx>
        <c:axId val="132774528"/>
        <c:scaling>
          <c:orientation val="minMax"/>
        </c:scaling>
        <c:axPos val="b"/>
        <c:majorGridlines/>
        <c:numFmt formatCode="General" sourceLinked="1"/>
        <c:tickLblPos val="nextTo"/>
        <c:crossAx val="132772992"/>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CF120C7-E206-49F5-9573-8330F1E03DA0}"/>
      </w:docPartPr>
      <w:docPartBody>
        <w:p w:rsidR="00000000" w:rsidRDefault="00224E3C">
          <w:r w:rsidRPr="001042D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4E3C"/>
    <w:rsid w:val="00005C31"/>
    <w:rsid w:val="00224E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E3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1278</TotalTime>
  <Pages>12</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Kavubob</dc:creator>
  <cp:lastModifiedBy>Kavubob</cp:lastModifiedBy>
  <cp:revision>189</cp:revision>
  <cp:lastPrinted>2010-09-24T13:38:00Z</cp:lastPrinted>
  <dcterms:created xsi:type="dcterms:W3CDTF">2010-09-20T09:24:00Z</dcterms:created>
  <dcterms:modified xsi:type="dcterms:W3CDTF">2010-09-28T12:46:00Z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http://creativecommons.org/licenses/by/3.0/</vt:lpwstr>
  </property>
  <property fmtid="{D5CDD505-2E9C-101B-9397-08002B2CF9AE}" pid="4" name="CreativeCommonsLicenseXml">
    <vt:lpwstr>&lt;?xml version="1.0" encoding="utf-8"?&gt;&lt;result&gt;&lt;license-uri&gt;http://creativecommons.org/licenses/by/3.0/&lt;/license-uri&gt;&lt;license-name&gt;Attribution 3.0 Unported&lt;/license-name&gt;&lt;rdf&gt;&lt;rdf:RDF xmlns="http://creativecommons.org/ns#" xmlns:dc="http://purl.org/dc/elem</vt:lpwstr>
  </property>
</Properties>
</file>